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1C4A" w14:textId="77777777" w:rsidR="00005BA7" w:rsidRDefault="00EF7762" w:rsidP="003518AB">
      <w:pPr>
        <w:jc w:val="center"/>
        <w:rPr>
          <w:b/>
          <w:bCs/>
          <w:iCs/>
          <w:szCs w:val="24"/>
          <w:lang w:eastAsia="ko-KR"/>
        </w:rPr>
      </w:pPr>
      <w:r w:rsidRPr="002E55DE">
        <w:rPr>
          <w:rFonts w:ascii="Times New Roman" w:hAnsi="Times New Roman"/>
          <w:b/>
          <w:bCs/>
          <w:szCs w:val="24"/>
        </w:rPr>
        <w:br/>
      </w:r>
    </w:p>
    <w:p w14:paraId="1F8EC55E" w14:textId="77777777" w:rsidR="00005BA7" w:rsidRDefault="00005BA7" w:rsidP="003518AB">
      <w:pPr>
        <w:jc w:val="center"/>
        <w:rPr>
          <w:b/>
          <w:bCs/>
          <w:iCs/>
          <w:szCs w:val="24"/>
          <w:lang w:eastAsia="ko-KR"/>
        </w:rPr>
      </w:pPr>
    </w:p>
    <w:p w14:paraId="175C3C82" w14:textId="77777777" w:rsidR="00005BA7" w:rsidRDefault="00005BA7" w:rsidP="003518AB">
      <w:pPr>
        <w:jc w:val="center"/>
        <w:rPr>
          <w:b/>
          <w:bCs/>
          <w:iCs/>
          <w:szCs w:val="24"/>
          <w:lang w:eastAsia="ko-KR"/>
        </w:rPr>
      </w:pPr>
    </w:p>
    <w:p w14:paraId="1D95EF66" w14:textId="43365B60" w:rsidR="00EF7762" w:rsidRPr="002E55DE" w:rsidRDefault="001700AC" w:rsidP="003518AB">
      <w:pPr>
        <w:jc w:val="center"/>
        <w:rPr>
          <w:rFonts w:ascii="Times New Roman" w:hAnsi="Times New Roman"/>
          <w:b/>
          <w:bCs/>
          <w:szCs w:val="24"/>
          <w:shd w:val="clear" w:color="auto" w:fill="FFFFFF"/>
        </w:rPr>
      </w:pPr>
      <w:r w:rsidRPr="002E55DE">
        <w:rPr>
          <w:b/>
          <w:bCs/>
          <w:iCs/>
          <w:szCs w:val="24"/>
          <w:lang w:eastAsia="ko-KR"/>
        </w:rPr>
        <w:t xml:space="preserve">Multivariate Analysis of </w:t>
      </w:r>
      <w:r w:rsidR="004162FC" w:rsidRPr="002E55DE">
        <w:rPr>
          <w:b/>
          <w:bCs/>
          <w:iCs/>
          <w:szCs w:val="24"/>
          <w:lang w:eastAsia="ko-KR"/>
        </w:rPr>
        <w:t xml:space="preserve">Frequency, </w:t>
      </w:r>
      <w:r w:rsidR="002E7418" w:rsidRPr="002E55DE">
        <w:rPr>
          <w:b/>
          <w:bCs/>
          <w:iCs/>
          <w:szCs w:val="24"/>
          <w:lang w:eastAsia="ko-KR"/>
        </w:rPr>
        <w:t>Duration and Companionship in Walking Behaviors Among Adults Over 50</w:t>
      </w:r>
    </w:p>
    <w:p w14:paraId="12080E9D" w14:textId="5A2558D4" w:rsidR="00334957" w:rsidRPr="002E55DE" w:rsidRDefault="00334957" w:rsidP="003518AB">
      <w:pPr>
        <w:rPr>
          <w:rFonts w:eastAsiaTheme="minorEastAsia"/>
          <w:b/>
          <w:lang w:eastAsia="ko-KR"/>
        </w:rPr>
      </w:pPr>
    </w:p>
    <w:p w14:paraId="01307124" w14:textId="2BC36924" w:rsidR="00D631DD" w:rsidRDefault="00D631DD" w:rsidP="003518AB">
      <w:pPr>
        <w:rPr>
          <w:rFonts w:eastAsiaTheme="minorEastAsia"/>
          <w:lang w:eastAsia="ko-KR"/>
        </w:rPr>
      </w:pPr>
    </w:p>
    <w:p w14:paraId="02A54640" w14:textId="4889F768" w:rsidR="00005BA7" w:rsidRDefault="00005BA7" w:rsidP="003518AB">
      <w:pPr>
        <w:rPr>
          <w:rFonts w:eastAsiaTheme="minorEastAsia"/>
          <w:lang w:eastAsia="ko-KR"/>
        </w:rPr>
      </w:pPr>
    </w:p>
    <w:p w14:paraId="6FE522C0" w14:textId="44731503" w:rsidR="00005BA7" w:rsidRDefault="00005BA7" w:rsidP="003518AB">
      <w:pPr>
        <w:rPr>
          <w:rFonts w:eastAsiaTheme="minorEastAsia"/>
          <w:lang w:eastAsia="ko-KR"/>
        </w:rPr>
      </w:pPr>
    </w:p>
    <w:p w14:paraId="0DF9F846" w14:textId="49B64349" w:rsidR="00005BA7" w:rsidRDefault="00005BA7" w:rsidP="003518AB">
      <w:pPr>
        <w:rPr>
          <w:rFonts w:eastAsiaTheme="minorEastAsia"/>
          <w:lang w:eastAsia="ko-KR"/>
        </w:rPr>
      </w:pPr>
    </w:p>
    <w:p w14:paraId="2F8E6913" w14:textId="77777777" w:rsidR="00005BA7" w:rsidRDefault="00005BA7" w:rsidP="003518AB">
      <w:pPr>
        <w:rPr>
          <w:rFonts w:eastAsiaTheme="minorEastAsia"/>
          <w:lang w:eastAsia="ko-KR"/>
        </w:rPr>
      </w:pPr>
    </w:p>
    <w:p w14:paraId="5E1CCDE5" w14:textId="77777777" w:rsidR="00005BA7" w:rsidRDefault="00005BA7" w:rsidP="00005BA7">
      <w:pPr>
        <w:rPr>
          <w:rFonts w:eastAsiaTheme="minorEastAsia"/>
          <w:b/>
          <w:lang w:eastAsia="ko-KR"/>
        </w:rPr>
      </w:pPr>
    </w:p>
    <w:p w14:paraId="1213C0BB" w14:textId="77777777" w:rsidR="00005BA7" w:rsidRPr="00AB6F92" w:rsidRDefault="00005BA7" w:rsidP="00005BA7">
      <w:pPr>
        <w:jc w:val="center"/>
        <w:rPr>
          <w:b/>
        </w:rPr>
      </w:pPr>
      <w:r>
        <w:rPr>
          <w:b/>
        </w:rPr>
        <w:t>Hyunjun Hwang</w:t>
      </w:r>
    </w:p>
    <w:p w14:paraId="1AD5870D" w14:textId="77777777" w:rsidR="00005BA7" w:rsidRDefault="00005BA7" w:rsidP="00005BA7">
      <w:pPr>
        <w:jc w:val="center"/>
      </w:pPr>
      <w:r>
        <w:t>The University of Texas at Austin</w:t>
      </w:r>
    </w:p>
    <w:p w14:paraId="0CAAAB48" w14:textId="77777777" w:rsidR="00005BA7" w:rsidRDefault="00005BA7" w:rsidP="00005BA7">
      <w:pPr>
        <w:jc w:val="center"/>
      </w:pPr>
      <w:r>
        <w:t>Department of Civil, Architectural and Environmental Engineering</w:t>
      </w:r>
    </w:p>
    <w:p w14:paraId="0A79AD6B" w14:textId="77777777" w:rsidR="00005BA7" w:rsidRDefault="00005BA7" w:rsidP="00005BA7">
      <w:pPr>
        <w:jc w:val="center"/>
      </w:pPr>
      <w:r>
        <w:t>301 E. Dean Keeton St. Stop C1761, Austin TX 78712, USA</w:t>
      </w:r>
    </w:p>
    <w:p w14:paraId="78FEA78D" w14:textId="77777777" w:rsidR="00005BA7" w:rsidRDefault="00005BA7" w:rsidP="00005BA7">
      <w:pPr>
        <w:jc w:val="center"/>
      </w:pPr>
      <w:r>
        <w:t xml:space="preserve">Email: </w:t>
      </w:r>
      <w:hyperlink r:id="rId8" w:history="1">
        <w:r w:rsidRPr="00B545AE">
          <w:rPr>
            <w:rStyle w:val="Hyperlink"/>
          </w:rPr>
          <w:t>hjhwang@utexas.edu</w:t>
        </w:r>
      </w:hyperlink>
    </w:p>
    <w:p w14:paraId="5C6EC994" w14:textId="77777777" w:rsidR="00005BA7" w:rsidRDefault="00005BA7" w:rsidP="00005BA7">
      <w:pPr>
        <w:jc w:val="center"/>
        <w:rPr>
          <w:b/>
        </w:rPr>
      </w:pPr>
    </w:p>
    <w:p w14:paraId="21380843" w14:textId="77777777" w:rsidR="00005BA7" w:rsidRPr="00AB6F92" w:rsidRDefault="00005BA7" w:rsidP="00005BA7">
      <w:pPr>
        <w:jc w:val="center"/>
        <w:rPr>
          <w:b/>
        </w:rPr>
      </w:pPr>
      <w:r w:rsidRPr="00AB6F92">
        <w:rPr>
          <w:b/>
        </w:rPr>
        <w:t xml:space="preserve">Angela </w:t>
      </w:r>
      <w:r>
        <w:rPr>
          <w:b/>
        </w:rPr>
        <w:t xml:space="preserve">J. </w:t>
      </w:r>
      <w:r w:rsidRPr="00AB6F92">
        <w:rPr>
          <w:b/>
        </w:rPr>
        <w:t>Haddad</w:t>
      </w:r>
    </w:p>
    <w:p w14:paraId="7DA1AF7A" w14:textId="77777777" w:rsidR="00005BA7" w:rsidRDefault="00005BA7" w:rsidP="00005BA7">
      <w:pPr>
        <w:jc w:val="center"/>
      </w:pPr>
      <w:r>
        <w:t>The University of Texas at Austin</w:t>
      </w:r>
    </w:p>
    <w:p w14:paraId="3ED5E3EA" w14:textId="77777777" w:rsidR="00005BA7" w:rsidRDefault="00005BA7" w:rsidP="00005BA7">
      <w:pPr>
        <w:jc w:val="center"/>
      </w:pPr>
      <w:r>
        <w:t>Department of Civil, Architectural and Environmental Engineering</w:t>
      </w:r>
    </w:p>
    <w:p w14:paraId="2E9566F1" w14:textId="77777777" w:rsidR="00005BA7" w:rsidRDefault="00005BA7" w:rsidP="00005BA7">
      <w:pPr>
        <w:jc w:val="center"/>
      </w:pPr>
      <w:r>
        <w:t>301 E. Dean Keeton St. Stop C1761, Austin TX 78712, USA</w:t>
      </w:r>
    </w:p>
    <w:p w14:paraId="349B0AB6" w14:textId="77777777" w:rsidR="00005BA7" w:rsidRDefault="00005BA7" w:rsidP="00005BA7">
      <w:pPr>
        <w:jc w:val="center"/>
      </w:pPr>
      <w:r>
        <w:t xml:space="preserve">Email: </w:t>
      </w:r>
      <w:hyperlink r:id="rId9" w:history="1">
        <w:r w:rsidRPr="00B545AE">
          <w:rPr>
            <w:rStyle w:val="Hyperlink"/>
          </w:rPr>
          <w:t>angela.haddad@utexas.edu</w:t>
        </w:r>
      </w:hyperlink>
    </w:p>
    <w:p w14:paraId="3AF6B5D2" w14:textId="77777777" w:rsidR="00005BA7" w:rsidRDefault="00005BA7" w:rsidP="00005BA7">
      <w:pPr>
        <w:jc w:val="center"/>
      </w:pPr>
    </w:p>
    <w:p w14:paraId="25A9FAA1" w14:textId="77777777" w:rsidR="00005BA7" w:rsidRPr="002133FD" w:rsidRDefault="00005BA7" w:rsidP="00005BA7">
      <w:pPr>
        <w:jc w:val="center"/>
        <w:rPr>
          <w:rFonts w:eastAsiaTheme="minorEastAsia"/>
          <w:b/>
          <w:lang w:eastAsia="ko-KR"/>
        </w:rPr>
      </w:pPr>
      <w:r w:rsidRPr="00274409">
        <w:rPr>
          <w:b/>
        </w:rPr>
        <w:t xml:space="preserve">Chandra R. Bhat </w:t>
      </w:r>
      <w:r>
        <w:rPr>
          <w:rFonts w:eastAsiaTheme="minorEastAsia" w:hint="eastAsia"/>
          <w:b/>
          <w:lang w:eastAsia="ko-KR"/>
        </w:rPr>
        <w:t>(Corresponding author)</w:t>
      </w:r>
    </w:p>
    <w:p w14:paraId="0500B4F4" w14:textId="77777777" w:rsidR="00005BA7" w:rsidRDefault="00005BA7" w:rsidP="00005BA7">
      <w:pPr>
        <w:jc w:val="center"/>
      </w:pPr>
      <w:r>
        <w:t>The University of Texas at Austin</w:t>
      </w:r>
    </w:p>
    <w:p w14:paraId="072AAC8A" w14:textId="77777777" w:rsidR="00005BA7" w:rsidRDefault="00005BA7" w:rsidP="00005BA7">
      <w:pPr>
        <w:jc w:val="center"/>
      </w:pPr>
      <w:r>
        <w:t>Department of Civil, Architectural and Environmental Engineering</w:t>
      </w:r>
    </w:p>
    <w:p w14:paraId="0B29F0F2" w14:textId="77777777" w:rsidR="00005BA7" w:rsidRDefault="00005BA7" w:rsidP="00005BA7">
      <w:pPr>
        <w:jc w:val="center"/>
      </w:pPr>
      <w:r>
        <w:t>301 E. Dean Keeton St. Stop C1761, Austin TX 78712, USA</w:t>
      </w:r>
    </w:p>
    <w:p w14:paraId="630D19FA" w14:textId="77777777" w:rsidR="00005BA7" w:rsidRDefault="00005BA7" w:rsidP="00005BA7">
      <w:pPr>
        <w:jc w:val="center"/>
      </w:pPr>
      <w:r>
        <w:t xml:space="preserve">Tel: 1-512-471-4535; Email: </w:t>
      </w:r>
      <w:hyperlink r:id="rId10" w:history="1">
        <w:r w:rsidRPr="00B545AE">
          <w:rPr>
            <w:rStyle w:val="Hyperlink"/>
          </w:rPr>
          <w:t>bhat@mail.utexas.edu</w:t>
        </w:r>
      </w:hyperlink>
    </w:p>
    <w:p w14:paraId="12DDB2B0" w14:textId="77777777" w:rsidR="00005BA7" w:rsidRPr="002E55DE" w:rsidRDefault="00005BA7" w:rsidP="003518AB">
      <w:pPr>
        <w:rPr>
          <w:rFonts w:eastAsiaTheme="minorEastAsia"/>
          <w:lang w:eastAsia="ko-KR"/>
        </w:rPr>
      </w:pPr>
    </w:p>
    <w:p w14:paraId="1B8851F3" w14:textId="77777777" w:rsidR="00005BA7" w:rsidRDefault="00005BA7" w:rsidP="00F92B82">
      <w:pPr>
        <w:pStyle w:val="Heading1"/>
        <w:numPr>
          <w:ilvl w:val="0"/>
          <w:numId w:val="0"/>
        </w:numPr>
        <w:spacing w:after="120" w:line="240" w:lineRule="auto"/>
        <w:ind w:left="360" w:hanging="360"/>
        <w:contextualSpacing w:val="0"/>
        <w:rPr>
          <w:szCs w:val="24"/>
        </w:rPr>
        <w:sectPr w:rsidR="00005BA7" w:rsidSect="00005BA7">
          <w:footerReference w:type="default" r:id="rId11"/>
          <w:pgSz w:w="12240" w:h="15840"/>
          <w:pgMar w:top="1440" w:right="1440" w:bottom="1440" w:left="1440" w:header="720" w:footer="720" w:gutter="0"/>
          <w:cols w:space="720"/>
          <w:docGrid w:linePitch="360"/>
        </w:sectPr>
      </w:pPr>
    </w:p>
    <w:p w14:paraId="65CD94E8" w14:textId="50D5220E" w:rsidR="00334957" w:rsidRPr="002E55DE" w:rsidRDefault="00F92B82" w:rsidP="00005BA7">
      <w:pPr>
        <w:pStyle w:val="Heading1"/>
        <w:numPr>
          <w:ilvl w:val="0"/>
          <w:numId w:val="0"/>
        </w:numPr>
        <w:spacing w:line="240" w:lineRule="auto"/>
        <w:ind w:left="360" w:hanging="360"/>
        <w:contextualSpacing w:val="0"/>
        <w:rPr>
          <w:rFonts w:eastAsiaTheme="minorEastAsia"/>
          <w:lang w:eastAsia="ko-KR"/>
        </w:rPr>
      </w:pPr>
      <w:r w:rsidRPr="002E55DE">
        <w:rPr>
          <w:szCs w:val="24"/>
        </w:rPr>
        <w:lastRenderedPageBreak/>
        <w:t>ABSTRACT</w:t>
      </w:r>
    </w:p>
    <w:p w14:paraId="62B56E32" w14:textId="60B760DF" w:rsidR="00B9042B" w:rsidRPr="00005BA7" w:rsidRDefault="00B9042B" w:rsidP="00005BA7">
      <w:pPr>
        <w:jc w:val="both"/>
        <w:rPr>
          <w:rFonts w:ascii="Times New Roman" w:eastAsiaTheme="minorEastAsia" w:hAnsi="Times New Roman"/>
          <w:lang w:eastAsia="ko-KR"/>
        </w:rPr>
      </w:pPr>
      <w:r w:rsidRPr="002E55DE">
        <w:rPr>
          <w:rFonts w:ascii="Times New Roman" w:eastAsiaTheme="minorEastAsia" w:hAnsi="Times New Roman"/>
          <w:lang w:eastAsia="ko-KR"/>
        </w:rPr>
        <w:t>Physical activity is essential for maintaining mental and physical health. Despite its benefits, older adults fall short of the recommended physical activity levels. Walking, in particular, offers significant advantages for older adults because of its low-impact nature and lower likelihood of serious injuries. This paper examines three key dimensions of walking behavior among adults aged 50 and older: frequency, duration, and social companionship (SC).</w:t>
      </w:r>
      <w:r w:rsidR="00005BA7">
        <w:rPr>
          <w:rFonts w:ascii="Times New Roman" w:eastAsiaTheme="minorEastAsia" w:hAnsi="Times New Roman"/>
          <w:lang w:eastAsia="ko-KR"/>
        </w:rPr>
        <w:t xml:space="preserve"> </w:t>
      </w:r>
      <w:r w:rsidRPr="002E55DE">
        <w:rPr>
          <w:rFonts w:ascii="Times New Roman" w:eastAsiaTheme="minorEastAsia" w:hAnsi="Times New Roman"/>
          <w:lang w:eastAsia="ko-KR"/>
        </w:rPr>
        <w:t>Utilizing data from the 2022 American Association of Retired Persons (AARP) Walking Survey, and employing a joint modeling approach, we identify the factors influencing each of the three dimensions of walking behavior.</w:t>
      </w:r>
      <w:r w:rsidR="00005BA7">
        <w:rPr>
          <w:rFonts w:ascii="Times New Roman" w:eastAsiaTheme="minorEastAsia" w:hAnsi="Times New Roman"/>
          <w:lang w:eastAsia="ko-KR"/>
        </w:rPr>
        <w:t xml:space="preserve"> </w:t>
      </w:r>
      <w:r w:rsidRPr="002E55DE">
        <w:rPr>
          <w:rFonts w:ascii="Times New Roman" w:eastAsiaTheme="minorEastAsia" w:hAnsi="Times New Roman"/>
          <w:lang w:eastAsia="ko-KR"/>
        </w:rPr>
        <w:t xml:space="preserve">Our findings suggest that older unemployed adults from low-income/minority households, women, and individuals in households with children tend to walk less frequently and for shorter durations. Having social company on walks has the highest positive effect on both </w:t>
      </w:r>
      <w:r w:rsidR="00C754FC" w:rsidRPr="002E55DE">
        <w:rPr>
          <w:rFonts w:ascii="Times New Roman" w:eastAsiaTheme="minorEastAsia" w:hAnsi="Times New Roman"/>
          <w:lang w:eastAsia="ko-KR"/>
        </w:rPr>
        <w:t>walking</w:t>
      </w:r>
      <w:r w:rsidRPr="002E55DE">
        <w:rPr>
          <w:rFonts w:ascii="Times New Roman" w:eastAsiaTheme="minorEastAsia" w:hAnsi="Times New Roman"/>
          <w:lang w:eastAsia="ko-KR"/>
        </w:rPr>
        <w:t xml:space="preserve"> frequency and duration, dominating over other sociodemographic factors. The results also point to specific population segments: specifically Black individuals, those employed, and single adults, walk less in groups</w:t>
      </w:r>
      <w:r w:rsidRPr="002E55DE">
        <w:rPr>
          <w:rFonts w:eastAsiaTheme="minorEastAsia"/>
          <w:lang w:eastAsia="ko-KR"/>
        </w:rPr>
        <w:t>, while those in households with children walk more in groups.</w:t>
      </w:r>
      <w:bookmarkStart w:id="0" w:name="_Hlk205366007"/>
      <w:bookmarkStart w:id="1" w:name="_Hlk204945897"/>
      <w:r w:rsidR="00005BA7">
        <w:rPr>
          <w:rFonts w:ascii="Times New Roman" w:eastAsiaTheme="minorEastAsia" w:hAnsi="Times New Roman"/>
          <w:lang w:eastAsia="ko-KR"/>
        </w:rPr>
        <w:t xml:space="preserve"> </w:t>
      </w:r>
      <w:r w:rsidRPr="002E55DE">
        <w:rPr>
          <w:rFonts w:eastAsiaTheme="minorEastAsia"/>
          <w:lang w:eastAsia="ko-KR"/>
        </w:rPr>
        <w:t xml:space="preserve">The </w:t>
      </w:r>
      <w:r w:rsidR="00FE2150" w:rsidRPr="002E55DE">
        <w:rPr>
          <w:rFonts w:eastAsiaTheme="minorEastAsia"/>
          <w:lang w:eastAsia="ko-KR"/>
        </w:rPr>
        <w:t xml:space="preserve">findings </w:t>
      </w:r>
      <w:r w:rsidRPr="002E55DE">
        <w:rPr>
          <w:rFonts w:eastAsiaTheme="minorEastAsia"/>
          <w:lang w:eastAsia="ko-KR"/>
        </w:rPr>
        <w:t>highlight the importance of considering social aspects in understanding walking behavior</w:t>
      </w:r>
      <w:r w:rsidR="00994D4B" w:rsidRPr="002E55DE">
        <w:t xml:space="preserve">, and </w:t>
      </w:r>
      <w:r w:rsidR="00FE2150" w:rsidRPr="002E55DE">
        <w:t xml:space="preserve">call for policies that foster group walking programs, enhance safe and age-friendly walking environments, and implement </w:t>
      </w:r>
      <w:r w:rsidR="00994D4B" w:rsidRPr="002E55DE">
        <w:t xml:space="preserve">customized </w:t>
      </w:r>
      <w:r w:rsidR="00FE2150" w:rsidRPr="002E55DE">
        <w:t>awareness</w:t>
      </w:r>
      <w:r w:rsidR="00AA00B5" w:rsidRPr="002E55DE">
        <w:t>/</w:t>
      </w:r>
      <w:r w:rsidR="00FE2150" w:rsidRPr="002E55DE">
        <w:t xml:space="preserve">incentive initiatives to increase physical activity and </w:t>
      </w:r>
      <w:r w:rsidR="00994D4B" w:rsidRPr="002E55DE">
        <w:t xml:space="preserve">provide equitable access to the many health benefits of walking. </w:t>
      </w:r>
      <w:bookmarkEnd w:id="0"/>
      <w:bookmarkEnd w:id="1"/>
    </w:p>
    <w:p w14:paraId="6F52BF2B" w14:textId="77777777" w:rsidR="0027056D" w:rsidRPr="002E55DE" w:rsidRDefault="0027056D" w:rsidP="00005BA7">
      <w:pPr>
        <w:jc w:val="both"/>
      </w:pPr>
    </w:p>
    <w:p w14:paraId="35C7D24E" w14:textId="45C44D81" w:rsidR="003A14A0" w:rsidRPr="002E55DE" w:rsidRDefault="0027056D" w:rsidP="00005BA7">
      <w:pPr>
        <w:jc w:val="both"/>
      </w:pPr>
      <w:r w:rsidRPr="002E55DE">
        <w:rPr>
          <w:b/>
          <w:bCs/>
        </w:rPr>
        <w:t>Keywords:</w:t>
      </w:r>
      <w:r w:rsidRPr="002E55DE">
        <w:t xml:space="preserve"> older adults, walking behavior, social companionship, multivariate modeling, health </w:t>
      </w:r>
      <w:r w:rsidR="00934BF6">
        <w:t>promotion</w:t>
      </w:r>
      <w:r w:rsidR="003A14A0" w:rsidRPr="002E55DE">
        <w:br w:type="page"/>
      </w:r>
    </w:p>
    <w:p w14:paraId="54FC5BA1" w14:textId="77777777" w:rsidR="00005BA7" w:rsidRDefault="00005BA7" w:rsidP="003518AB">
      <w:pPr>
        <w:pStyle w:val="Heading1"/>
        <w:spacing w:line="240" w:lineRule="auto"/>
        <w:contextualSpacing w:val="0"/>
        <w:rPr>
          <w:caps/>
        </w:rPr>
        <w:sectPr w:rsidR="00005BA7" w:rsidSect="00005BA7">
          <w:pgSz w:w="12240" w:h="15840"/>
          <w:pgMar w:top="1440" w:right="1440" w:bottom="1440" w:left="1440" w:header="720" w:footer="720" w:gutter="0"/>
          <w:cols w:space="720"/>
          <w:docGrid w:linePitch="360"/>
        </w:sectPr>
      </w:pPr>
    </w:p>
    <w:p w14:paraId="0814C0ED" w14:textId="4DD73AEC" w:rsidR="0042480E" w:rsidRPr="002E55DE" w:rsidRDefault="005B5CB6" w:rsidP="003518AB">
      <w:pPr>
        <w:pStyle w:val="Heading1"/>
        <w:spacing w:line="240" w:lineRule="auto"/>
        <w:contextualSpacing w:val="0"/>
        <w:rPr>
          <w:caps/>
        </w:rPr>
      </w:pPr>
      <w:r w:rsidRPr="002E55DE">
        <w:rPr>
          <w:caps/>
        </w:rPr>
        <w:lastRenderedPageBreak/>
        <w:t>Introduction</w:t>
      </w:r>
    </w:p>
    <w:p w14:paraId="5AA5B98F" w14:textId="5B85A500" w:rsidR="00534840" w:rsidRPr="002E55DE" w:rsidRDefault="00B9185D" w:rsidP="003518AB">
      <w:pPr>
        <w:jc w:val="both"/>
        <w:rPr>
          <w:rFonts w:ascii="Times New Roman" w:eastAsiaTheme="minorEastAsia" w:hAnsi="Times New Roman"/>
          <w:bCs/>
          <w:lang w:eastAsia="ko-KR"/>
        </w:rPr>
      </w:pPr>
      <w:bookmarkStart w:id="2" w:name="_Hlk169956766"/>
      <w:r w:rsidRPr="002E55DE">
        <w:rPr>
          <w:rFonts w:ascii="Times New Roman" w:hAnsi="Times New Roman"/>
          <w:bCs/>
        </w:rPr>
        <w:t>Physical activity significantly impacts mental and physical health</w:t>
      </w:r>
      <w:r w:rsidR="00793B26" w:rsidRPr="002E55DE">
        <w:rPr>
          <w:rFonts w:ascii="Times New Roman" w:eastAsiaTheme="minorEastAsia" w:hAnsi="Times New Roman" w:hint="eastAsia"/>
          <w:bCs/>
          <w:lang w:eastAsia="ko-KR"/>
        </w:rPr>
        <w:t>. I</w:t>
      </w:r>
      <w:r w:rsidRPr="002E55DE">
        <w:rPr>
          <w:rFonts w:ascii="Times New Roman" w:hAnsi="Times New Roman"/>
          <w:bCs/>
        </w:rPr>
        <w:t>t reduce</w:t>
      </w:r>
      <w:r w:rsidR="00793B26" w:rsidRPr="002E55DE">
        <w:rPr>
          <w:rFonts w:ascii="Times New Roman" w:eastAsiaTheme="minorEastAsia" w:hAnsi="Times New Roman" w:hint="eastAsia"/>
          <w:bCs/>
          <w:lang w:eastAsia="ko-KR"/>
        </w:rPr>
        <w:t>s</w:t>
      </w:r>
      <w:r w:rsidRPr="002E55DE">
        <w:rPr>
          <w:rFonts w:ascii="Times New Roman" w:hAnsi="Times New Roman"/>
          <w:bCs/>
        </w:rPr>
        <w:t xml:space="preserve"> the risk of cardiovascular diseases and enhance</w:t>
      </w:r>
      <w:r w:rsidR="00793B26" w:rsidRPr="002E55DE">
        <w:rPr>
          <w:rFonts w:ascii="Times New Roman" w:eastAsiaTheme="minorEastAsia" w:hAnsi="Times New Roman" w:hint="eastAsia"/>
          <w:bCs/>
          <w:lang w:eastAsia="ko-KR"/>
        </w:rPr>
        <w:t xml:space="preserve">s </w:t>
      </w:r>
      <w:r w:rsidRPr="002E55DE">
        <w:rPr>
          <w:rFonts w:ascii="Times New Roman" w:hAnsi="Times New Roman"/>
          <w:bCs/>
        </w:rPr>
        <w:t xml:space="preserve">physical </w:t>
      </w:r>
      <w:r w:rsidR="00793B26" w:rsidRPr="002E55DE">
        <w:rPr>
          <w:rFonts w:ascii="Times New Roman" w:eastAsiaTheme="minorEastAsia" w:hAnsi="Times New Roman" w:hint="eastAsia"/>
          <w:bCs/>
          <w:lang w:eastAsia="ko-KR"/>
        </w:rPr>
        <w:t>dexterity</w:t>
      </w:r>
      <w:r w:rsidRPr="002E55DE">
        <w:rPr>
          <w:rFonts w:ascii="Times New Roman" w:hAnsi="Times New Roman"/>
          <w:bCs/>
        </w:rPr>
        <w:t xml:space="preserve"> </w:t>
      </w:r>
      <w:bookmarkStart w:id="3" w:name="_Hlk169959645"/>
      <w:r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{"citationID":"56aaesjr","properties":{"formattedCitation":"(LaCroix et al., 1996; Oja et al., 2018)","plainCitation":"(LaCroix et al., 1996; Oja et al., 2018)","dontUpdate":true,"noteIndex":0},"citationItems":[{"id":"4nY7bDZH/pxRmdJsa","uris":["http://zotero.org/users/10132210/items/QXFDPCTC"],"itemData":{"id":917,"type":"article-journal","abstract":"OBJECTIVES\n              : The purpose of this study was to determine whether walking is associated with a reduced risk of cardiovascular disease hospitalization and death in community‐dwelling older men and women.\n            \n            \n              DESIGN\n              : A prospective study, with follow‐up time of 4 to 5 years (average 4.2 years).\n            \n            \n              SETTING\n              : A western Washington health maintenance organization.\n            \n            \n              PARTICIPANTS\n              : Men and women aged 65 years and older from a random sample of HMO enrollees invited by mail to participate in a health promotion intervention trial (36% accepted the invitation and completed questionnaires). This report is based on 1645 older adults without severe disability and without history of heart disease. Vital status ascertainment was complete (100%), and only 2.6% did not complete the follow‐up.\n            \n            \n              MEASUREMENTS\n              : Reported frequency and duration of walking for exercise, work, errands, pleasure, and hiking in the 2 weeks before baseline were used to classify hours of walking per week. The two main outcomes were: (1) cardiovascular disease hospitalizations with a discharge diagnosis of coronary (ICD‐9‐CM 410–414) or other cardiovascular diseases (ICD‐9‐CM 390–409, 415–448) documented by computerized hospitalization records and (2) death. Numerous potential confounding factors were considered, including age, sex, treated high blood pressure, current estrogen use and chronic disease score (ascertained by computerized medical and pharmacy records), and ethnicity, education, income, physical function, self‐rated health status, smoking, alcohol intake, and body mass index (ascertained by self‐report on the mailed questionnaire).\n            \n            \n              RESULTS\n              : Walking more than 4 hours/week was associated significantly with a reduced risk of cardiovascular disease hospitalization in both sexes combined compared with walking less than 1 hour/week (age and sex‐adjusted relative risk = 0.69; 95% confidence interval, 0.52–0.90). This association was not altered by adjustment for baseline cardiovascular risk factors and indicators of general health status. The association was present in all age groups, among those with and without physical limitations, and also among those who did and did not also participate in more vigorous physical activities. Walking more than 4 hours/week was also associated with a reduced risk of death (age and sex‐adjusted relative risk = 0.73; 95% confidence interval, 0.48–1.10), however, this association was substantially diminished by adjustment for cardiovascular risk factors and measures of general health status.\n            \n            \n              CONCLUSIONS\n              : Walking more than 4 hours/week may reduce the risk of hospitalization for cardiovascular disease events. The association of walking more than 4 hours/week with reduced risk of death may be mediated by effects of walking on other risk factors. These findings provide much stronger evidence than previously available for advising older men and women to embark on or maintain a sustained program of walking to prevent cardiovascular disease events.\n              J Am Geriatr Soc 44:113–120, 1996\n              .","container-title":"Journal of the American Geriatrics Society","DOI":"10.1111/j.1532-5415.1996.tb02425.x","ISSN":"0002-8614, 1532-5415","issue":"2","journalAbbreviation":"J American Geriatrics Society","language":"en","page":"113-120","source":"DOI.org (Crossref)","title":"Does Walking Decrease the Risk of Cardiovascular Disease Hospitalizations and Death in Older Adults?","volume":"44","author":[{"family":"LaCroix","given":"Andrea Z."},{"family":"Leveille","given":"Suzanne G."},{"family":"Hecht","given":"Julia A."},{"family":"Grothaus","given":"Louis C."},{"family":"Wagner","given":"Edward H."}],"issued":{"date-parts":[["1996",2]]}}},{"id":"4nY7bDZH/3LfZzu0N","uris":["http://zotero.org/users/10132210/items/AU8EYMXQ"],"itemData":{"id":945,"type":"article-journal","abstract":"Objective  Walking interventions in healthy populations show clinically relevant improvements for many cardiovascular disease (CVD) risk factors. We aimed to assess the changes in CVD risk factors and the dose–response relationship between frequency, intensity, duration and volume of walking and cardiovascular risk factors based on randomised controlled trials (RCTs). Design  A systematic review with meta-analysis and meta-regression.","container-title":"British Journal of Sports Medicine","DOI":"10.1136/bjsports-2017-098558","ISSN":"0306-3674, 1473-0480","issue":"12","journalAbbreviation":"Br J Sports Med","language":"en","page":"769-775","source":"DOI.org (Crossref)","title":"Effects of frequency, intensity, duration and volume of walking interventions on CVD risk factors: a systematic review and meta-regression analysis of randomised controlled trials among inactive healthy adults","title-short":"Effects of frequency, intensity, duration and volume of walking interventions on CVD risk factors","volume":"52","author":[{"family":"Oja","given":"Pekka"},{"family":"Kelly","given":"Paul"},{"family":"Murtagh","given":"Elaine M"},{"family":"Murphy","given":"Marie H"},{"family":"Foster","given":"Charlie"},{"family":"Titze","given":"Sylvia"}],"issued":{"date-parts":[["2018",6]]}}}],"schema":"https://github.com/citation-style-language/schema/raw/master/csl-citation.json"} </w:instrText>
      </w:r>
      <w:r w:rsidRPr="002E55DE">
        <w:rPr>
          <w:rFonts w:ascii="Times New Roman" w:hAnsi="Times New Roman"/>
          <w:bCs/>
        </w:rPr>
        <w:fldChar w:fldCharType="separate"/>
      </w:r>
      <w:r w:rsidRPr="002E55DE">
        <w:rPr>
          <w:rFonts w:ascii="Times New Roman" w:hAnsi="Times New Roman"/>
          <w:bCs/>
        </w:rPr>
        <w:t>(</w:t>
      </w:r>
      <w:r w:rsidR="00E63022" w:rsidRPr="002E55DE">
        <w:rPr>
          <w:rFonts w:ascii="Times New Roman" w:hAnsi="Times New Roman"/>
          <w:bCs/>
        </w:rPr>
        <w:t xml:space="preserve">see </w:t>
      </w:r>
      <w:r w:rsidRPr="002E55DE">
        <w:rPr>
          <w:rFonts w:ascii="Times New Roman" w:hAnsi="Times New Roman"/>
          <w:bCs/>
        </w:rPr>
        <w:t>LaCroix et al., 1996</w:t>
      </w:r>
      <w:r w:rsidR="00912EAD" w:rsidRPr="002E55DE">
        <w:rPr>
          <w:rFonts w:ascii="Times New Roman" w:hAnsi="Times New Roman"/>
          <w:bCs/>
        </w:rPr>
        <w:t>, and</w:t>
      </w:r>
      <w:r w:rsidRPr="002E55DE">
        <w:rPr>
          <w:rFonts w:ascii="Times New Roman" w:hAnsi="Times New Roman"/>
          <w:bCs/>
        </w:rPr>
        <w:t xml:space="preserve"> Oja et al., 2018)</w:t>
      </w:r>
      <w:r w:rsidRPr="002E55DE">
        <w:rPr>
          <w:rFonts w:ascii="Times New Roman" w:hAnsi="Times New Roman"/>
          <w:bCs/>
        </w:rPr>
        <w:fldChar w:fldCharType="end"/>
      </w:r>
      <w:r w:rsidRPr="002E55DE">
        <w:rPr>
          <w:rFonts w:ascii="Times New Roman" w:hAnsi="Times New Roman"/>
          <w:bCs/>
        </w:rPr>
        <w:t xml:space="preserve">, </w:t>
      </w:r>
      <w:bookmarkEnd w:id="3"/>
      <w:r w:rsidR="00793B26" w:rsidRPr="002E55DE">
        <w:rPr>
          <w:rFonts w:ascii="Times New Roman" w:eastAsiaTheme="minorEastAsia" w:hAnsi="Times New Roman" w:hint="eastAsia"/>
          <w:bCs/>
          <w:lang w:eastAsia="ko-KR"/>
        </w:rPr>
        <w:t xml:space="preserve">while also having the benefit of improving </w:t>
      </w:r>
      <w:r w:rsidRPr="002E55DE">
        <w:rPr>
          <w:rFonts w:ascii="Times New Roman" w:hAnsi="Times New Roman"/>
          <w:bCs/>
        </w:rPr>
        <w:t>mental health</w:t>
      </w:r>
      <w:r w:rsidR="007502C8" w:rsidRPr="002E55DE">
        <w:rPr>
          <w:rFonts w:ascii="Times New Roman" w:eastAsiaTheme="minorEastAsia" w:hAnsi="Times New Roman" w:hint="eastAsia"/>
          <w:bCs/>
          <w:lang w:eastAsia="ko-KR"/>
        </w:rPr>
        <w:t xml:space="preserve"> through a reduction in </w:t>
      </w:r>
      <w:r w:rsidRPr="002E55DE">
        <w:rPr>
          <w:rFonts w:ascii="Times New Roman" w:hAnsi="Times New Roman"/>
          <w:bCs/>
        </w:rPr>
        <w:t xml:space="preserve">depressive symptoms and </w:t>
      </w:r>
      <w:r w:rsidR="007502C8" w:rsidRPr="002E55DE">
        <w:rPr>
          <w:rFonts w:ascii="Times New Roman" w:eastAsiaTheme="minorEastAsia" w:hAnsi="Times New Roman" w:hint="eastAsia"/>
          <w:bCs/>
          <w:lang w:eastAsia="ko-KR"/>
        </w:rPr>
        <w:t>enhanced</w:t>
      </w:r>
      <w:r w:rsidRPr="002E55DE">
        <w:rPr>
          <w:rFonts w:ascii="Times New Roman" w:hAnsi="Times New Roman"/>
          <w:bCs/>
        </w:rPr>
        <w:t xml:space="preserve"> life satisfaction </w:t>
      </w:r>
      <w:bookmarkStart w:id="4" w:name="_Hlk169959638"/>
      <w:r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{"citationID":"StiDvzlB","properties":{"formattedCitation":"(Franke et al., 2021; Julien et al., 2013)","plainCitation":"(Franke et al., 2021; Julien et al., 2013)","dontUpdate":true,"noteIndex":0},"citationItems":[{"id":"4nY7bDZH/AAxeWy4U","uris":["http://zotero.org/users/10132210/items/LT9WH2VU"],"itemData":{"id":940,"type":"article-journal","abstract":"Conclusion: Health promoting interventions that focus on PA and social connectedness through group-based activities can effectively reduce social isolation and loneliness of older adults. Given the ‘epidemic of loneliness’ that plagues many countries currently, these kinds of interventions are timely and important. Research that further delineates mechanisms (e.g., sharing experiences vs. lectures), that modify the effect of an intervention on social connectedness outcomes for older adults engaged in community-based PA programs would be a welcome addition to the literature.","container-title":"BMC Public Health","DOI":"10.1186/s12889-021-10363-1","ISSN":"1471-2458","issue":"1","journalAbbreviation":"BMC Public Health","language":"en","page":"312","source":"DOI.org (Crossref)","title":"“It makes me feel not so alone”: features of the Choose to Move physical activity intervention that reduce loneliness in older adults","title-short":"“It makes me feel not so alone”","volume":"21","author":[{"family":"Franke","given":"Thea"},{"family":"Sims-Gould","given":"Joanie"},{"family":"Nettlefold","given":"Lindsay"},{"family":"Ottoni","given":"Callista"},{"family":"McKay","given":"Heather A."}],"issued":{"date-parts":[["2021",12]]}}},{"id":"4nY7bDZH/ZMQ4jPMI","uris":["http://zotero.org/users/10132210/items/Y672ZG2A"],"itemData":{"id":933,"type":"article-journal","abstract":"Background\n              Cross‐sectional studies show that walking is associated with depression among older adults, but longitudinal associations have rarely been examined. The aim of this study was to investigate longitudinal associations between walking frequency and depressive symptoms in older adults to determine which variable is the stronger prospective predictor of the other.\n            \n            \n              Design\n              Longitudinal; four repeated measures over 5 years.\n            \n            \n              Setting\n              Population‐based sample of urban‐dwelling older adults living in the Montreal metropolitan area.\n            \n            \n              Participants\n              Participants from the VoisiNuAge study aged 68 to 84 (N = 498).\n            \n            \n              Measurements\n              Main exposures: depressive symptoms (Geriatric Depression Scale) and number of walking days in previous week (Physical Activity Scale for the Elderly). Covariates: age, education, and number of chronic illnesses. Cross‐lagged panel analyses were performed in the entire sample and in sex‐stratified subsamples.\n            \n            \n              Results\n              Depressive symptoms predicted walking frequency at subsequent time points (and more precisely, higher depressive symptoms were related to fewer walking days), but walking frequency did not predict depressive symptoms at subsequent time points. Stratified analyses revealed that prospective associations were statistically significant in women but not men.\n            \n            \n              Conclusion\n              The longitudinal association between walking frequency and depressive symptoms is one in which depressive symptoms predict reduced walking frequency later. Higher depressive symptoms are more likely a cause of reduced walking because of time precedence than vice versa. Future research on longitudinal relationships between meeting physical activity recommendations and depression are warranted.","container-title":"Journal of the American Geriatrics Society","DOI":"10.1111/jgs.12546","ISSN":"0002-8614, 1532-5415","issue":"12","journalAbbreviation":"J American Geriatrics Society","language":"en","page":"2072-2078","source":"DOI.org (Crossref)","title":"Longitudinal Associations Between Walking Frequency and Depressive Symptoms in Older Adults: Results from the VoisiNuAge Study","title-short":"Longitudinal Associations Between Walking Frequency and Depressive Symptoms in Older Adults","volume":"61","author":[{"family":"Julien","given":"Dominic"},{"family":"Gauvin","given":"Lise"},{"family":"Richard","given":"Lucie"},{"family":"Kestens","given":"Yan"},{"family":"Payette","given":"Hélène"}],"issued":{"date-parts":[["2013",12]]}}}],"schema":"https://github.com/citation-style-language/schema/raw/master/csl-citation.json"} </w:instrText>
      </w:r>
      <w:r w:rsidRPr="002E55DE">
        <w:rPr>
          <w:rFonts w:ascii="Times New Roman" w:hAnsi="Times New Roman"/>
          <w:bCs/>
        </w:rPr>
        <w:fldChar w:fldCharType="separate"/>
      </w:r>
      <w:r w:rsidRPr="002E55DE">
        <w:rPr>
          <w:rFonts w:ascii="Times New Roman" w:hAnsi="Times New Roman"/>
          <w:bCs/>
        </w:rPr>
        <w:t>(</w:t>
      </w:r>
      <w:r w:rsidR="00E63022" w:rsidRPr="002E55DE">
        <w:rPr>
          <w:rFonts w:ascii="Times New Roman" w:hAnsi="Times New Roman"/>
          <w:bCs/>
        </w:rPr>
        <w:t xml:space="preserve">see </w:t>
      </w:r>
      <w:r w:rsidRPr="002E55DE">
        <w:rPr>
          <w:rFonts w:ascii="Times New Roman" w:hAnsi="Times New Roman"/>
          <w:bCs/>
        </w:rPr>
        <w:t>Julien et al., 2013</w:t>
      </w:r>
      <w:r w:rsidR="00435F79" w:rsidRPr="002E55DE">
        <w:rPr>
          <w:rFonts w:ascii="Times New Roman" w:hAnsi="Times New Roman"/>
          <w:bCs/>
        </w:rPr>
        <w:t>, and Franke et al., 2021</w:t>
      </w:r>
      <w:r w:rsidRPr="002E55DE">
        <w:rPr>
          <w:rFonts w:ascii="Times New Roman" w:hAnsi="Times New Roman"/>
          <w:bCs/>
        </w:rPr>
        <w:t>)</w:t>
      </w:r>
      <w:r w:rsidRPr="002E55DE">
        <w:rPr>
          <w:rFonts w:ascii="Times New Roman" w:hAnsi="Times New Roman"/>
          <w:bCs/>
        </w:rPr>
        <w:fldChar w:fldCharType="end"/>
      </w:r>
      <w:r w:rsidRPr="002E55DE">
        <w:rPr>
          <w:rFonts w:ascii="Times New Roman" w:hAnsi="Times New Roman"/>
          <w:bCs/>
        </w:rPr>
        <w:t xml:space="preserve">. </w:t>
      </w:r>
      <w:bookmarkEnd w:id="4"/>
      <w:r w:rsidR="007502C8" w:rsidRPr="002E55DE">
        <w:rPr>
          <w:rFonts w:ascii="Times New Roman" w:eastAsiaTheme="minorEastAsia" w:hAnsi="Times New Roman" w:hint="eastAsia"/>
          <w:bCs/>
          <w:lang w:eastAsia="ko-KR"/>
        </w:rPr>
        <w:t>Recognizing such physical and mental health benefits of physical activity</w:t>
      </w:r>
      <w:r w:rsidRPr="002E55DE">
        <w:rPr>
          <w:rFonts w:ascii="Times New Roman" w:hAnsi="Times New Roman"/>
          <w:bCs/>
        </w:rPr>
        <w:t xml:space="preserve">, the U.S. Department of Health </w:t>
      </w:r>
      <w:r w:rsidR="00912EAD" w:rsidRPr="002E55DE">
        <w:rPr>
          <w:rFonts w:ascii="Times New Roman" w:hAnsi="Times New Roman"/>
          <w:bCs/>
        </w:rPr>
        <w:t xml:space="preserve">and Human Services (USHHS) </w:t>
      </w:r>
      <w:r w:rsidR="007502C8" w:rsidRPr="002E55DE">
        <w:rPr>
          <w:rFonts w:ascii="Times New Roman" w:eastAsiaTheme="minorEastAsia" w:hAnsi="Times New Roman" w:hint="eastAsia"/>
          <w:bCs/>
          <w:lang w:eastAsia="ko-KR"/>
        </w:rPr>
        <w:t xml:space="preserve">recommends that </w:t>
      </w:r>
      <w:r w:rsidRPr="002E55DE">
        <w:rPr>
          <w:rFonts w:ascii="Times New Roman" w:hAnsi="Times New Roman"/>
          <w:bCs/>
        </w:rPr>
        <w:t xml:space="preserve">adults engage in at least 150 </w:t>
      </w:r>
      <w:r w:rsidR="00C22471" w:rsidRPr="002E55DE">
        <w:rPr>
          <w:rFonts w:ascii="Times New Roman" w:eastAsiaTheme="minorEastAsia" w:hAnsi="Times New Roman" w:hint="eastAsia"/>
          <w:bCs/>
          <w:lang w:eastAsia="ko-KR"/>
        </w:rPr>
        <w:t xml:space="preserve">weekly </w:t>
      </w:r>
      <w:r w:rsidRPr="002E55DE">
        <w:rPr>
          <w:rFonts w:ascii="Times New Roman" w:hAnsi="Times New Roman"/>
          <w:bCs/>
        </w:rPr>
        <w:t xml:space="preserve">minutes of moderate-intensity aerobic physical activity </w:t>
      </w:r>
      <w:bookmarkStart w:id="5" w:name="_Hlk169959670"/>
      <w:r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{"citationID":"1i6SYVMQ","properties":{"formattedCitation":"(U.S. Department of Health and Human Services, 2018)","plainCitation":"(U.S. Department of Health and Human Services, 2018)","dontUpdate":true,"noteIndex":0},"citationItems":[{"id":"4nY7bDZH/EDjqB276","uris":["http://zotero.org/users/10132210/items/KSYNK8I8"],"itemData":{"id":962,"type":"article-journal","language":"en","source":"Zotero","title":"Physical Activity Guidelines for Americans, 2nd edition","author":[{"family":"U.S. Department of Health and Human Services","given":""}],"issued":{"date-parts":[["2018"]]}}}],"schema":"https://github.com/citation-style-language/schema/raw/master/csl-citation.json"} </w:instrText>
      </w:r>
      <w:r w:rsidRPr="002E55DE">
        <w:rPr>
          <w:rFonts w:ascii="Times New Roman" w:hAnsi="Times New Roman"/>
          <w:bCs/>
        </w:rPr>
        <w:fldChar w:fldCharType="separate"/>
      </w:r>
      <w:r w:rsidR="00912EAD" w:rsidRPr="002E55DE">
        <w:rPr>
          <w:rFonts w:ascii="Times New Roman" w:eastAsiaTheme="minorEastAsia" w:hAnsi="Times New Roman"/>
          <w:bCs/>
          <w:lang w:eastAsia="ko-KR"/>
        </w:rPr>
        <w:t>(</w:t>
      </w:r>
      <w:r w:rsidR="00C22471" w:rsidRPr="002E55DE">
        <w:rPr>
          <w:rFonts w:ascii="Times New Roman" w:eastAsiaTheme="minorEastAsia" w:hAnsi="Times New Roman"/>
          <w:bCs/>
          <w:lang w:eastAsia="ko-KR"/>
        </w:rPr>
        <w:t>USHHS</w:t>
      </w:r>
      <w:r w:rsidRPr="002E55DE">
        <w:rPr>
          <w:rFonts w:ascii="Times New Roman" w:hAnsi="Times New Roman"/>
          <w:bCs/>
        </w:rPr>
        <w:t>, 2018)</w:t>
      </w:r>
      <w:r w:rsidRPr="002E55DE">
        <w:rPr>
          <w:rFonts w:ascii="Times New Roman" w:hAnsi="Times New Roman"/>
          <w:bCs/>
        </w:rPr>
        <w:fldChar w:fldCharType="end"/>
      </w:r>
      <w:r w:rsidRPr="002E55DE">
        <w:rPr>
          <w:rFonts w:ascii="Times New Roman" w:hAnsi="Times New Roman"/>
          <w:bCs/>
        </w:rPr>
        <w:t xml:space="preserve">. </w:t>
      </w:r>
      <w:bookmarkEnd w:id="5"/>
      <w:r w:rsidRPr="002E55DE">
        <w:rPr>
          <w:rFonts w:ascii="Times New Roman" w:hAnsi="Times New Roman"/>
          <w:bCs/>
        </w:rPr>
        <w:t xml:space="preserve">However, </w:t>
      </w:r>
      <w:r w:rsidR="00D85AE4" w:rsidRPr="002E55DE">
        <w:rPr>
          <w:rFonts w:ascii="Times New Roman" w:hAnsi="Times New Roman"/>
          <w:bCs/>
        </w:rPr>
        <w:t xml:space="preserve">data shows that </w:t>
      </w:r>
      <w:r w:rsidR="00C22471" w:rsidRPr="002E55DE">
        <w:rPr>
          <w:rFonts w:ascii="Times New Roman" w:eastAsiaTheme="minorEastAsia" w:hAnsi="Times New Roman" w:hint="eastAsia"/>
          <w:bCs/>
          <w:lang w:eastAsia="ko-KR"/>
        </w:rPr>
        <w:t xml:space="preserve">a large fraction of adults, particularly older adults, do not meet this recommendation. Specifically, </w:t>
      </w:r>
      <w:r w:rsidRPr="002E55DE">
        <w:rPr>
          <w:rFonts w:ascii="Times New Roman" w:hAnsi="Times New Roman"/>
          <w:bCs/>
        </w:rPr>
        <w:t xml:space="preserve">only </w:t>
      </w:r>
      <w:r w:rsidR="00042FB2" w:rsidRPr="002E55DE">
        <w:rPr>
          <w:rFonts w:ascii="Times New Roman" w:hAnsi="Times New Roman"/>
          <w:bCs/>
        </w:rPr>
        <w:t>13.9</w:t>
      </w:r>
      <w:r w:rsidRPr="002E55DE">
        <w:rPr>
          <w:rFonts w:ascii="Times New Roman" w:hAnsi="Times New Roman"/>
          <w:bCs/>
        </w:rPr>
        <w:t>% of individuals aged 65 and older me</w:t>
      </w:r>
      <w:r w:rsidR="00D10B8C" w:rsidRPr="002E55DE">
        <w:rPr>
          <w:rFonts w:ascii="Times New Roman" w:eastAsiaTheme="minorEastAsia" w:hAnsi="Times New Roman" w:hint="eastAsia"/>
          <w:bCs/>
          <w:lang w:eastAsia="ko-KR"/>
        </w:rPr>
        <w:t>e</w:t>
      </w:r>
      <w:r w:rsidRPr="002E55DE">
        <w:rPr>
          <w:rFonts w:ascii="Times New Roman" w:hAnsi="Times New Roman"/>
          <w:bCs/>
        </w:rPr>
        <w:t>t this standard, compared to 4</w:t>
      </w:r>
      <w:r w:rsidR="00042FB2" w:rsidRPr="002E55DE">
        <w:rPr>
          <w:rFonts w:ascii="Times New Roman" w:hAnsi="Times New Roman"/>
          <w:bCs/>
        </w:rPr>
        <w:t>9</w:t>
      </w:r>
      <w:r w:rsidRPr="002E55DE">
        <w:rPr>
          <w:rFonts w:ascii="Times New Roman" w:hAnsi="Times New Roman"/>
          <w:bCs/>
        </w:rPr>
        <w:t>.</w:t>
      </w:r>
      <w:r w:rsidR="00042FB2" w:rsidRPr="002E55DE">
        <w:rPr>
          <w:rFonts w:ascii="Times New Roman" w:hAnsi="Times New Roman"/>
          <w:bCs/>
        </w:rPr>
        <w:t>7</w:t>
      </w:r>
      <w:r w:rsidRPr="002E55DE">
        <w:rPr>
          <w:rFonts w:ascii="Times New Roman" w:hAnsi="Times New Roman"/>
          <w:bCs/>
        </w:rPr>
        <w:t xml:space="preserve">% </w:t>
      </w:r>
      <w:r w:rsidR="00D10B8C" w:rsidRPr="002E55DE">
        <w:rPr>
          <w:rFonts w:ascii="Times New Roman" w:eastAsiaTheme="minorEastAsia" w:hAnsi="Times New Roman" w:hint="eastAsia"/>
          <w:bCs/>
          <w:lang w:eastAsia="ko-KR"/>
        </w:rPr>
        <w:t xml:space="preserve">of all </w:t>
      </w:r>
      <w:r w:rsidRPr="002E55DE">
        <w:rPr>
          <w:rFonts w:ascii="Times New Roman" w:hAnsi="Times New Roman"/>
          <w:bCs/>
        </w:rPr>
        <w:t xml:space="preserve">adults </w:t>
      </w:r>
      <w:r w:rsidR="00042FB2" w:rsidRPr="002E55DE">
        <w:rPr>
          <w:rFonts w:ascii="Times New Roman" w:hAnsi="Times New Roman"/>
          <w:bCs/>
        </w:rPr>
        <w:t>in the 18 to 64 age group</w:t>
      </w:r>
      <w:r w:rsidRPr="002E55DE">
        <w:rPr>
          <w:rFonts w:ascii="Times New Roman" w:hAnsi="Times New Roman"/>
          <w:bCs/>
        </w:rPr>
        <w:t xml:space="preserve"> </w:t>
      </w:r>
      <w:bookmarkStart w:id="6" w:name="_Hlk169959694"/>
      <w:r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{"citationID":"CQOSgoUm","properties":{"formattedCitation":"(National Center for Health Statistics, 2019)","plainCitation":"(National Center for Health Statistics, 2019)","noteIndex":0},"citationItems":[{"id":"4nY7bDZH/r7mE8zLT","uris":["http://zotero.org/users/10132210/items/FTLCCUU6"],"itemData":{"id":942,"type":"dataset","event-place":"Hyattsville, MD","publisher-place":"Hyattsville, MD","title":"Health, America, 2019: Table 25","URL":"https://www.cdc.gov/nchs/hus/contents2019.htm","author":[{"family":"National Center for Health Statistics","given":""}],"issued":{"date-parts":[["2019"]]}}}],"schema":"https://github.com/citation-style-language/schema/raw/master/csl-citation.json"} </w:instrText>
      </w:r>
      <w:r w:rsidRPr="002E55DE">
        <w:rPr>
          <w:rFonts w:ascii="Times New Roman" w:hAnsi="Times New Roman"/>
          <w:bCs/>
        </w:rPr>
        <w:fldChar w:fldCharType="separate"/>
      </w:r>
      <w:r w:rsidRPr="002E55DE">
        <w:rPr>
          <w:rFonts w:ascii="Times New Roman" w:hAnsi="Times New Roman"/>
          <w:bCs/>
        </w:rPr>
        <w:t>(National Center for Health Statistics, 2019)</w:t>
      </w:r>
      <w:r w:rsidRPr="002E55DE">
        <w:rPr>
          <w:rFonts w:ascii="Times New Roman" w:hAnsi="Times New Roman"/>
          <w:bCs/>
        </w:rPr>
        <w:fldChar w:fldCharType="end"/>
      </w:r>
      <w:bookmarkEnd w:id="6"/>
      <w:r w:rsidRPr="002E55DE">
        <w:rPr>
          <w:rFonts w:ascii="Times New Roman" w:hAnsi="Times New Roman"/>
          <w:bCs/>
        </w:rPr>
        <w:t xml:space="preserve">. </w:t>
      </w:r>
      <w:r w:rsidR="00526A71" w:rsidRPr="002E55DE">
        <w:rPr>
          <w:rFonts w:ascii="Times New Roman" w:eastAsiaTheme="minorEastAsia" w:hAnsi="Times New Roman" w:hint="eastAsia"/>
          <w:bCs/>
          <w:lang w:eastAsia="ko-KR"/>
        </w:rPr>
        <w:t>One reason that older adults lag behind in physical activity is the increased physical frailty with age</w:t>
      </w:r>
      <w:r w:rsidR="00FE493C" w:rsidRPr="002E55DE">
        <w:rPr>
          <w:rFonts w:ascii="Times New Roman" w:eastAsiaTheme="minorEastAsia" w:hAnsi="Times New Roman"/>
          <w:bCs/>
          <w:lang w:eastAsia="ko-KR"/>
        </w:rPr>
        <w:t xml:space="preserve">, </w:t>
      </w:r>
      <w:r w:rsidR="00FE493C" w:rsidRPr="002E55DE">
        <w:rPr>
          <w:rFonts w:ascii="Times New Roman" w:eastAsiaTheme="minorEastAsia" w:hAnsi="Times New Roman" w:hint="eastAsia"/>
          <w:bCs/>
          <w:lang w:eastAsia="ko-KR"/>
        </w:rPr>
        <w:t>mak</w:t>
      </w:r>
      <w:r w:rsidR="00FE493C" w:rsidRPr="002E55DE">
        <w:rPr>
          <w:rFonts w:ascii="Times New Roman" w:eastAsiaTheme="minorEastAsia" w:hAnsi="Times New Roman"/>
          <w:bCs/>
          <w:lang w:eastAsia="ko-KR"/>
        </w:rPr>
        <w:t xml:space="preserve">ing </w:t>
      </w:r>
      <w:r w:rsidR="00FE493C" w:rsidRPr="002E55DE">
        <w:rPr>
          <w:rFonts w:ascii="Times New Roman" w:eastAsiaTheme="minorEastAsia" w:hAnsi="Times New Roman" w:hint="eastAsia"/>
          <w:bCs/>
          <w:lang w:eastAsia="ko-KR"/>
        </w:rPr>
        <w:t>it more difficult for older adults to partake in relatively vigorous physical activities such as running or playing soccer</w:t>
      </w:r>
      <w:r w:rsidR="00FE493C" w:rsidRPr="002E55DE">
        <w:rPr>
          <w:rFonts w:ascii="Times New Roman" w:eastAsiaTheme="minorEastAsia" w:hAnsi="Times New Roman"/>
          <w:bCs/>
          <w:lang w:eastAsia="ko-KR"/>
        </w:rPr>
        <w:t>. Besides, older adults tend to be more susceptible to injuries and bone fractures when engaging in strenuous physical activities</w:t>
      </w:r>
      <w:bookmarkStart w:id="7" w:name="_Hlk169959713"/>
      <w:r w:rsidR="00FE493C" w:rsidRPr="002E55DE">
        <w:rPr>
          <w:rFonts w:ascii="Times New Roman" w:eastAsiaTheme="minorEastAsia" w:hAnsi="Times New Roman"/>
          <w:bCs/>
          <w:lang w:eastAsia="ko-KR"/>
        </w:rPr>
        <w:t xml:space="preserve"> </w:t>
      </w:r>
      <w:r w:rsidR="004D684B"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{"citationID":"NGQ55XSo","properties":{"formattedCitation":"(Spiteri et al., 2019)","plainCitation":"(Spiteri et al., 2019)","dontUpdate":true,"noteIndex":0},"citationItems":[{"id":"4nY7bDZH/l6rRxcdI","uris":["http://zotero.org/users/10132210/items/QNCM384V"],"itemData":{"id":1141,"type":"article-journal","abstract":"Identifying the difference in the barriers and motivators between middle-aged and older adults could contribute toward the development of age-speciﬁc health promotion interventions. The aim of this review was to synthesize the literature on the barriers and motivators for physical activity in middle-aged (50–64 years) and older (65–70 years) adults. This review examined qualitative and quantitative studies using the theoretical domain framework as the guiding theory. The search generated 9,400 results from seven databases, and 55 articles meeting the inclusion criteria were included. The results indicate that the barriers are comparable across the two age groups, with environmental factors and resources being the most commonly identiﬁed barriers. In older adults, social inﬂuences, reinforcement, and assistance in managing change were the most identiﬁed motivators. In middleaged adults, goal-setting, the belief that an activity will be beneﬁcial, and social inﬂuences were identiﬁed as the most important motivators. These ﬁndings can be used by professionals to encourage engagement with and adherence to physical activity.","container-title":"Journal of Aging and Physical Activity","DOI":"10.1123/japa.2018-0343","ISSN":"1063-8652, 1543-267X","issue":"6","language":"en","page":"929-944","source":"DOI.org (Crossref)","title":"Barriers and Motivators of Physical Activity Participation in Middle-Aged and Older Adults—A Systematic Review","volume":"27","author":[{"family":"Spiteri","given":"Karl"},{"family":"Broom","given":"David"},{"family":"Hassan Bekhet","given":"Amira"},{"family":"Xerri De Caro","given":"John"},{"family":"Laventure","given":"Bob"},{"family":"Grafton","given":"Kate"}],"issued":{"date-parts":[["2019",12,1]]}}}],"schema":"https://github.com/citation-style-language/schema/raw/master/csl-citation.json"} </w:instrText>
      </w:r>
      <w:r w:rsidR="004D684B" w:rsidRPr="002E55DE">
        <w:rPr>
          <w:rFonts w:ascii="Times New Roman" w:eastAsiaTheme="minorEastAsia" w:hAnsi="Times New Roman"/>
          <w:bCs/>
          <w:lang w:eastAsia="ko-KR"/>
        </w:rPr>
        <w:fldChar w:fldCharType="separate"/>
      </w:r>
      <w:r w:rsidR="004D684B" w:rsidRPr="002E55DE">
        <w:rPr>
          <w:rFonts w:ascii="Times New Roman" w:hAnsi="Times New Roman"/>
        </w:rPr>
        <w:t>(</w:t>
      </w:r>
      <w:r w:rsidR="004C1527" w:rsidRPr="002E55DE">
        <w:rPr>
          <w:rFonts w:ascii="Times New Roman" w:hAnsi="Times New Roman"/>
        </w:rPr>
        <w:t xml:space="preserve">see </w:t>
      </w:r>
      <w:r w:rsidR="004D684B" w:rsidRPr="002E55DE">
        <w:rPr>
          <w:rFonts w:ascii="Times New Roman" w:hAnsi="Times New Roman"/>
        </w:rPr>
        <w:t>Spiteri et al., 2019)</w:t>
      </w:r>
      <w:r w:rsidR="004D684B" w:rsidRPr="002E55DE">
        <w:rPr>
          <w:rFonts w:ascii="Times New Roman" w:eastAsiaTheme="minorEastAsia" w:hAnsi="Times New Roman"/>
          <w:bCs/>
          <w:lang w:eastAsia="ko-KR"/>
        </w:rPr>
        <w:fldChar w:fldCharType="end"/>
      </w:r>
      <w:bookmarkEnd w:id="7"/>
      <w:r w:rsidR="007F2901" w:rsidRPr="002E55DE">
        <w:rPr>
          <w:rFonts w:ascii="Times New Roman" w:eastAsiaTheme="minorEastAsia" w:hAnsi="Times New Roman" w:hint="eastAsia"/>
          <w:bCs/>
          <w:lang w:eastAsia="ko-KR"/>
        </w:rPr>
        <w:t>.</w:t>
      </w:r>
      <w:r w:rsidR="00526A71" w:rsidRPr="002E55DE">
        <w:rPr>
          <w:rFonts w:ascii="Times New Roman" w:eastAsiaTheme="minorEastAsia" w:hAnsi="Times New Roman" w:hint="eastAsia"/>
          <w:bCs/>
          <w:lang w:eastAsia="ko-KR"/>
        </w:rPr>
        <w:t xml:space="preserve"> </w:t>
      </w:r>
      <w:r w:rsidR="005B1B7B" w:rsidRPr="002E55DE">
        <w:rPr>
          <w:rFonts w:ascii="Times New Roman" w:eastAsiaTheme="minorEastAsia" w:hAnsi="Times New Roman" w:hint="eastAsia"/>
          <w:bCs/>
          <w:lang w:eastAsia="ko-KR"/>
        </w:rPr>
        <w:t>Thus, t</w:t>
      </w:r>
      <w:r w:rsidR="00D85AE4" w:rsidRPr="002E55DE">
        <w:rPr>
          <w:rFonts w:ascii="Times New Roman" w:hAnsi="Times New Roman"/>
          <w:bCs/>
        </w:rPr>
        <w:t>he Center</w:t>
      </w:r>
      <w:r w:rsidR="00E63022" w:rsidRPr="002E55DE">
        <w:rPr>
          <w:rFonts w:ascii="Times New Roman" w:hAnsi="Times New Roman"/>
          <w:bCs/>
        </w:rPr>
        <w:t>s</w:t>
      </w:r>
      <w:r w:rsidR="00D85AE4" w:rsidRPr="002E55DE">
        <w:rPr>
          <w:rFonts w:ascii="Times New Roman" w:hAnsi="Times New Roman"/>
          <w:bCs/>
        </w:rPr>
        <w:t xml:space="preserve"> for Disease Control and Prevention (CDC) recommends brisk walking as the primary moderate-intensity activity for older adults</w:t>
      </w:r>
      <w:r w:rsidR="003B406F" w:rsidRPr="002E55DE">
        <w:rPr>
          <w:rFonts w:ascii="Times New Roman" w:eastAsiaTheme="minorEastAsia" w:hAnsi="Times New Roman" w:hint="eastAsia"/>
          <w:bCs/>
          <w:lang w:eastAsia="ko-KR"/>
        </w:rPr>
        <w:t xml:space="preserve">, </w:t>
      </w:r>
      <w:r w:rsidR="004C1527" w:rsidRPr="002E55DE">
        <w:rPr>
          <w:rFonts w:ascii="Times New Roman" w:eastAsiaTheme="minorEastAsia" w:hAnsi="Times New Roman"/>
          <w:bCs/>
          <w:lang w:eastAsia="ko-KR"/>
        </w:rPr>
        <w:t>which</w:t>
      </w:r>
      <w:r w:rsidR="004C1527" w:rsidRPr="002E55DE">
        <w:rPr>
          <w:rFonts w:ascii="Times New Roman" w:eastAsiaTheme="minorEastAsia" w:hAnsi="Times New Roman" w:hint="eastAsia"/>
          <w:bCs/>
          <w:lang w:eastAsia="ko-KR"/>
        </w:rPr>
        <w:t xml:space="preserve"> </w:t>
      </w:r>
      <w:r w:rsidR="003B406F" w:rsidRPr="002E55DE">
        <w:rPr>
          <w:rFonts w:ascii="Times New Roman" w:eastAsiaTheme="minorEastAsia" w:hAnsi="Times New Roman" w:hint="eastAsia"/>
          <w:bCs/>
          <w:lang w:eastAsia="ko-KR"/>
        </w:rPr>
        <w:t xml:space="preserve">forms the basis for social programs </w:t>
      </w:r>
      <w:r w:rsidR="00F301B1" w:rsidRPr="002E55DE">
        <w:rPr>
          <w:rFonts w:ascii="Times New Roman" w:eastAsiaTheme="minorEastAsia" w:hAnsi="Times New Roman" w:hint="eastAsia"/>
          <w:bCs/>
          <w:lang w:eastAsia="ko-KR"/>
        </w:rPr>
        <w:t xml:space="preserve">promoting walking </w:t>
      </w:r>
      <w:r w:rsidR="003B406F" w:rsidRPr="002E55DE">
        <w:rPr>
          <w:rFonts w:ascii="Times New Roman" w:eastAsiaTheme="minorEastAsia" w:hAnsi="Times New Roman" w:hint="eastAsia"/>
          <w:bCs/>
          <w:lang w:eastAsia="ko-KR"/>
        </w:rPr>
        <w:t xml:space="preserve">in the U.S. and beyond (for example, </w:t>
      </w:r>
      <w:r w:rsidR="00873780" w:rsidRPr="002E55DE">
        <w:rPr>
          <w:rFonts w:ascii="Times New Roman" w:eastAsiaTheme="minorEastAsia" w:hAnsi="Times New Roman"/>
          <w:bCs/>
          <w:lang w:eastAsia="ko-KR"/>
        </w:rPr>
        <w:t xml:space="preserve">the </w:t>
      </w:r>
      <w:r w:rsidR="004F4A9A" w:rsidRPr="002E55DE">
        <w:rPr>
          <w:rFonts w:ascii="Times New Roman" w:eastAsiaTheme="minorEastAsia" w:hAnsi="Times New Roman"/>
          <w:bCs/>
          <w:lang w:eastAsia="ko-KR"/>
        </w:rPr>
        <w:t>“</w:t>
      </w:r>
      <w:r w:rsidR="004F4A9A" w:rsidRPr="002E55DE">
        <w:rPr>
          <w:rFonts w:ascii="Times New Roman" w:eastAsiaTheme="minorEastAsia" w:hAnsi="Times New Roman" w:hint="eastAsia"/>
          <w:bCs/>
          <w:lang w:eastAsia="ko-KR"/>
        </w:rPr>
        <w:t>Walk2Connect</w:t>
      </w:r>
      <w:r w:rsidR="004F4A9A" w:rsidRPr="002E55DE">
        <w:rPr>
          <w:rFonts w:ascii="Times New Roman" w:eastAsiaTheme="minorEastAsia" w:hAnsi="Times New Roman"/>
          <w:bCs/>
          <w:lang w:eastAsia="ko-KR"/>
        </w:rPr>
        <w:t>”</w:t>
      </w:r>
      <w:r w:rsidR="004F4A9A" w:rsidRPr="002E55DE">
        <w:rPr>
          <w:rFonts w:ascii="Times New Roman" w:eastAsiaTheme="minorEastAsia" w:hAnsi="Times New Roman" w:hint="eastAsia"/>
          <w:bCs/>
          <w:lang w:eastAsia="ko-KR"/>
        </w:rPr>
        <w:t xml:space="preserve"> in the U.S</w:t>
      </w:r>
      <w:r w:rsidR="006E3826">
        <w:rPr>
          <w:rFonts w:ascii="Times New Roman" w:eastAsiaTheme="minorEastAsia" w:hAnsi="Times New Roman"/>
          <w:bCs/>
          <w:lang w:eastAsia="ko-KR"/>
        </w:rPr>
        <w:t>.</w:t>
      </w:r>
      <w:r w:rsidR="004F4A9A" w:rsidRPr="002E55DE">
        <w:rPr>
          <w:rFonts w:ascii="Times New Roman" w:eastAsiaTheme="minorEastAsia" w:hAnsi="Times New Roman" w:hint="eastAsia"/>
          <w:bCs/>
          <w:lang w:eastAsia="ko-KR"/>
        </w:rPr>
        <w:t xml:space="preserve">, the </w:t>
      </w:r>
      <w:r w:rsidR="00F179A7" w:rsidRPr="002E55DE">
        <w:rPr>
          <w:rFonts w:ascii="Times New Roman" w:hAnsi="Times New Roman"/>
          <w:bCs/>
        </w:rPr>
        <w:t xml:space="preserve"> </w:t>
      </w:r>
      <w:r w:rsidR="004F4A9A" w:rsidRPr="002E55DE">
        <w:rPr>
          <w:rFonts w:ascii="Times New Roman" w:eastAsiaTheme="minorEastAsia" w:hAnsi="Times New Roman"/>
          <w:bCs/>
          <w:lang w:eastAsia="ko-KR"/>
        </w:rPr>
        <w:t>“</w:t>
      </w:r>
      <w:r w:rsidR="00F179A7" w:rsidRPr="002E55DE">
        <w:rPr>
          <w:rFonts w:ascii="Times New Roman" w:hAnsi="Times New Roman"/>
          <w:bCs/>
        </w:rPr>
        <w:t>Choose to Move</w:t>
      </w:r>
      <w:r w:rsidR="004F4A9A" w:rsidRPr="002E55DE">
        <w:rPr>
          <w:rFonts w:ascii="Times New Roman" w:eastAsiaTheme="minorEastAsia" w:hAnsi="Times New Roman"/>
          <w:bCs/>
          <w:lang w:eastAsia="ko-KR"/>
        </w:rPr>
        <w:t>”</w:t>
      </w:r>
      <w:r w:rsidR="00F179A7" w:rsidRPr="002E55DE">
        <w:rPr>
          <w:rFonts w:ascii="Times New Roman" w:hAnsi="Times New Roman"/>
          <w:bCs/>
        </w:rPr>
        <w:t xml:space="preserve"> in Canada</w:t>
      </w:r>
      <w:r w:rsidR="00E63022" w:rsidRPr="002E55DE">
        <w:rPr>
          <w:rFonts w:ascii="Times New Roman" w:hAnsi="Times New Roman"/>
          <w:bCs/>
        </w:rPr>
        <w:t>,</w:t>
      </w:r>
      <w:r w:rsidR="00F179A7" w:rsidRPr="002E55DE">
        <w:rPr>
          <w:rFonts w:ascii="Times New Roman" w:hAnsi="Times New Roman"/>
          <w:bCs/>
        </w:rPr>
        <w:t xml:space="preserve"> and </w:t>
      </w:r>
      <w:r w:rsidR="00873780" w:rsidRPr="002E55DE">
        <w:rPr>
          <w:rFonts w:ascii="Times New Roman" w:hAnsi="Times New Roman"/>
          <w:bCs/>
        </w:rPr>
        <w:t xml:space="preserve">the </w:t>
      </w:r>
      <w:r w:rsidR="00217B8E" w:rsidRPr="002E55DE">
        <w:rPr>
          <w:rFonts w:ascii="Times New Roman" w:eastAsiaTheme="minorEastAsia" w:hAnsi="Times New Roman"/>
          <w:bCs/>
          <w:lang w:eastAsia="ko-KR"/>
        </w:rPr>
        <w:t>“</w:t>
      </w:r>
      <w:r w:rsidR="00F179A7" w:rsidRPr="002E55DE">
        <w:rPr>
          <w:rFonts w:ascii="Times New Roman" w:hAnsi="Times New Roman"/>
          <w:bCs/>
        </w:rPr>
        <w:t>Walking for Health</w:t>
      </w:r>
      <w:r w:rsidR="00217B8E" w:rsidRPr="002E55DE">
        <w:rPr>
          <w:rFonts w:ascii="Times New Roman" w:eastAsiaTheme="minorEastAsia" w:hAnsi="Times New Roman"/>
          <w:bCs/>
          <w:lang w:eastAsia="ko-KR"/>
        </w:rPr>
        <w:t>”</w:t>
      </w:r>
      <w:r w:rsidR="00F179A7" w:rsidRPr="002E55DE">
        <w:rPr>
          <w:rFonts w:ascii="Times New Roman" w:hAnsi="Times New Roman"/>
          <w:bCs/>
        </w:rPr>
        <w:t xml:space="preserve"> in England</w:t>
      </w:r>
      <w:r w:rsidR="00217B8E" w:rsidRPr="002E55DE">
        <w:rPr>
          <w:rFonts w:ascii="Times New Roman" w:eastAsiaTheme="minorEastAsia" w:hAnsi="Times New Roman" w:hint="eastAsia"/>
          <w:bCs/>
          <w:lang w:eastAsia="ko-KR"/>
        </w:rPr>
        <w:t xml:space="preserve">; </w:t>
      </w:r>
      <w:r w:rsidR="00217B8E" w:rsidRPr="002E55DE">
        <w:rPr>
          <w:rFonts w:ascii="Times New Roman" w:eastAsiaTheme="minorEastAsia" w:hAnsi="Times New Roman"/>
          <w:bCs/>
          <w:lang w:eastAsia="ko-KR"/>
        </w:rPr>
        <w:t>see</w:t>
      </w:r>
      <w:r w:rsidR="00A9351C" w:rsidRPr="002E55DE">
        <w:rPr>
          <w:rFonts w:ascii="Times New Roman" w:eastAsiaTheme="minorEastAsia" w:hAnsi="Times New Roman" w:hint="eastAsia"/>
          <w:bCs/>
          <w:lang w:eastAsia="ko-KR"/>
        </w:rPr>
        <w:t xml:space="preserve"> </w:t>
      </w:r>
      <w:r w:rsidR="00A9351C"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{"citationID":"f8dIH73s","properties":{"formattedCitation":"(Hanson &amp; Jones, 2015)","plainCitation":"(Hanson &amp; Jones, 2015)","dontUpdate":true,"noteIndex":0},"citationItems":[{"id":"4nY7bDZH/rxdhWu1W","uris":["http://zotero.org/users/10132210/items/NXNPPNDY"],"itemData":{"id":984,"type":"article-journal","abstract":"Introduction: If an intervention is not well spatially targeted, appropriate levels of uptake, efficacy, long-term compliance and improved health outcomes are unlikely to be attained. Effective health interventions should seek to achieve not only absolute improvements in health but also to reduce inequity. There is often a disparity whereby preventative interventions are more likely to be successful amongst the more affluent, a process which has been coined the ‘inverse prevention law’. Physical inactivity is known to be socially patterned and disproportionately prevalent in disadvantaged communities yet there is a lack of clear evidence on which interventions have the potential to influence inequity. Walking groups have been found to have multiple health benefits and increase physical activity. In England the major facilitator is a not for profit organisation which has 70,000 regular walkers and is lay led with 10,000 volunteers. The aim of this study was to evaluate the extent to which walking groups operated in those places with the greatest health need and whether consequently the scheme has the potential to influence health inequity.\nMethod: The work used a spatial approach whereby geographical variations in walking group provision within the 326 local authorities in England (mean population 163,410) were linked to health and socio-economic measures of population need.\nResults: Generally, greater need was not associated with higher provision of the walking group intervention. Although the magnitude of differences was small, provision of the intervention tended to be poorest in those local authorities with the greatest health need, as measured by our indicators.\nConclusions: Without targeting those areas with greater health and socio-economic need, there is a concern that walking groups may not be set up in areas that need them most. There is therefore a potential that this intervention could, albeit in a small way, widen inequity between local authorities. However small-scale and well-intentioned, interventions need to be evaluated for their potential impact on inequity.","container-title":"International Journal for Equity in Health","DOI":"10.1186/s12939-015-0256-x","ISSN":"1475-9276","issue":"1","journalAbbreviation":"Int J Equity Health","language":"en","page":"106","source":"DOI.org (Crossref)","title":"A spatial equity analysis of a public health intervention: a case study of an outdoor walking group provider within local authorities in England","title-short":"A spatial equity analysis of a public health intervention","volume":"14","author":[{"family":"Hanson","given":"Sarah"},{"family":"Jones","given":"Andy"}],"issued":{"date-parts":[["2015",12]]}}}],"schema":"https://github.com/citation-style-language/schema/raw/master/csl-citation.json"} </w:instrText>
      </w:r>
      <w:r w:rsidR="00A9351C" w:rsidRPr="002E55DE">
        <w:rPr>
          <w:rFonts w:ascii="Times New Roman" w:eastAsiaTheme="minorEastAsia" w:hAnsi="Times New Roman"/>
          <w:bCs/>
          <w:lang w:eastAsia="ko-KR"/>
        </w:rPr>
        <w:fldChar w:fldCharType="separate"/>
      </w:r>
      <w:r w:rsidR="00A9351C" w:rsidRPr="002E55DE">
        <w:rPr>
          <w:rFonts w:ascii="Times New Roman" w:hAnsi="Times New Roman"/>
        </w:rPr>
        <w:t xml:space="preserve">Hanson </w:t>
      </w:r>
      <w:r w:rsidR="00282819" w:rsidRPr="002E55DE">
        <w:rPr>
          <w:rFonts w:ascii="Times New Roman" w:eastAsiaTheme="minorEastAsia" w:hAnsi="Times New Roman" w:hint="eastAsia"/>
          <w:lang w:eastAsia="ko-KR"/>
        </w:rPr>
        <w:t>and</w:t>
      </w:r>
      <w:r w:rsidR="00A9351C" w:rsidRPr="002E55DE">
        <w:rPr>
          <w:rFonts w:ascii="Times New Roman" w:hAnsi="Times New Roman"/>
        </w:rPr>
        <w:t xml:space="preserve"> Jones, 2015</w:t>
      </w:r>
      <w:r w:rsidR="00A9351C" w:rsidRPr="002E55DE">
        <w:rPr>
          <w:rFonts w:ascii="Times New Roman" w:eastAsiaTheme="minorEastAsia" w:hAnsi="Times New Roman"/>
          <w:bCs/>
          <w:lang w:eastAsia="ko-KR"/>
        </w:rPr>
        <w:fldChar w:fldCharType="end"/>
      </w:r>
      <w:r w:rsidR="00217B8E" w:rsidRPr="002E55DE">
        <w:rPr>
          <w:rFonts w:ascii="Times New Roman" w:eastAsiaTheme="minorEastAsia" w:hAnsi="Times New Roman"/>
          <w:bCs/>
          <w:lang w:eastAsia="ko-KR"/>
        </w:rPr>
        <w:t xml:space="preserve"> </w:t>
      </w:r>
      <w:bookmarkStart w:id="8" w:name="_Hlk169959727"/>
      <w:r w:rsidR="00435F79" w:rsidRPr="002E55DE">
        <w:rPr>
          <w:rFonts w:ascii="Times New Roman" w:hAnsi="Times New Roman"/>
        </w:rPr>
        <w:t>and</w:t>
      </w:r>
      <w:r w:rsidR="00435F79" w:rsidRPr="002E55DE">
        <w:rPr>
          <w:rFonts w:ascii="Times New Roman" w:hAnsi="Times New Roman"/>
          <w:bCs/>
        </w:rPr>
        <w:t xml:space="preserve"> </w:t>
      </w:r>
      <w:r w:rsidR="00F179A7"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{"citationID":"a2LjYkWc","properties":{"formattedCitation":"(Franke et al., 2021; Hanson &amp; Jones, 2015a)","plainCitation":"(Franke et al., 2021; Hanson &amp; Jones, 2015a)","dontUpdate":true,"noteIndex":0},"citationItems":[{"id":"4nY7bDZH/AAxeWy4U","uris":["http://zotero.org/users/10132210/items/LT9WH2VU"],"itemData":{"id":940,"type":"article-journal","abstract":"Conclusion: Health promoting interventions that focus on PA and social connectedness through group-based activities can effectively reduce social isolation and loneliness of older adults. Given the ‘epidemic of loneliness’ that plagues many countries currently, these kinds of interventions are timely and important. Research that further delineates mechanisms (e.g., sharing experiences vs. lectures), that modify the effect of an intervention on social connectedness outcomes for older adults engaged in community-based PA programs would be a welcome addition to the literature.","container-title":"BMC Public Health","DOI":"10.1186/s12889-021-10363-1","ISSN":"1471-2458","issue":"1","journalAbbreviation":"BMC Public Health","language":"en","page":"312","source":"DOI.org (Crossref)","title":"“It makes me feel not so alone”: features of the Choose to Move physical activity intervention that reduce loneliness in older adults","title-short":"“It makes me feel not so alone”","volume":"21","author":[{"family":"Franke","given":"Thea"},{"family":"Sims-Gould","given":"Joanie"},{"family":"Nettlefold","given":"Lindsay"},{"family":"Ottoni","given":"Callista"},{"family":"McKay","given":"Heather A."}],"issued":{"date-parts":[["2021",12]]}}},{"id":"4nY7bDZH/rxdhWu1W","uris":["http://zotero.org/users/10132210/items/NXNPPNDY"],"itemData":{"id":984,"type":"article-journal","abstract":"Introduction: If an intervention is not well spatially targeted, appropriate levels of uptake, efficacy, long-term compliance and improved health outcomes are unlikely to be attained. Effective health interventions should seek to achieve not only absolute improvements in health but also to reduce inequity. There is often a disparity whereby preventative interventions are more likely to be successful amongst the more affluent, a process which has been coined the ‘inverse prevention law’. Physical inactivity is known to be socially patterned and disproportionately prevalent in disadvantaged communities yet there is a lack of clear evidence on which interventions have the potential to influence inequity. Walking groups have been found to have multiple health benefits and increase physical activity. In England the major facilitator is a not for profit organisation which has 70,000 regular walkers and is lay led with 10,000 volunteers. The aim of this study was to evaluate the extent to which walking groups operated in those places with the greatest health need and whether consequently the scheme has the potential to influence health inequity.\nMethod: The work used a spatial approach whereby geographical variations in walking group provision within the 326 local authorities in England (mean population 163,410) were linked to health and socio-economic measures of population need.\nResults: Generally, greater need was not associated with higher provision of the walking group intervention. Although the magnitude of differences was small, provision of the intervention tended to be poorest in those local authorities with the greatest health need, as measured by our indicators.\nConclusions: Without targeting those areas with greater health and socio-economic need, there is a concern that walking groups may not be set up in areas that need them most. There is therefore a potential that this intervention could, albeit in a small way, widen inequity between local authorities. However small-scale and well-intentioned, interventions need to be evaluated for their potential impact on inequity.","container-title":"International Journal for Equity in Health","DOI":"10.1186/s12939-015-0256-x","ISSN":"1475-9276","issue":"1","journalAbbreviation":"Int J Equity Health","language":"en","page":"106","source":"DOI.org (Crossref)","title":"A spatial equity analysis of a public health intervention: a case study of an outdoor walking group provider within local authorities in England","title-short":"A spatial equity analysis of a public health intervention","volume":"14","author":[{"family":"Hanson","given":"Sarah"},{"family":"Jones","given":"Andy"}],"issued":{"date-parts":[["2015",12]]}}}],"schema":"https://github.com/citation-style-language/schema/raw/master/csl-citation.json"} </w:instrText>
      </w:r>
      <w:r w:rsidR="00F179A7" w:rsidRPr="002E55DE">
        <w:rPr>
          <w:rFonts w:ascii="Times New Roman" w:hAnsi="Times New Roman"/>
          <w:bCs/>
        </w:rPr>
        <w:fldChar w:fldCharType="separate"/>
      </w:r>
      <w:r w:rsidR="003123FA" w:rsidRPr="002E55DE">
        <w:rPr>
          <w:rFonts w:ascii="Times New Roman" w:hAnsi="Times New Roman"/>
        </w:rPr>
        <w:t>Franke et al., 2021)</w:t>
      </w:r>
      <w:r w:rsidR="00F179A7" w:rsidRPr="002E55DE">
        <w:rPr>
          <w:rFonts w:ascii="Times New Roman" w:hAnsi="Times New Roman"/>
          <w:bCs/>
        </w:rPr>
        <w:fldChar w:fldCharType="end"/>
      </w:r>
      <w:r w:rsidR="00F179A7" w:rsidRPr="002E55DE">
        <w:rPr>
          <w:rFonts w:ascii="Times New Roman" w:hAnsi="Times New Roman"/>
          <w:bCs/>
        </w:rPr>
        <w:t xml:space="preserve">. </w:t>
      </w:r>
      <w:bookmarkEnd w:id="8"/>
    </w:p>
    <w:p w14:paraId="5B08AB25" w14:textId="1DF91E2E" w:rsidR="00CA096E" w:rsidRPr="002E55DE" w:rsidRDefault="002E48AA" w:rsidP="00B72F6D">
      <w:pPr>
        <w:ind w:firstLine="720"/>
        <w:jc w:val="both"/>
      </w:pPr>
      <w:r w:rsidRPr="002E55DE">
        <w:rPr>
          <w:rFonts w:ascii="Times New Roman" w:eastAsiaTheme="minorEastAsia" w:hAnsi="Times New Roman" w:hint="eastAsia"/>
          <w:bCs/>
          <w:lang w:eastAsia="ko-KR"/>
        </w:rPr>
        <w:t>The 150</w:t>
      </w:r>
      <w:r w:rsidR="004C1527" w:rsidRPr="002E55DE">
        <w:rPr>
          <w:rFonts w:ascii="Times New Roman" w:eastAsiaTheme="minorEastAsia" w:hAnsi="Times New Roman"/>
          <w:bCs/>
          <w:lang w:eastAsia="ko-KR"/>
        </w:rPr>
        <w:t>-</w:t>
      </w:r>
      <w:r w:rsidRPr="002E55DE">
        <w:rPr>
          <w:rFonts w:ascii="Times New Roman" w:eastAsiaTheme="minorEastAsia" w:hAnsi="Times New Roman" w:hint="eastAsia"/>
          <w:bCs/>
          <w:lang w:eastAsia="ko-KR"/>
        </w:rPr>
        <w:t xml:space="preserve">minute total walk duration recommendation of physical activity for older adults (assuming that walking is indeed the predominant form of physical activity for this age group) </w:t>
      </w:r>
      <w:r w:rsidR="005E698A" w:rsidRPr="002E55DE">
        <w:rPr>
          <w:rFonts w:ascii="Times New Roman" w:eastAsiaTheme="minorEastAsia" w:hAnsi="Times New Roman"/>
          <w:bCs/>
          <w:lang w:eastAsia="ko-KR"/>
        </w:rPr>
        <w:t>may</w:t>
      </w:r>
      <w:r w:rsidRPr="002E55DE">
        <w:rPr>
          <w:rFonts w:ascii="Times New Roman" w:eastAsiaTheme="minorEastAsia" w:hAnsi="Times New Roman" w:hint="eastAsia"/>
          <w:bCs/>
          <w:lang w:eastAsia="ko-KR"/>
        </w:rPr>
        <w:t xml:space="preserve"> be achieved through any number of combinations of frequency of weekly walking episodes and duration per walking episode. While the USHHS recommendation does not specify any optimal combination of the two</w:t>
      </w:r>
      <w:r w:rsidR="005E698A" w:rsidRPr="002E55DE">
        <w:rPr>
          <w:rFonts w:ascii="Times New Roman" w:eastAsiaTheme="minorEastAsia" w:hAnsi="Times New Roman" w:hint="eastAsia"/>
          <w:bCs/>
          <w:lang w:eastAsia="ko-KR"/>
        </w:rPr>
        <w:t xml:space="preserve">, there is evidence that a good balance and mix of the two is helpful. </w:t>
      </w:r>
      <w:r w:rsidR="00BA0437" w:rsidRPr="002E55DE">
        <w:rPr>
          <w:rFonts w:ascii="Times New Roman" w:eastAsiaTheme="minorEastAsia" w:hAnsi="Times New Roman"/>
          <w:bCs/>
          <w:lang w:eastAsia="ko-KR"/>
        </w:rPr>
        <w:t xml:space="preserve">For example, while walking for </w:t>
      </w:r>
      <w:r w:rsidR="004C1527" w:rsidRPr="002E55DE">
        <w:rPr>
          <w:rFonts w:ascii="Times New Roman" w:eastAsiaTheme="minorEastAsia" w:hAnsi="Times New Roman"/>
          <w:bCs/>
          <w:lang w:eastAsia="ko-KR"/>
        </w:rPr>
        <w:t>1</w:t>
      </w:r>
      <w:r w:rsidR="00BA0437" w:rsidRPr="002E55DE">
        <w:rPr>
          <w:rFonts w:ascii="Times New Roman" w:eastAsiaTheme="minorEastAsia" w:hAnsi="Times New Roman"/>
          <w:bCs/>
          <w:lang w:eastAsia="ko-KR"/>
        </w:rPr>
        <w:t>5</w:t>
      </w:r>
      <w:r w:rsidR="00FE493C" w:rsidRPr="002E55DE">
        <w:rPr>
          <w:rFonts w:ascii="Times New Roman" w:eastAsiaTheme="minorEastAsia" w:hAnsi="Times New Roman"/>
          <w:bCs/>
          <w:lang w:eastAsia="ko-KR"/>
        </w:rPr>
        <w:t xml:space="preserve"> </w:t>
      </w:r>
      <w:r w:rsidR="00BA0437" w:rsidRPr="002E55DE">
        <w:rPr>
          <w:rFonts w:ascii="Times New Roman" w:eastAsiaTheme="minorEastAsia" w:hAnsi="Times New Roman"/>
          <w:bCs/>
          <w:lang w:eastAsia="ko-KR"/>
        </w:rPr>
        <w:t>minute</w:t>
      </w:r>
      <w:r w:rsidR="00FE493C" w:rsidRPr="002E55DE">
        <w:rPr>
          <w:rFonts w:ascii="Times New Roman" w:eastAsiaTheme="minorEastAsia" w:hAnsi="Times New Roman"/>
          <w:bCs/>
          <w:lang w:eastAsia="ko-KR"/>
        </w:rPr>
        <w:t>s</w:t>
      </w:r>
      <w:r w:rsidR="00BA0437" w:rsidRPr="002E55DE">
        <w:rPr>
          <w:rFonts w:ascii="Times New Roman" w:eastAsiaTheme="minorEastAsia" w:hAnsi="Times New Roman"/>
          <w:bCs/>
          <w:lang w:eastAsia="ko-KR"/>
        </w:rPr>
        <w:t xml:space="preserve"> </w:t>
      </w:r>
      <w:r w:rsidR="00FE493C" w:rsidRPr="002E55DE">
        <w:rPr>
          <w:rFonts w:ascii="Times New Roman" w:eastAsiaTheme="minorEastAsia" w:hAnsi="Times New Roman"/>
          <w:bCs/>
          <w:lang w:eastAsia="ko-KR"/>
        </w:rPr>
        <w:t xml:space="preserve">per walking bout and </w:t>
      </w:r>
      <w:r w:rsidR="00BA0437" w:rsidRPr="002E55DE">
        <w:rPr>
          <w:rFonts w:ascii="Times New Roman" w:eastAsiaTheme="minorEastAsia" w:hAnsi="Times New Roman"/>
          <w:bCs/>
          <w:lang w:eastAsia="ko-KR"/>
        </w:rPr>
        <w:t xml:space="preserve">ten </w:t>
      </w:r>
      <w:r w:rsidR="00FE493C" w:rsidRPr="002E55DE">
        <w:rPr>
          <w:rFonts w:ascii="Times New Roman" w:eastAsiaTheme="minorEastAsia" w:hAnsi="Times New Roman"/>
          <w:bCs/>
          <w:lang w:eastAsia="ko-KR"/>
        </w:rPr>
        <w:t>walking bouts</w:t>
      </w:r>
      <w:r w:rsidR="00BA0437" w:rsidRPr="002E55DE">
        <w:rPr>
          <w:rFonts w:ascii="Times New Roman" w:eastAsiaTheme="minorEastAsia" w:hAnsi="Times New Roman"/>
          <w:bCs/>
          <w:lang w:eastAsia="ko-KR"/>
        </w:rPr>
        <w:t xml:space="preserve"> </w:t>
      </w:r>
      <w:r w:rsidR="00FE493C" w:rsidRPr="002E55DE">
        <w:rPr>
          <w:rFonts w:ascii="Times New Roman" w:eastAsiaTheme="minorEastAsia" w:hAnsi="Times New Roman"/>
          <w:bCs/>
          <w:lang w:eastAsia="ko-KR"/>
        </w:rPr>
        <w:t>a week</w:t>
      </w:r>
      <w:r w:rsidR="00873780" w:rsidRPr="002E55DE">
        <w:rPr>
          <w:rFonts w:ascii="Times New Roman" w:eastAsiaTheme="minorEastAsia" w:hAnsi="Times New Roman"/>
          <w:bCs/>
          <w:lang w:eastAsia="ko-KR"/>
        </w:rPr>
        <w:t>,</w:t>
      </w:r>
      <w:r w:rsidR="00FE493C" w:rsidRPr="002E55DE">
        <w:rPr>
          <w:rFonts w:ascii="Times New Roman" w:eastAsiaTheme="minorEastAsia" w:hAnsi="Times New Roman"/>
          <w:bCs/>
          <w:lang w:eastAsia="ko-KR"/>
        </w:rPr>
        <w:t xml:space="preserve"> </w:t>
      </w:r>
      <w:r w:rsidR="00BA0437" w:rsidRPr="002E55DE">
        <w:rPr>
          <w:rFonts w:ascii="Times New Roman" w:eastAsiaTheme="minorEastAsia" w:hAnsi="Times New Roman"/>
          <w:bCs/>
          <w:lang w:eastAsia="ko-KR"/>
        </w:rPr>
        <w:t xml:space="preserve">and walking for </w:t>
      </w:r>
      <w:r w:rsidR="00FE493C" w:rsidRPr="002E55DE">
        <w:rPr>
          <w:rFonts w:ascii="Times New Roman" w:eastAsiaTheme="minorEastAsia" w:hAnsi="Times New Roman"/>
          <w:bCs/>
          <w:lang w:eastAsia="ko-KR"/>
        </w:rPr>
        <w:t>75 minutes per bout and two</w:t>
      </w:r>
      <w:r w:rsidR="004C1527" w:rsidRPr="002E55DE">
        <w:rPr>
          <w:rFonts w:ascii="Times New Roman" w:eastAsiaTheme="minorEastAsia" w:hAnsi="Times New Roman"/>
          <w:bCs/>
          <w:lang w:eastAsia="ko-KR"/>
        </w:rPr>
        <w:t xml:space="preserve"> </w:t>
      </w:r>
      <w:r w:rsidR="00FE493C" w:rsidRPr="002E55DE">
        <w:rPr>
          <w:rFonts w:ascii="Times New Roman" w:eastAsiaTheme="minorEastAsia" w:hAnsi="Times New Roman"/>
          <w:bCs/>
          <w:lang w:eastAsia="ko-KR"/>
        </w:rPr>
        <w:t>bouts a week</w:t>
      </w:r>
      <w:r w:rsidR="00873780" w:rsidRPr="002E55DE">
        <w:rPr>
          <w:rFonts w:ascii="Times New Roman" w:eastAsiaTheme="minorEastAsia" w:hAnsi="Times New Roman"/>
          <w:bCs/>
          <w:lang w:eastAsia="ko-KR"/>
        </w:rPr>
        <w:t>,</w:t>
      </w:r>
      <w:r w:rsidR="00BA0437" w:rsidRPr="002E55DE">
        <w:rPr>
          <w:rFonts w:ascii="Times New Roman" w:eastAsiaTheme="minorEastAsia" w:hAnsi="Times New Roman"/>
          <w:bCs/>
          <w:lang w:eastAsia="ko-KR"/>
        </w:rPr>
        <w:t xml:space="preserve"> both involve a total of </w:t>
      </w:r>
      <w:r w:rsidR="004C1527" w:rsidRPr="002E55DE">
        <w:rPr>
          <w:rFonts w:ascii="Times New Roman" w:eastAsiaTheme="minorEastAsia" w:hAnsi="Times New Roman"/>
          <w:bCs/>
          <w:lang w:eastAsia="ko-KR"/>
        </w:rPr>
        <w:t>1</w:t>
      </w:r>
      <w:r w:rsidR="00BA0437" w:rsidRPr="002E55DE">
        <w:rPr>
          <w:rFonts w:ascii="Times New Roman" w:eastAsiaTheme="minorEastAsia" w:hAnsi="Times New Roman"/>
          <w:bCs/>
          <w:lang w:eastAsia="ko-KR"/>
        </w:rPr>
        <w:t xml:space="preserve">50 </w:t>
      </w:r>
      <w:r w:rsidR="00FE493C" w:rsidRPr="002E55DE">
        <w:rPr>
          <w:rFonts w:ascii="Times New Roman" w:eastAsiaTheme="minorEastAsia" w:hAnsi="Times New Roman"/>
          <w:bCs/>
          <w:lang w:eastAsia="ko-KR"/>
        </w:rPr>
        <w:t xml:space="preserve">weekly </w:t>
      </w:r>
      <w:r w:rsidR="00BA0437" w:rsidRPr="002E55DE">
        <w:rPr>
          <w:rFonts w:ascii="Times New Roman" w:eastAsiaTheme="minorEastAsia" w:hAnsi="Times New Roman"/>
          <w:bCs/>
          <w:lang w:eastAsia="ko-KR"/>
        </w:rPr>
        <w:t xml:space="preserve">minutes of walking, there are differences in the potential health benefits. </w:t>
      </w:r>
      <w:r w:rsidR="00F2413A" w:rsidRPr="002E55DE">
        <w:rPr>
          <w:rFonts w:ascii="Times New Roman" w:eastAsiaTheme="minorEastAsia" w:hAnsi="Times New Roman"/>
          <w:bCs/>
          <w:lang w:eastAsia="ko-KR"/>
        </w:rPr>
        <w:t>The shorter and more frequent bouts are beneficial for regulating blood sugar levels, particularly for those with diabetes or insulin resistance</w:t>
      </w:r>
      <w:r w:rsidR="00F2413A" w:rsidRPr="002E55DE">
        <w:rPr>
          <w:rFonts w:ascii="Times New Roman" w:eastAsiaTheme="minorEastAsia" w:hAnsi="Times New Roman" w:hint="eastAsia"/>
          <w:bCs/>
          <w:lang w:eastAsia="ko-KR"/>
        </w:rPr>
        <w:t xml:space="preserve"> </w:t>
      </w:r>
      <w:bookmarkStart w:id="9" w:name="_Hlk169959801"/>
      <w:r w:rsidR="00F2413A"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{"citationID":"oOoHPKMi","properties":{"formattedCitation":"(Umpierre et al., 2013)","plainCitation":"(Umpierre et al., 2013)","dontUpdate":true,"noteIndex":0},"citationItems":[{"id":"4nY7bDZH/tF5Cypvk","uris":["http://zotero.org/users/10132210/items/M6AZ6XV8"],"itemData":{"id":1123,"type":"article-journal","container-title":"Diabetologia","DOI":"10.1007/s00125-012-2774-z","ISSN":"0012-186X, 1432-0428","issue":"2","journalAbbreviation":"Diabetologia","language":"en","license":"http://www.springer.com/tdm","page":"242-251","source":"DOI.org (Crossref)","title":"Volume of supervised exercise training impacts glycaemic control in patients with type 2 diabetes: a systematic review with meta-regression analysis","title-short":"Volume of supervised exercise training impacts glycaemic control in patients with type 2 diabetes","volume":"56","author":[{"family":"Umpierre","given":"D."},{"family":"Ribeiro","given":"P. A. B."},{"family":"Schaan","given":"B. D."},{"family":"Ribeiro","given":"J. P."}],"issued":{"date-parts":[["2013",2]]}}}],"schema":"https://github.com/citation-style-language/schema/raw/master/csl-citation.json"} </w:instrText>
      </w:r>
      <w:r w:rsidR="00F2413A" w:rsidRPr="002E55DE">
        <w:rPr>
          <w:rFonts w:ascii="Times New Roman" w:eastAsiaTheme="minorEastAsia" w:hAnsi="Times New Roman"/>
          <w:bCs/>
          <w:lang w:eastAsia="ko-KR"/>
        </w:rPr>
        <w:fldChar w:fldCharType="separate"/>
      </w:r>
      <w:r w:rsidR="00F2413A" w:rsidRPr="002E55DE">
        <w:rPr>
          <w:rFonts w:ascii="Times New Roman" w:hAnsi="Times New Roman"/>
        </w:rPr>
        <w:t>(</w:t>
      </w:r>
      <w:r w:rsidR="00F2413A" w:rsidRPr="002E55DE">
        <w:rPr>
          <w:rFonts w:ascii="Times New Roman" w:eastAsiaTheme="minorEastAsia" w:hAnsi="Times New Roman"/>
          <w:lang w:eastAsia="ko-KR"/>
        </w:rPr>
        <w:t xml:space="preserve">see </w:t>
      </w:r>
      <w:r w:rsidR="00F2413A" w:rsidRPr="002E55DE">
        <w:rPr>
          <w:rFonts w:ascii="Times New Roman" w:hAnsi="Times New Roman"/>
        </w:rPr>
        <w:t>Umpierre et al., 2013</w:t>
      </w:r>
      <w:r w:rsidR="00F2413A" w:rsidRPr="002E55DE">
        <w:rPr>
          <w:rFonts w:ascii="Times New Roman" w:eastAsiaTheme="minorEastAsia" w:hAnsi="Times New Roman"/>
          <w:bCs/>
          <w:lang w:eastAsia="ko-KR"/>
        </w:rPr>
        <w:fldChar w:fldCharType="end"/>
      </w:r>
      <w:r w:rsidR="00F2413A" w:rsidRPr="002E55DE">
        <w:rPr>
          <w:rFonts w:ascii="Times New Roman" w:eastAsiaTheme="minorEastAsia" w:hAnsi="Times New Roman"/>
          <w:bCs/>
          <w:lang w:eastAsia="ko-KR"/>
        </w:rPr>
        <w:t xml:space="preserve"> </w:t>
      </w:r>
      <w:bookmarkEnd w:id="9"/>
      <w:r w:rsidR="00F2413A" w:rsidRPr="002E55DE">
        <w:rPr>
          <w:rFonts w:ascii="Times New Roman" w:eastAsiaTheme="minorEastAsia" w:hAnsi="Times New Roman"/>
          <w:bCs/>
          <w:lang w:eastAsia="ko-KR"/>
        </w:rPr>
        <w:t>for a systematic review assessing the association between intensity and volume of exercise in patients with type 2 diabetes). Moreover, the psychological benefits of walking, such as reduced stress and improved mood, may be more noticeable with frequent bouts spread throughout the day or week.</w:t>
      </w:r>
      <w:r w:rsidR="00F2413A" w:rsidRPr="002E55DE">
        <w:rPr>
          <w:rFonts w:ascii="Times New Roman" w:eastAsiaTheme="minorEastAsia" w:hAnsi="Times New Roman" w:hint="eastAsia"/>
          <w:bCs/>
          <w:lang w:eastAsia="ko-KR"/>
        </w:rPr>
        <w:t xml:space="preserve"> </w:t>
      </w:r>
      <w:r w:rsidR="00BA0437" w:rsidRPr="002E55DE">
        <w:rPr>
          <w:rFonts w:ascii="Times New Roman" w:eastAsiaTheme="minorEastAsia" w:hAnsi="Times New Roman"/>
          <w:bCs/>
          <w:lang w:eastAsia="ko-KR"/>
        </w:rPr>
        <w:t>The longer</w:t>
      </w:r>
      <w:r w:rsidR="00F2413A" w:rsidRPr="002E55DE">
        <w:rPr>
          <w:rFonts w:ascii="Times New Roman" w:eastAsiaTheme="minorEastAsia" w:hAnsi="Times New Roman"/>
          <w:bCs/>
          <w:lang w:eastAsia="ko-KR"/>
        </w:rPr>
        <w:t xml:space="preserve"> bouts, on the other hand, </w:t>
      </w:r>
      <w:r w:rsidR="00BA0437" w:rsidRPr="002E55DE">
        <w:rPr>
          <w:rFonts w:ascii="Times New Roman" w:eastAsiaTheme="minorEastAsia" w:hAnsi="Times New Roman"/>
          <w:bCs/>
          <w:lang w:eastAsia="ko-KR"/>
        </w:rPr>
        <w:t>provide</w:t>
      </w:r>
      <w:r w:rsidR="00F2413A" w:rsidRPr="002E55DE">
        <w:rPr>
          <w:rFonts w:ascii="Times New Roman" w:eastAsiaTheme="minorEastAsia" w:hAnsi="Times New Roman"/>
          <w:bCs/>
          <w:lang w:eastAsia="ko-KR"/>
        </w:rPr>
        <w:t xml:space="preserve"> </w:t>
      </w:r>
      <w:r w:rsidR="00BA0437" w:rsidRPr="002E55DE">
        <w:rPr>
          <w:rFonts w:ascii="Times New Roman" w:eastAsiaTheme="minorEastAsia" w:hAnsi="Times New Roman"/>
          <w:bCs/>
          <w:lang w:eastAsia="ko-KR"/>
        </w:rPr>
        <w:t>sustained cardiovascular exercise, leading to greater improvements in heart health and endurance</w:t>
      </w:r>
      <w:r w:rsidR="00FF4856" w:rsidRPr="002E55DE">
        <w:rPr>
          <w:rFonts w:ascii="Times New Roman" w:eastAsiaTheme="minorEastAsia" w:hAnsi="Times New Roman" w:hint="eastAsia"/>
          <w:bCs/>
          <w:lang w:eastAsia="ko-KR"/>
        </w:rPr>
        <w:t xml:space="preserve"> and reduction </w:t>
      </w:r>
      <w:r w:rsidR="00EE78BB" w:rsidRPr="002E55DE">
        <w:rPr>
          <w:rFonts w:ascii="Times New Roman" w:eastAsiaTheme="minorEastAsia" w:hAnsi="Times New Roman" w:hint="eastAsia"/>
          <w:bCs/>
          <w:lang w:eastAsia="ko-KR"/>
        </w:rPr>
        <w:t xml:space="preserve">in cholesterol rate </w:t>
      </w:r>
      <w:r w:rsidR="00BA0437" w:rsidRPr="002E55DE">
        <w:rPr>
          <w:rFonts w:ascii="Times New Roman" w:eastAsiaTheme="minorEastAsia" w:hAnsi="Times New Roman"/>
          <w:bCs/>
          <w:lang w:eastAsia="ko-KR"/>
        </w:rPr>
        <w:t>compared to the shorter</w:t>
      </w:r>
      <w:r w:rsidR="00F2413A" w:rsidRPr="002E55DE">
        <w:rPr>
          <w:rFonts w:ascii="Times New Roman" w:eastAsiaTheme="minorEastAsia" w:hAnsi="Times New Roman"/>
          <w:bCs/>
          <w:lang w:eastAsia="ko-KR"/>
        </w:rPr>
        <w:t xml:space="preserve">, </w:t>
      </w:r>
      <w:r w:rsidR="00BA0437" w:rsidRPr="002E55DE">
        <w:rPr>
          <w:rFonts w:ascii="Times New Roman" w:eastAsiaTheme="minorEastAsia" w:hAnsi="Times New Roman"/>
          <w:bCs/>
          <w:lang w:eastAsia="ko-KR"/>
        </w:rPr>
        <w:t>more</w:t>
      </w:r>
      <w:r w:rsidR="004776C1" w:rsidRPr="002E55DE">
        <w:rPr>
          <w:rFonts w:ascii="Times New Roman" w:eastAsiaTheme="minorEastAsia" w:hAnsi="Times New Roman"/>
          <w:bCs/>
          <w:lang w:eastAsia="ko-KR"/>
        </w:rPr>
        <w:t xml:space="preserve"> </w:t>
      </w:r>
      <w:r w:rsidR="002E2A12" w:rsidRPr="002E55DE">
        <w:rPr>
          <w:rFonts w:ascii="Times New Roman" w:eastAsiaTheme="minorEastAsia" w:hAnsi="Times New Roman"/>
          <w:bCs/>
          <w:lang w:eastAsia="ko-KR"/>
        </w:rPr>
        <w:t xml:space="preserve">frequent </w:t>
      </w:r>
      <w:r w:rsidR="00F2413A" w:rsidRPr="002E55DE">
        <w:rPr>
          <w:rFonts w:ascii="Times New Roman" w:eastAsiaTheme="minorEastAsia" w:hAnsi="Times New Roman"/>
          <w:bCs/>
          <w:lang w:eastAsia="ko-KR"/>
        </w:rPr>
        <w:t>bouts</w:t>
      </w:r>
      <w:r w:rsidR="00EE78BB" w:rsidRPr="002E55DE">
        <w:rPr>
          <w:rFonts w:ascii="Times New Roman" w:eastAsiaTheme="minorEastAsia" w:hAnsi="Times New Roman" w:hint="eastAsia"/>
          <w:bCs/>
          <w:lang w:eastAsia="ko-KR"/>
        </w:rPr>
        <w:t xml:space="preserve"> </w:t>
      </w:r>
      <w:r w:rsidR="00EE78BB"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{"citationID":"TWz0yI0y","properties":{"formattedCitation":"(Prasertsri et al., 2022; Vasankari et al., 2017)","plainCitation":"(Prasertsri et al., 2022; Vasankari et al., 2017)","dontUpdate":true,"noteIndex":0},"citationItems":[{"id":"4nY7bDZH/nDJe78ek","uris":["http://zotero.org/users/10132210/items/MPKZMQQ8"],"itemData":{"id":1202,"type":"article-journal","abstract":"It is documented that regular exercise is beneficial for improving the antioxidant system, metabolic system, cardiac autonomic function, and blood pressure in those with hypertension. In this regard, low-intensity exercise is recommended for older adults, particularly those with chronic diseases. This study aimed to compare the effects of long-term regular continuous walking with intermittent walking on oxidative stress, metabolic profile, heart rate variability, and blood pressure in older adults with hypertension. Forty-three participants with hypertension aged 60–80 years were randomly divided into the continuous or intermittent walking (CON or INT) groups. Participants in the CON group walked for 30 min, 3 days/week for 12 weeks. Participants in the INT group split 30 min walking into 3 identical sessions punctuated by a 1 min rest after each session, 3 days/week for 12 weeks. Antioxidant and oxidative stress markers, metabolic markers, heart rate variability, and blood pressure were evaluated before and after the exercise program. Glutathione (GSH), GSH to GSH disulfide (GSSG) ratio, and total GSH increased significantly, and GSSG and malondialdehyde decreased significantly in both groups (\n              \n                \n                  p\n                  &lt;\n                  0.05\n                \n              \n              ) without significant differences between groups. Triglycerides, ratio of total cholesterol to high-density lipoprotein cholesterol, and atherosclerogenic index were significantly lower in the CON group than those in the INT group (\n              \n                \n                  p\n                  &lt;\n                  0.05\n                \n              \n              ). The standard deviation of the NN intervals and root mean square of the successive differences were significantly higher, and low-frequency power was significantly lower in the INT group than that in the CON group (\n              \n                \n                  p\n                  &lt;\n                  0.05\n                \n              \n              ). No significant changes in blood pressure were noted in both groups, and nor were there any significant differences between groups. Long-term regular continuous and intermittent walking may comparably increase antioxidants, reduce oxidative stress, and be beneficial for improving important blood pressure-related outcomes, including metabolic profile or cardiac autonomic function in older adults with hypertension.","container-title":"Journal of Environmental and Public Health","DOI":"10.1155/2022/5942947","ISSN":"1687-9813, 1687-9805","journalAbbreviation":"Journal of Environmental and Public Health","language":"en","license":"https://creativecommons.org/licenses/by/4.0/","page":"1-12","source":"DOI.org (Crossref)","title":"Effects of Long-Term Regular Continuous and Intermittent Walking on Oxidative Stress, Metabolic Profile, Heart Rate Variability, and Blood Pressure in Older Adults with Hypertension","volume":"2022","author":[{"family":"Prasertsri","given":"Piyapong"},{"family":"Phoemsapthawee","given":"Jatuporn"},{"family":"Kuamsub","given":"Sirigoon"},{"family":"Poolpol","given":"Kulwara"},{"family":"Boonla","given":"Orachorn"}],"editor":[{"family":"Gerber","given":"Linda M."}],"issued":{"date-parts":[["2022",1,31]]}}},{"id":"4nY7bDZH/0VgLskSx","uris":["http://zotero.org/users/10132210/items/4K8XUGTF"],"itemData":{"id":1117,"type":"article-journal","abstract":"Background: We evaluated the association of accelerometer-based sedentary behaviour and physical activity with the risk of cardiovascular disease. Design: The design of this study used a population-based, cross-sectional sample.\nMethods: A subsample of participants in the Health 2011 Study in Finland used the tri-axial accelerometer (!4 days, &gt;10 h/day, n ¼ 1398). Sedentary behaviour (sitting, lying) and standing still in six-second epochs were recognised from raw acceleration data based on intensity and device orientation. The intensity of physical activity was calculated as oneminute moving averages of mean amplitude deviation of resultant acceleration and converted to metabolic equivalents. Metabolic equivalents were categorised to light physical activity (1.5–2.9 metabolic equivalents) and moderate-to-vigorous physical activity (moderate-to-vigorous physical activity!3.0 metabolic equivalents). Daily sedentary behaviour, standing still, light physical activity and moderate-to-vigorous physical activity were expressed as mean daily total time, accumulated time and number of different bouts (from 30 s to &gt;30 min), mean daily metabolic equivalent and weekly peak metabolic equivalent levels of different bout lengths and number of breaks in sedentary behaviour. The tenyear cardiovascular disease risk was based on the Framingham risk model.\nResults: The mean number of daily sedentary behaviour bouts was more strongly associated with cardiovascular disease risk than mean daily total time. In the best model, smaller waist circumference, greater value of mean daily metabolic equivalent levels of one-minute bouts, higher accumulated time of moderate-to-vigorous physical activity lasting 30 min, higher number of &gt;5 min standing bouts and a higher number of long (&gt;30 min) bouts of light physical activity were significantly associated with lower cardiovascular disease risk (R2 ¼ 0.836).\nConclusions: The objectively measured number and accumulated time from different bout lengths of physical activity and sedentary behaviour were associated with cardiovascular disease risk, which is considered relevant for estimating cardiovascular diseases and for devising preventive actions.","container-title":"European Journal of Preventive Cardiology","DOI":"10.1177/2047487317711048","ISSN":"2047-4873, 2047-4881","issue":"12","journalAbbreviation":"Eur J Prev Cardiolog","language":"en","page":"1311-1318","source":"DOI.org (Crossref)","title":"Association of objectively measured sedentary behaviour and physical activity with cardiovascular disease risk","volume":"24","author":[{"family":"Vasankari","given":"Ville"},{"family":"Husu","given":"Pauliina"},{"family":"Vähä-Ypyä","given":"Henri"},{"family":"Suni","given":"Jaana"},{"family":"Tokola","given":"Kari"},{"family":"Halonen","given":"Jari"},{"family":"Hartikainen","given":"Juha"},{"family":"Sievänen","given":"Harri"},{"family":"Vasankari","given":"Tommi"}],"issued":{"date-parts":[["2017",8]]}}}],"schema":"https://github.com/citation-style-language/schema/raw/master/csl-citation.json"} </w:instrText>
      </w:r>
      <w:r w:rsidR="00EE78BB" w:rsidRPr="002E55DE">
        <w:rPr>
          <w:rFonts w:ascii="Times New Roman" w:eastAsiaTheme="minorEastAsia" w:hAnsi="Times New Roman"/>
          <w:bCs/>
          <w:lang w:eastAsia="ko-KR"/>
        </w:rPr>
        <w:fldChar w:fldCharType="separate"/>
      </w:r>
      <w:r w:rsidR="00EE78BB" w:rsidRPr="002E55DE">
        <w:rPr>
          <w:rFonts w:ascii="Times New Roman" w:hAnsi="Times New Roman"/>
        </w:rPr>
        <w:t>(</w:t>
      </w:r>
      <w:r w:rsidR="007E6A99" w:rsidRPr="002E55DE">
        <w:rPr>
          <w:rFonts w:ascii="Times New Roman" w:eastAsiaTheme="minorEastAsia" w:hAnsi="Times New Roman"/>
          <w:lang w:eastAsia="ko-KR"/>
        </w:rPr>
        <w:t xml:space="preserve">see </w:t>
      </w:r>
      <w:r w:rsidR="007E6A99" w:rsidRPr="002E55DE">
        <w:rPr>
          <w:rFonts w:ascii="Times New Roman" w:hAnsi="Times New Roman"/>
        </w:rPr>
        <w:t>Vasankari et al., 2017</w:t>
      </w:r>
      <w:r w:rsidR="007E6A99" w:rsidRPr="002E55DE">
        <w:rPr>
          <w:rFonts w:ascii="Times New Roman" w:eastAsiaTheme="minorEastAsia" w:hAnsi="Times New Roman"/>
          <w:lang w:eastAsia="ko-KR"/>
        </w:rPr>
        <w:t xml:space="preserve"> and </w:t>
      </w:r>
      <w:r w:rsidR="00EE78BB" w:rsidRPr="002E55DE">
        <w:rPr>
          <w:rFonts w:ascii="Times New Roman" w:hAnsi="Times New Roman"/>
        </w:rPr>
        <w:t>Prasertsri et al., 2022)</w:t>
      </w:r>
      <w:r w:rsidR="00EE78BB" w:rsidRPr="002E55DE">
        <w:rPr>
          <w:rFonts w:ascii="Times New Roman" w:eastAsiaTheme="minorEastAsia" w:hAnsi="Times New Roman"/>
          <w:bCs/>
          <w:lang w:eastAsia="ko-KR"/>
        </w:rPr>
        <w:fldChar w:fldCharType="end"/>
      </w:r>
      <w:r w:rsidR="00997ADD" w:rsidRPr="002E55DE">
        <w:rPr>
          <w:rFonts w:ascii="Times New Roman" w:eastAsiaTheme="minorEastAsia" w:hAnsi="Times New Roman" w:hint="eastAsia"/>
          <w:bCs/>
          <w:lang w:eastAsia="ko-KR"/>
        </w:rPr>
        <w:t xml:space="preserve">. </w:t>
      </w:r>
      <w:r w:rsidR="00F2413A" w:rsidRPr="002E55DE">
        <w:rPr>
          <w:rFonts w:ascii="Times New Roman" w:eastAsiaTheme="minorEastAsia" w:hAnsi="Times New Roman"/>
          <w:bCs/>
          <w:lang w:eastAsia="ko-KR"/>
        </w:rPr>
        <w:t xml:space="preserve">In short, whether a good balance between frequency and duration is preferable </w:t>
      </w:r>
      <w:r w:rsidR="00873780" w:rsidRPr="002E55DE">
        <w:rPr>
          <w:rFonts w:ascii="Times New Roman" w:eastAsiaTheme="minorEastAsia" w:hAnsi="Times New Roman"/>
          <w:bCs/>
          <w:lang w:eastAsia="ko-KR"/>
        </w:rPr>
        <w:t xml:space="preserve">or not </w:t>
      </w:r>
      <w:r w:rsidR="00F2413A" w:rsidRPr="002E55DE">
        <w:rPr>
          <w:rFonts w:ascii="Times New Roman" w:eastAsiaTheme="minorEastAsia" w:hAnsi="Times New Roman"/>
          <w:bCs/>
          <w:lang w:eastAsia="ko-KR"/>
        </w:rPr>
        <w:t xml:space="preserve">is not in question, though the “optimal” balance may vary from individual to individual. </w:t>
      </w:r>
      <w:r w:rsidR="00B72F6D" w:rsidRPr="002E55DE">
        <w:rPr>
          <w:rFonts w:ascii="Times New Roman" w:eastAsiaTheme="minorEastAsia" w:hAnsi="Times New Roman"/>
          <w:bCs/>
          <w:lang w:eastAsia="ko-KR"/>
        </w:rPr>
        <w:t xml:space="preserve">As such, the </w:t>
      </w:r>
      <w:r w:rsidR="00B72F6D" w:rsidRPr="002E55DE">
        <w:t xml:space="preserve">complementary nature of these dimensions creates compelling methodological imperative for modeling frequency and duration simultaneously rather than in isolation. However, </w:t>
      </w:r>
      <w:r w:rsidR="00BF4EDE" w:rsidRPr="002E55DE">
        <w:rPr>
          <w:rFonts w:ascii="Times New Roman" w:eastAsiaTheme="minorEastAsia" w:hAnsi="Times New Roman"/>
          <w:bCs/>
          <w:lang w:eastAsia="ko-KR"/>
        </w:rPr>
        <w:t xml:space="preserve">existing </w:t>
      </w:r>
      <w:r w:rsidR="00942DB7" w:rsidRPr="002E55DE">
        <w:rPr>
          <w:rFonts w:ascii="Times New Roman" w:eastAsiaTheme="minorEastAsia" w:hAnsi="Times New Roman"/>
          <w:bCs/>
          <w:lang w:eastAsia="ko-KR"/>
        </w:rPr>
        <w:t>studies</w:t>
      </w:r>
      <w:r w:rsidR="00B72F6D" w:rsidRPr="002E55DE">
        <w:rPr>
          <w:rFonts w:ascii="Times New Roman" w:eastAsiaTheme="minorEastAsia" w:hAnsi="Times New Roman"/>
          <w:bCs/>
          <w:lang w:eastAsia="ko-KR"/>
        </w:rPr>
        <w:t xml:space="preserve"> </w:t>
      </w:r>
      <w:r w:rsidR="00B72F6D" w:rsidRPr="002E55DE">
        <w:t>have predominantly taken a fragmented approach</w:t>
      </w:r>
      <w:r w:rsidR="00B72F6D" w:rsidRPr="002E55DE">
        <w:rPr>
          <w:rFonts w:ascii="Times New Roman" w:eastAsiaTheme="minorEastAsia" w:hAnsi="Times New Roman"/>
          <w:bCs/>
          <w:lang w:eastAsia="ko-KR"/>
        </w:rPr>
        <w:t>,</w:t>
      </w:r>
      <w:r w:rsidR="00942DB7" w:rsidRPr="002E55DE">
        <w:rPr>
          <w:rFonts w:ascii="Times New Roman" w:eastAsiaTheme="minorEastAsia" w:hAnsi="Times New Roman"/>
          <w:bCs/>
          <w:lang w:eastAsia="ko-KR"/>
        </w:rPr>
        <w:t xml:space="preserve"> either</w:t>
      </w:r>
      <w:r w:rsidR="00BF4EDE" w:rsidRPr="002E55DE">
        <w:rPr>
          <w:rFonts w:ascii="Times New Roman" w:eastAsiaTheme="minorEastAsia" w:hAnsi="Times New Roman"/>
          <w:bCs/>
          <w:lang w:eastAsia="ko-KR"/>
        </w:rPr>
        <w:t xml:space="preserve"> focus</w:t>
      </w:r>
      <w:r w:rsidR="00B72F6D" w:rsidRPr="002E55DE">
        <w:rPr>
          <w:rFonts w:ascii="Times New Roman" w:eastAsiaTheme="minorEastAsia" w:hAnsi="Times New Roman"/>
          <w:bCs/>
          <w:lang w:eastAsia="ko-KR"/>
        </w:rPr>
        <w:t>ing</w:t>
      </w:r>
      <w:r w:rsidR="00BF4EDE" w:rsidRPr="002E55DE">
        <w:rPr>
          <w:rFonts w:ascii="Times New Roman" w:eastAsiaTheme="minorEastAsia" w:hAnsi="Times New Roman"/>
          <w:bCs/>
          <w:lang w:eastAsia="ko-KR"/>
        </w:rPr>
        <w:t xml:space="preserve"> </w:t>
      </w:r>
      <w:r w:rsidR="00F2413A" w:rsidRPr="002E55DE">
        <w:rPr>
          <w:rFonts w:ascii="Times New Roman" w:eastAsiaTheme="minorEastAsia" w:hAnsi="Times New Roman"/>
          <w:bCs/>
          <w:lang w:eastAsia="ko-KR"/>
        </w:rPr>
        <w:t xml:space="preserve">solely </w:t>
      </w:r>
      <w:r w:rsidR="00BF4EDE" w:rsidRPr="002E55DE">
        <w:rPr>
          <w:rFonts w:ascii="Times New Roman" w:eastAsiaTheme="minorEastAsia" w:hAnsi="Times New Roman"/>
          <w:bCs/>
          <w:lang w:eastAsia="ko-KR"/>
        </w:rPr>
        <w:t xml:space="preserve">on </w:t>
      </w:r>
      <w:r w:rsidR="00F2413A" w:rsidRPr="002E55DE">
        <w:rPr>
          <w:rFonts w:ascii="Times New Roman" w:eastAsiaTheme="minorEastAsia" w:hAnsi="Times New Roman"/>
          <w:bCs/>
          <w:lang w:eastAsia="ko-KR"/>
        </w:rPr>
        <w:t xml:space="preserve">bout </w:t>
      </w:r>
      <w:r w:rsidR="00942DB7" w:rsidRPr="002E55DE">
        <w:rPr>
          <w:rFonts w:ascii="Times New Roman" w:eastAsiaTheme="minorEastAsia" w:hAnsi="Times New Roman"/>
          <w:bCs/>
          <w:lang w:eastAsia="ko-KR"/>
        </w:rPr>
        <w:t>frequency</w:t>
      </w:r>
      <w:r w:rsidR="00942DB7" w:rsidRPr="002E55DE">
        <w:rPr>
          <w:rFonts w:ascii="Times New Roman" w:eastAsiaTheme="minorEastAsia" w:hAnsi="Times New Roman" w:hint="eastAsia"/>
          <w:bCs/>
          <w:lang w:eastAsia="ko-KR"/>
        </w:rPr>
        <w:t xml:space="preserve"> </w:t>
      </w:r>
      <w:r w:rsidR="00942DB7"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{"citationID":"A0mqfw8C","properties":{"formattedCitation":"(Cerin et al., 2009; Hwang et al., 2023; Liao et al., 2017; Sehatzadeh et al., 2011)","plainCitation":"(Cerin et al., 2009; Hwang et al., 2023; Liao et al., 2017; Sehatzadeh et al., 2011)","dontUpdate":true,"noteIndex":0},"citationItems":[{"id":"4nY7bDZH/hJqsNQAZ","uris":["http://zotero.org/users/10132210/items/WJBNXBBF"],"itemData":{"id":610,"type":"article-journal","abstract":"The identiﬁcation of potential mechanisms of inﬂuence (mediators) of socio-economic status (SES) on walking for transport is important, because the likely opposing forces of inﬂuence may obscure pathways for intervention across different SES groups. This study examined individual, and perceived social and physical environmental mediators of the relations of individual- and area-level SES with walking for transport. Two mailed surveys, six months apart, collected data on transport-related walking and its hypothesized individual, social and environmental correlates. The sample consisted of 2194 Englishspeaking adults (aged 20–65) living in 154 Census Collection Districts (CCDs) of Adelaide, Australia. Individual-level SES was assessed using data on self-reported educational attainment, household income, and household size. Area-level SES was assessed using census data on median household income and household size for each selected CCD. Bootstrap generalized linear models examined associations between SES, potential mediators, and total weekly minutes and frequency of walking for transport. The product-of-coefﬁcient test was used to assess mediating effects. Individual, social–environmental, and physical environmental factors signiﬁcantly contributed to the explanation of the relations between SES and transport-related walking frequency. Educational attainment and area- and individual-level income played independent roles in explaining frequency of walking for transport, through opposing common and distinct pathways. While engagement in leisure-time physical activity was the most inﬂuential mediator of the association between educational attainment and frequency of walking for transport, the number of motorized vehicles and perceived levels of environmental aesthetics and greenery were the strongest mediators of the relations of frequency of transport-related walking with individual- and arealevel income, respectively. Environmental interventions aimed at increasing residential density, reducing physical barriers to walking and trafﬁc load, developing social-support networks, and creating greener and more aesthetically pleasing environments in more-disadvantaged areas may help to reduce SES inequalities in participation in physical activity, by facilitating walking for transport.","container-title":"Social Science &amp; Medicine","DOI":"10.1016/j.socscimed.2009.01.008","ISSN":"02779536","issue":"6","journalAbbreviation":"Social Science &amp; Medicine","language":"en","note":"number: 6","page":"1013-1020","source":"DOI.org (Crossref)","title":"Explaining socio-economic status differences in walking for transport: An ecological analysis of individual, social and environmental factors","title-short":"Explaining socio-economic status differences in walking for transport","volume":"68","author":[{"family":"Cerin","given":"Ester"},{"family":"Leslie","given":"Eva"},{"family":"Owen","given":"Neville"}],"issued":{"date-parts":[["2009",3]]}}},{"id":"4nY7bDZH/uZyx0luw","uris":["http://zotero.org/users/10132210/items/ZARTVWR5"],"itemData":{"id":968,"type":"article-journal","container-title":"Technical paper, Department of Civil, Architectural and Environmental Engineering, The University of Texas at Austin","title":"An analysis of walking frequency before and after the pandemic","author":[{"family":"Hwang","given":"Hyunjun"},{"family":"Haddad","given":"Angela"},{"family":"Batur","given":"Irfan"},{"family":"Saxena","given":"Shobhit"},{"family":"Pendyala","given":"Ram M"},{"family":"Bhat","given":"Chandra R"}],"issued":{"date-parts":[["2023"]]}}},{"id":"4nY7bDZH/2t0609ZH","uris":["http://zotero.org/users/10132210/items/CXYHDPCR"],"itemData":{"id":612,"type":"article-journal","abstract":"This study examines the cross-sectional associations between personal and perceived neighborhood environment attributes regarding walking for recreation and transportation among older Taiwanese adults. Data related to personal factors, perceived environmental factors, and time spent engaging in transportation-related and recreational walking were obtained from 1032 older adults aged 65 years and above. The data were analyzed by carrying out an adjusted binary logistic regression. After adjusting for potential confounders, two commonly perceived environmental factors, the presence of sidewalks (PS) and the presence of a destination (PD), were positively associated with 150 min of walking for recreation. Different personal and perceived environmental factors were associated with walking for recreation and transportation. These ﬁndings suggest that policy-makers and physical activity intervention designers should develop both common and individual environmental strategies in order to improve and increase awareness of the neighborhood environment to promote recreational and transportation walking behaviors among older adults.","container-title":"International Journal of Environmental Research and Public Health","DOI":"10.3390/ijerph14121594","ISSN":"1660-4601","issue":"12","journalAbbreviation":"IJERPH","language":"en","note":"number: 12","page":"1594","source":"DOI.org (Crossref)","title":"Associations of Older Taiwanese Adults’ Personal Attributes and Perceptions of the Neighborhood Environment Concerning Walking for Recreation and Transportation","volume":"14","author":[{"family":"Liao","given":"Yung"},{"family":"Huang","given":"Pin-Hsuan"},{"family":"Hsiang","given":"Chih-Yu"},{"family":"Huang","given":"Jing-Huei"},{"family":"Hsueh","given":"Ming-Chun"},{"family":"Park","given":"Jong-Hwan"}],"issued":{"date-parts":[["2017",12,18]]}}},{"id":"4nY7bDZH/MvOflcbG","uris":["http://zotero.org/users/10132210/items/AY3KT6IF"],"itemData":{"id":592,"type":"article-journal","abstract":"To explain walking propensity or frequency, empirical studies have generally used two sets of explanatory variables, namely, socio-demographic variables and built environment variables. They have generally shown that both socio-demographic characteristics and built environment characteristics are associated with walking propensity. We examine the traditional walkability variables that encompass density, mix of uses, and network connectivity in New Jersey, using a statewide sample including an oversample of Jersey City. We estimate a two-stage least squares model using a conditional mixed process that combines an ordered probit model of walking frequency in the second stage based on a truncated regression of car ownership in the ﬁrst stage. Our results show that built environment variables have some small effects, mainly from better network connectivity associated with increased walking frequency. One of our key ﬁndings is that built environment features also work indirectly via how they inﬂuence car ownership. In general, we ﬁnd sufﬁcient evidence that suggests fewer cars are owned in areas with more walkable built environment features. The other key variable that we control for is whether a household owns a dog. This also proved to be strongly associated with walking suggesting that dog ownership is a necessary control variable to understand the frequency of walking.","container-title":"Transportation Research Part A: Policy and Practice","DOI":"10.1016/j.tra.2011.06.001","ISSN":"09658564","issue":"8","journalAbbreviation":"Transportation Research Part A: Policy and Practice","language":"en","note":"number: 8","page":"741-754","source":"DOI.org (Crossref)","title":"Walking frequency, cars, dogs, and the built environment","volume":"45","author":[{"family":"Sehatzadeh","given":"Bahareh"},{"family":"Noland","given":"Robert B."},{"family":"Weiner","given":"Marc D."}],"issued":{"date-parts":[["2011",10]]}}}],"schema":"https://github.com/citation-style-language/schema/raw/master/csl-citation.json"} </w:instrText>
      </w:r>
      <w:r w:rsidR="00942DB7" w:rsidRPr="002E55DE">
        <w:rPr>
          <w:rFonts w:ascii="Times New Roman" w:hAnsi="Times New Roman"/>
          <w:bCs/>
        </w:rPr>
        <w:fldChar w:fldCharType="separate"/>
      </w:r>
      <w:bookmarkStart w:id="10" w:name="_Hlk169959850"/>
      <w:r w:rsidR="00942DB7" w:rsidRPr="002E55DE">
        <w:rPr>
          <w:rFonts w:ascii="Times New Roman" w:hAnsi="Times New Roman"/>
          <w:bCs/>
        </w:rPr>
        <w:t>(</w:t>
      </w:r>
      <w:r w:rsidR="00BF4EDE" w:rsidRPr="002E55DE">
        <w:rPr>
          <w:rFonts w:ascii="Times New Roman" w:hAnsi="Times New Roman"/>
          <w:bCs/>
        </w:rPr>
        <w:t xml:space="preserve">see </w:t>
      </w:r>
      <w:r w:rsidR="00942DB7" w:rsidRPr="002E55DE">
        <w:rPr>
          <w:rFonts w:ascii="Times New Roman" w:hAnsi="Times New Roman"/>
          <w:bCs/>
        </w:rPr>
        <w:t>Cerin et al., 2009</w:t>
      </w:r>
      <w:r w:rsidR="003123FA" w:rsidRPr="002E55DE">
        <w:rPr>
          <w:rFonts w:ascii="Times New Roman" w:eastAsiaTheme="minorEastAsia" w:hAnsi="Times New Roman"/>
          <w:bCs/>
          <w:lang w:eastAsia="ko-KR"/>
        </w:rPr>
        <w:t>,</w:t>
      </w:r>
      <w:r w:rsidR="00942DB7" w:rsidRPr="002E55DE">
        <w:rPr>
          <w:rFonts w:ascii="Times New Roman" w:hAnsi="Times New Roman"/>
          <w:bCs/>
        </w:rPr>
        <w:t xml:space="preserve">  Sehatzadeh et al., 2011</w:t>
      </w:r>
      <w:bookmarkEnd w:id="10"/>
      <w:r w:rsidR="00435F79" w:rsidRPr="002E55DE">
        <w:rPr>
          <w:rFonts w:ascii="Times New Roman" w:hAnsi="Times New Roman"/>
          <w:bCs/>
        </w:rPr>
        <w:t>, Liao et al., 2017, and Hwang et al., 2023</w:t>
      </w:r>
      <w:r w:rsidR="00942DB7" w:rsidRPr="002E55DE">
        <w:rPr>
          <w:rFonts w:ascii="Times New Roman" w:hAnsi="Times New Roman"/>
          <w:bCs/>
        </w:rPr>
        <w:t>)</w:t>
      </w:r>
      <w:r w:rsidR="00942DB7" w:rsidRPr="002E55DE">
        <w:rPr>
          <w:rFonts w:ascii="Times New Roman" w:hAnsi="Times New Roman"/>
          <w:bCs/>
        </w:rPr>
        <w:fldChar w:fldCharType="end"/>
      </w:r>
      <w:r w:rsidR="00942DB7" w:rsidRPr="002E55DE">
        <w:rPr>
          <w:rFonts w:ascii="Times New Roman" w:eastAsiaTheme="minorEastAsia" w:hAnsi="Times New Roman"/>
          <w:bCs/>
          <w:lang w:eastAsia="ko-KR"/>
        </w:rPr>
        <w:t>,</w:t>
      </w:r>
      <w:r w:rsidR="00BF4EDE" w:rsidRPr="002E55DE">
        <w:rPr>
          <w:rFonts w:ascii="Times New Roman" w:eastAsiaTheme="minorEastAsia" w:hAnsi="Times New Roman"/>
          <w:bCs/>
          <w:lang w:eastAsia="ko-KR"/>
        </w:rPr>
        <w:t xml:space="preserve"> or </w:t>
      </w:r>
      <w:r w:rsidR="00F2413A" w:rsidRPr="002E55DE">
        <w:rPr>
          <w:rFonts w:ascii="Times New Roman" w:eastAsiaTheme="minorEastAsia" w:hAnsi="Times New Roman"/>
          <w:bCs/>
          <w:lang w:eastAsia="ko-KR"/>
        </w:rPr>
        <w:t xml:space="preserve">on </w:t>
      </w:r>
      <w:r w:rsidR="00E63022" w:rsidRPr="002E55DE">
        <w:rPr>
          <w:rFonts w:ascii="Times New Roman" w:eastAsiaTheme="minorEastAsia" w:hAnsi="Times New Roman"/>
          <w:bCs/>
          <w:lang w:eastAsia="ko-KR"/>
        </w:rPr>
        <w:t xml:space="preserve">the </w:t>
      </w:r>
      <w:r w:rsidR="00F2413A" w:rsidRPr="002E55DE">
        <w:rPr>
          <w:rFonts w:ascii="Times New Roman" w:eastAsiaTheme="minorEastAsia" w:hAnsi="Times New Roman"/>
          <w:bCs/>
          <w:lang w:eastAsia="ko-KR"/>
        </w:rPr>
        <w:t xml:space="preserve">overall </w:t>
      </w:r>
      <w:r w:rsidR="00942DB7" w:rsidRPr="002E55DE">
        <w:rPr>
          <w:rFonts w:ascii="Times New Roman" w:eastAsiaTheme="minorEastAsia" w:hAnsi="Times New Roman"/>
          <w:bCs/>
          <w:lang w:eastAsia="ko-KR"/>
        </w:rPr>
        <w:t xml:space="preserve">duration </w:t>
      </w:r>
      <w:r w:rsidR="00BF4EDE" w:rsidRPr="002E55DE">
        <w:rPr>
          <w:rFonts w:ascii="Times New Roman" w:eastAsiaTheme="minorEastAsia" w:hAnsi="Times New Roman"/>
          <w:bCs/>
          <w:lang w:eastAsia="ko-KR"/>
        </w:rPr>
        <w:t>of walking</w:t>
      </w:r>
      <w:r w:rsidR="00942DB7" w:rsidRPr="002E55DE">
        <w:rPr>
          <w:rFonts w:ascii="Times New Roman" w:eastAsiaTheme="minorEastAsia" w:hAnsi="Times New Roman" w:hint="eastAsia"/>
          <w:bCs/>
          <w:lang w:eastAsia="ko-KR"/>
        </w:rPr>
        <w:t xml:space="preserve"> </w:t>
      </w:r>
      <w:r w:rsidR="00F2413A" w:rsidRPr="002E55DE">
        <w:rPr>
          <w:rFonts w:ascii="Times New Roman" w:eastAsiaTheme="minorEastAsia" w:hAnsi="Times New Roman"/>
          <w:bCs/>
          <w:lang w:eastAsia="ko-KR"/>
        </w:rPr>
        <w:t xml:space="preserve">over a certain period </w:t>
      </w:r>
      <w:bookmarkStart w:id="11" w:name="_Hlk169959898"/>
      <w:r w:rsidR="00942DB7"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{"citationID":"S0LzS31s","properties":{"formattedCitation":"(Klenk et al., 2016; Patel et al., 2018; Valenti et al., 2016)","plainCitation":"(Klenk et al., 2016; Patel et al., 2018; Valenti et al., 2016)","dontUpdate":true,"noteIndex":0},"citationItems":[{"id":"4nY7bDZH/Ms3X4kT7","uris":["http://zotero.org/users/10132210/items/777LRWZJ"],"itemData":{"id":975,"type":"article-journal","abstract":"Background Physical activity is an important component of health. Recommendations based on sensor measurements are sparse in older people. The aim of this study was to analyse the effect of objectively measured walking and sedentary duration on four-year mortality in communitydwelling older people.","container-title":"PLOS ONE","DOI":"10.1371/journal.pone.0153779","ISSN":"1932-6203","issue":"4","journalAbbreviation":"PLoS ONE","language":"en","page":"e0153779","source":"DOI.org (Crossref)","title":"Objectively Measured Walking Duration and Sedentary Behaviour and Four-Year Mortality in Older People","volume":"11","author":[{"family":"Klenk","given":"Jochen"},{"family":"Dallmeier","given":"Dhayana"},{"family":"Denkinger","given":"Michael Dieter"},{"family":"Rapp","given":"Kilian"},{"family":"Koenig","given":"Wolfgang"},{"family":"Rothenbacher","given":"Dietrich"},{"literal":"ActiFE Study Group"}],"editor":[{"family":"Macaluso","given":"Andrea"}],"issued":{"date-parts":[["2016",4,15]]}}},{"id":"4nY7bDZH/m6yldjJ0","uris":["http://zotero.org/users/10132210/items/BUYGY5KE"],"itemData":{"id":974,"type":"article-journal","abstract":"Introduction: Engaging in 4150 minutes of moderate-intensity or 75 minutes of vigorousintensity physical activity weekly is recommended for optimal health. The relationship between walking, the most common activity especially for older adults, and total mortality is not well documented.\nMethods: Data from a large U.S. prospective cohort study including 62,178 men (mean age 70.7 years) and 77,077 women (mean age 68.9 years), among whom 24,688 men and 18,933 women died during 13 years of follow-up (1999–2012), were used to compute multivariable-adjusted hazard rate ratios and 95% CIs for walking as the sole form of activity or adjusted for other moderate- or vigorous-intensity physical activity in relation to total and cause-speciﬁc mortality (data analysis 2015–2016).\nResults: Inactivity compared with walking only at less than recommended levels was associated with higher all-cause mortality (hazard rate ratio¼1.26, 95% CI¼1.21, 1.31). Meeting one to two times the recommendations through walking only was associated with lower all-cause mortality (hazard rate ratio¼0.80, 95% CI¼0.78, 0.83). Associations with walking adjusted for other moderate- or vigorous-intensity physical activity were similar to walking only. Walking was most strongly associated with respiratory disease mortality followed by cardiovascular disease mortality and then cancer mortality.\nConclusions: In older adults, walking below minimum recommended levels is associated with lower all-cause mortality compared with inactivity. Walking at or above physical activity recommendations is associated with even greater decreased risk. Walking is simple, free, and does not require any training, and thus is an ideal activity for most Americans, especially as they age.","container-title":"American Journal of Preventive Medicine","DOI":"10.1016/j.amepre.2017.08.019","ISSN":"07493797","issue":"1","journalAbbreviation":"American Journal of Preventive Medicine","language":"en","page":"10-19","source":"DOI.org (Crossref)","title":"Walking in Relation to Mortality in a Large Prospective Cohort of Older U.S. Adults","volume":"54","author":[{"family":"Patel","given":"Alpa V."},{"family":"Hildebrand","given":"Janet S."},{"family":"Leach","given":"Corinne R."},{"family":"Campbell","given":"Peter T."},{"family":"Doyle","given":"Colleen"},{"family":"Shuval","given":"Kerem"},{"family":"Wang","given":"Ying"},{"family":"Gapstur","given":"Susan M."}],"issued":{"date-parts":[["2018",1]]}}},{"id":"4nY7bDZH/3OH6ECbq","uris":["http://zotero.org/users/10132210/items/VZKGUYL3"],"itemData":{"id":976,"type":"article-journal","abstract":"Background: Physical activity is recommended to promote healthy aging. Defining the importance of activities such as walking in achieving higher levels of physical activity might provide indications for interventions.\nObjective: To describe the importance of walking in achieving higher levels of physical activity in older adults.\nMethods: The study included 42 healthy subjects aged between 51 and 84 years (mean body mass index 25.6 kg/m2 [SD 2.6]). Physical activity, walking, and nonwalking activity were monitored with an accelerometer for 2 weeks. Physical activity was quantified by accelerometer-derived activity counts. An algorithm based on template matching and signal power was developed to classify activity counts into nonwalking counts, short walk counts, and long walk counts. Additionally, in a subgroup of 31 subjects energy expenditure was measured using doubly labeled water to derive physical activity level (PAL).\nResults: Subjects had a mean PAL of 1.84 (SD 0.19, range 1.43-2.36). About 20% of the activity time (21% [SD 8]) was spent walking, which accounted for about 40% of the total counts (43% [SD 11]). Short bouts composed 83% (SD 9) of walking time, providing 81% (SD 11) of walking counts. A stepwise regression model to predict PAL included nonwalking counts and short walk counts, explaining 58% of the variance of PAL (standard error of the estimate=0.12). Walking activities produced more counts per minute than nonwalking activities (P&lt;.001). Long walks produced more counts per minute than short walks (P=.001). Nonwalking counts were independent of walking counts (r=−.05, P=.38).\nConclusions: Walking activities are a major contributor to physical activity in older adults. Walking activities occur at higher intensities than nonwalking activities, which might prevent individuals from engaging in more walking activity. Finally, subjects who engage in more walking activities do not tend to compensate by limiting nonwalking activities.","container-title":"JMIR mHealth and uHealth","DOI":"10.2196/mhealth.5445","ISSN":"2291-5222","issue":"2","journalAbbreviation":"JMIR mHealth uHealth","language":"en","page":"e56","source":"DOI.org (Crossref)","title":"Walking as a Contributor to Physical Activity in Healthy Older Adults: 2 Week Longitudinal Study Using Accelerometry and the Doubly Labeled Water Method","title-short":"Walking as a Contributor to Physical Activity in Healthy Older Adults","volume":"4","author":[{"family":"Valenti","given":"Giulio"},{"family":"Bonomi","given":"Alberto G"},{"family":"Westerterp","given":"Klaas R"}],"issued":{"date-parts":[["2016",6,7]]}}}],"schema":"https://github.com/citation-style-language/schema/raw/master/csl-citation.json"} </w:instrText>
      </w:r>
      <w:r w:rsidR="00942DB7" w:rsidRPr="002E55DE">
        <w:rPr>
          <w:rFonts w:ascii="Times New Roman" w:hAnsi="Times New Roman"/>
          <w:bCs/>
        </w:rPr>
        <w:fldChar w:fldCharType="separate"/>
      </w:r>
      <w:r w:rsidR="00942DB7" w:rsidRPr="002E55DE">
        <w:rPr>
          <w:rFonts w:ascii="Times New Roman" w:hAnsi="Times New Roman"/>
          <w:bCs/>
        </w:rPr>
        <w:t>(</w:t>
      </w:r>
      <w:r w:rsidR="00942DB7" w:rsidRPr="002E55DE">
        <w:rPr>
          <w:rFonts w:ascii="Times New Roman" w:eastAsiaTheme="minorEastAsia" w:hAnsi="Times New Roman" w:hint="eastAsia"/>
          <w:bCs/>
          <w:lang w:eastAsia="ko-KR"/>
        </w:rPr>
        <w:t xml:space="preserve">for example, </w:t>
      </w:r>
      <w:r w:rsidR="00942DB7" w:rsidRPr="002E55DE">
        <w:rPr>
          <w:rFonts w:ascii="Times New Roman" w:hAnsi="Times New Roman"/>
          <w:bCs/>
        </w:rPr>
        <w:t>Klenk et al., 2016</w:t>
      </w:r>
      <w:r w:rsidR="003123FA" w:rsidRPr="002E55DE">
        <w:rPr>
          <w:rFonts w:ascii="Times New Roman" w:eastAsiaTheme="minorEastAsia" w:hAnsi="Times New Roman"/>
          <w:bCs/>
          <w:lang w:eastAsia="ko-KR"/>
        </w:rPr>
        <w:t>,</w:t>
      </w:r>
      <w:r w:rsidR="00942DB7" w:rsidRPr="002E55DE">
        <w:rPr>
          <w:rFonts w:ascii="Times New Roman" w:hAnsi="Times New Roman"/>
          <w:bCs/>
        </w:rPr>
        <w:t xml:space="preserve"> </w:t>
      </w:r>
      <w:r w:rsidR="00435F79" w:rsidRPr="002E55DE">
        <w:rPr>
          <w:rFonts w:ascii="Times New Roman" w:hAnsi="Times New Roman"/>
          <w:bCs/>
        </w:rPr>
        <w:t xml:space="preserve">Valenti et al., 2016, and </w:t>
      </w:r>
      <w:r w:rsidR="00942DB7" w:rsidRPr="002E55DE">
        <w:rPr>
          <w:rFonts w:ascii="Times New Roman" w:hAnsi="Times New Roman"/>
          <w:bCs/>
        </w:rPr>
        <w:t>Patel et al., 2018)</w:t>
      </w:r>
      <w:r w:rsidR="00942DB7" w:rsidRPr="002E55DE">
        <w:rPr>
          <w:rFonts w:ascii="Times New Roman" w:hAnsi="Times New Roman"/>
          <w:bCs/>
        </w:rPr>
        <w:fldChar w:fldCharType="end"/>
      </w:r>
      <w:r w:rsidR="00BF4EDE" w:rsidRPr="002E55DE">
        <w:rPr>
          <w:rFonts w:ascii="Times New Roman" w:eastAsiaTheme="minorEastAsia" w:hAnsi="Times New Roman"/>
          <w:bCs/>
          <w:lang w:eastAsia="ko-KR"/>
        </w:rPr>
        <w:t xml:space="preserve">, </w:t>
      </w:r>
      <w:bookmarkEnd w:id="11"/>
      <w:r w:rsidR="00BF4EDE" w:rsidRPr="002E55DE">
        <w:rPr>
          <w:rFonts w:ascii="Times New Roman" w:eastAsiaTheme="minorEastAsia" w:hAnsi="Times New Roman"/>
          <w:bCs/>
          <w:lang w:eastAsia="ko-KR"/>
        </w:rPr>
        <w:t>without examining both aspects simultaneously.</w:t>
      </w:r>
    </w:p>
    <w:bookmarkEnd w:id="2"/>
    <w:p w14:paraId="5BF9D43F" w14:textId="189B05FB" w:rsidR="00DE252D" w:rsidRPr="002E55DE" w:rsidRDefault="00F2413A" w:rsidP="00150AE4">
      <w:pPr>
        <w:ind w:firstLine="720"/>
        <w:jc w:val="both"/>
        <w:rPr>
          <w:rFonts w:ascii="Times New Roman" w:hAnsi="Times New Roman"/>
        </w:rPr>
      </w:pPr>
      <w:r w:rsidRPr="002E55DE">
        <w:rPr>
          <w:rFonts w:ascii="Times New Roman" w:eastAsiaTheme="minorEastAsia" w:hAnsi="Times New Roman"/>
          <w:bCs/>
          <w:lang w:eastAsia="ko-KR"/>
        </w:rPr>
        <w:t xml:space="preserve">An additional walking dimension that </w:t>
      </w:r>
      <w:r w:rsidR="008C6139" w:rsidRPr="002E55DE">
        <w:rPr>
          <w:rFonts w:ascii="Times New Roman" w:eastAsiaTheme="minorEastAsia" w:hAnsi="Times New Roman"/>
          <w:bCs/>
          <w:lang w:eastAsia="ko-KR"/>
        </w:rPr>
        <w:t xml:space="preserve">warrants integrated analysis </w:t>
      </w:r>
      <w:r w:rsidRPr="002E55DE">
        <w:rPr>
          <w:rFonts w:ascii="Times New Roman" w:eastAsiaTheme="minorEastAsia" w:hAnsi="Times New Roman"/>
          <w:bCs/>
          <w:lang w:eastAsia="ko-KR"/>
        </w:rPr>
        <w:t>is whether walking bout</w:t>
      </w:r>
      <w:r w:rsidR="008C6139" w:rsidRPr="002E55DE">
        <w:rPr>
          <w:rFonts w:ascii="Times New Roman" w:eastAsiaTheme="minorEastAsia" w:hAnsi="Times New Roman"/>
          <w:bCs/>
          <w:lang w:eastAsia="ko-KR"/>
        </w:rPr>
        <w:t>s</w:t>
      </w:r>
      <w:r w:rsidRPr="002E55DE">
        <w:rPr>
          <w:rFonts w:ascii="Times New Roman" w:eastAsiaTheme="minorEastAsia" w:hAnsi="Times New Roman"/>
          <w:bCs/>
          <w:lang w:eastAsia="ko-KR"/>
        </w:rPr>
        <w:t xml:space="preserve"> </w:t>
      </w:r>
      <w:r w:rsidR="008C6139" w:rsidRPr="002E55DE">
        <w:rPr>
          <w:rFonts w:ascii="Times New Roman" w:eastAsiaTheme="minorEastAsia" w:hAnsi="Times New Roman"/>
          <w:bCs/>
          <w:lang w:eastAsia="ko-KR"/>
        </w:rPr>
        <w:t>are</w:t>
      </w:r>
      <w:r w:rsidRPr="002E55DE">
        <w:rPr>
          <w:rFonts w:ascii="Times New Roman" w:eastAsiaTheme="minorEastAsia" w:hAnsi="Times New Roman"/>
          <w:bCs/>
          <w:lang w:eastAsia="ko-KR"/>
        </w:rPr>
        <w:t xml:space="preserve"> undertaken alone or </w:t>
      </w:r>
      <w:r w:rsidR="008C6139" w:rsidRPr="002E55DE">
        <w:rPr>
          <w:rFonts w:ascii="Times New Roman" w:eastAsiaTheme="minorEastAsia" w:hAnsi="Times New Roman"/>
          <w:bCs/>
          <w:lang w:eastAsia="ko-KR"/>
        </w:rPr>
        <w:t>with</w:t>
      </w:r>
      <w:r w:rsidRPr="002E55DE">
        <w:rPr>
          <w:rFonts w:ascii="Times New Roman" w:eastAsiaTheme="minorEastAsia" w:hAnsi="Times New Roman"/>
          <w:bCs/>
          <w:lang w:eastAsia="ko-KR"/>
        </w:rPr>
        <w:t xml:space="preserve"> compan</w:t>
      </w:r>
      <w:r w:rsidR="008C6139" w:rsidRPr="002E55DE">
        <w:rPr>
          <w:rFonts w:ascii="Times New Roman" w:eastAsiaTheme="minorEastAsia" w:hAnsi="Times New Roman"/>
          <w:bCs/>
          <w:lang w:eastAsia="ko-KR"/>
        </w:rPr>
        <w:t>ions</w:t>
      </w:r>
      <w:r w:rsidRPr="002E55DE">
        <w:rPr>
          <w:rFonts w:ascii="Times New Roman" w:eastAsiaTheme="minorEastAsia" w:hAnsi="Times New Roman"/>
          <w:bCs/>
          <w:lang w:eastAsia="ko-KR"/>
        </w:rPr>
        <w:t xml:space="preserve">. </w:t>
      </w:r>
      <w:r w:rsidR="008C6139" w:rsidRPr="002E55DE">
        <w:rPr>
          <w:rFonts w:ascii="Times New Roman" w:eastAsiaTheme="minorEastAsia" w:hAnsi="Times New Roman"/>
          <w:bCs/>
          <w:lang w:eastAsia="ko-KR"/>
        </w:rPr>
        <w:t xml:space="preserve">Extensive research in the fields of public health and gerontology suggests that </w:t>
      </w:r>
      <w:r w:rsidR="00BF4EDE" w:rsidRPr="002E55DE">
        <w:rPr>
          <w:rFonts w:ascii="Times New Roman" w:eastAsiaTheme="minorEastAsia" w:hAnsi="Times New Roman"/>
          <w:bCs/>
          <w:lang w:eastAsia="ko-KR"/>
        </w:rPr>
        <w:t>having a walking companion</w:t>
      </w:r>
      <w:r w:rsidR="00083BB9" w:rsidRPr="002E55DE">
        <w:rPr>
          <w:rFonts w:ascii="Times New Roman" w:eastAsiaTheme="minorEastAsia" w:hAnsi="Times New Roman"/>
          <w:bCs/>
          <w:lang w:eastAsia="ko-KR"/>
        </w:rPr>
        <w:t>, especially</w:t>
      </w:r>
      <w:r w:rsidR="00873780" w:rsidRPr="002E55DE">
        <w:rPr>
          <w:rFonts w:ascii="Times New Roman" w:eastAsiaTheme="minorEastAsia" w:hAnsi="Times New Roman"/>
          <w:bCs/>
          <w:lang w:eastAsia="ko-KR"/>
        </w:rPr>
        <w:t xml:space="preserve"> for</w:t>
      </w:r>
      <w:r w:rsidR="00083BB9" w:rsidRPr="002E55DE">
        <w:rPr>
          <w:rFonts w:ascii="Times New Roman" w:eastAsiaTheme="minorEastAsia" w:hAnsi="Times New Roman"/>
          <w:bCs/>
          <w:lang w:eastAsia="ko-KR"/>
        </w:rPr>
        <w:t xml:space="preserve"> older adults,</w:t>
      </w:r>
      <w:r w:rsidR="00BF4EDE" w:rsidRPr="002E55DE">
        <w:rPr>
          <w:rFonts w:ascii="Times New Roman" w:eastAsiaTheme="minorEastAsia" w:hAnsi="Times New Roman" w:hint="eastAsia"/>
          <w:bCs/>
          <w:lang w:eastAsia="ko-KR"/>
        </w:rPr>
        <w:t xml:space="preserve"> has</w:t>
      </w:r>
      <w:r w:rsidR="00BF4EDE" w:rsidRPr="002E55DE">
        <w:rPr>
          <w:rFonts w:ascii="Times New Roman" w:eastAsiaTheme="minorEastAsia" w:hAnsi="Times New Roman"/>
          <w:bCs/>
          <w:lang w:eastAsia="ko-KR"/>
        </w:rPr>
        <w:t xml:space="preserve"> a </w:t>
      </w:r>
      <w:r w:rsidR="00BF4EDE" w:rsidRPr="002E55DE">
        <w:rPr>
          <w:rFonts w:ascii="Times New Roman" w:eastAsiaTheme="minorEastAsia" w:hAnsi="Times New Roman"/>
          <w:bCs/>
          <w:lang w:eastAsia="ko-KR"/>
        </w:rPr>
        <w:lastRenderedPageBreak/>
        <w:t xml:space="preserve">positive impact on </w:t>
      </w:r>
      <w:r w:rsidR="00BF4EDE" w:rsidRPr="002E55DE">
        <w:rPr>
          <w:rFonts w:ascii="Times New Roman" w:eastAsiaTheme="minorEastAsia" w:hAnsi="Times New Roman" w:hint="eastAsia"/>
          <w:bCs/>
          <w:lang w:eastAsia="ko-KR"/>
        </w:rPr>
        <w:t xml:space="preserve">mental well-being </w:t>
      </w:r>
      <w:r w:rsidR="00BF4EDE"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{"citationID":"E184Y9NR","properties":{"formattedCitation":"(Irvine et al., 2022; Kritz et al., 2021; Meads &amp; Exley, 2018)","plainCitation":"(Irvine et al., 2022; Kritz et al., 2021; Meads &amp; Exley, 2018)","dontUpdate":true,"noteIndex":0},"citationItems":[{"id":"4nY7bDZH/JHJHju3M","uris":["http://zotero.org/users/10132210/items/XAED6U37"],"itemData":{"id":937,"type":"article-journal","abstract":"Physical distancing practices during the COVID-19 global pandemic contributed to a high degree of social isolation among older adults. To reduce loneliness and other ill effects of social isolation, public health experts recommended outdoor social gathering, with physical distancing. Adopting a case study approach, we explored how social aspects of group outdoor health walks (GOHWs) mitigate social isolation for older adults and improve individual social wellbeing. We used semi-structured interviews to understand the experiences of social isolation and social relationships in nine older (50–80 s) adults participating in a GOHW in Scotland, United Kingdom (UK). Verbatim transcripts were analysed through an iterative process of thematic analysis carried out by an interdisciplinary team of qualitative researchers from environmental psychology, medicine, and geography. Themes provide insight into the social dimensions of GOHWs, the mediating effects of social experiences, and the contribution these make to individual social wellbeing. GOHWs provide opportunities to be part of a group and attend to the needs of inexperienced or physically challenged individuals. Being part of the group walk fosters casual interpersonal interactions through spontaneous mixing during and after the walk. This programmatic structure counters loneliness, engenders pleasurable anticipation of regular contact with others, supports physical activity, and fosters group cohesion. These in turn contribute to individual social wellbeing, including expanding social networks, meaningful relationships, a sense of belonging, and acting on empathy for others. GOWHs may be beneﬁcial for mitigation of social isolation as we emerge from the COVID-19 pandemic. Findings were used to propose a conceptual model to parse social constructs and inform selection or development of quantitative social measures for future studies of nature-based interventions such as GOHWs.","container-title":"International Journal of Environmental Research and Public Health","DOI":"10.3390/ijerph19095353","ISSN":"1660-4601","issue":"9","journalAbbreviation":"IJERPH","language":"en","page":"5353","source":"DOI.org (Crossref)","title":"Social Isolation in Older Adults: A Qualitative Study on the Social Dimensions of Group Outdoor Health Walks","title-short":"Social Isolation in Older Adults","volume":"19","author":[{"family":"Irvine","given":"Katherine N."},{"family":"Fisher","given":"Daniel"},{"family":"Marselle","given":"Melissa R."},{"family":"Currie","given":"Margaret"},{"family":"Colley","given":"Kathryn"},{"family":"Warber","given":"Sara L."}],"issued":{"date-parts":[["2022",4,28]]}}},{"id":"4nY7bDZH/Hbiv06zS","uris":["http://zotero.org/users/10132210/items/9F5FSKLX"],"itemData":{"id":947,"type":"article-journal","abstract":"The authors examined whether purposeful walking with peers at least once a week contributes to better behavioral and health outcomes in older adults than primarily walking alone. The authors used a longitudinal cohort design and recruited participants aged 60 years and older (N = 136) at the start of a 16-week walking intervention. Participants who walked on average at least once a week in the ﬁnal 8 weeks of the intervention were included in the analysis (N = 79; 66 females, Mage [SD] = 77.73 [6.91]). The authors found that autonomous motivation, walking self-efﬁcacy, functional capacity, body fat, and physical activity improved more in the walking with peers group compared with the walking alone group, after controlling for whether participants lived alone/with others and their health status. The results extend current literature by providing longitudinal evidence for the added beneﬁts of regular peer-accompanied walking in older adults and highlight the importance of investing in peer-supported interventions.","container-title":"Journal of Aging and Physical Activity","DOI":"10.1123/japa.2020-0091","ISSN":"1063-8652, 1543-267X","issue":"3","language":"en","page":"455-465","source":"DOI.org (Crossref)","title":"“It’s Better Together”: A Nested Longitudinal Study Examining the Benefits of Walking Regularly With Peers Versus Primarily Alone in Older Adults","title-short":"“It’s Better Together”","volume":"29","author":[{"family":"Kritz","given":"Marlene"},{"family":"Thøgersen-Ntoumani","given":"Cecilie"},{"family":"Mullan","given":"Barbara"},{"family":"Stathi","given":"Afroditi"},{"family":"Ntoumanis","given":"Nikos"}],"issued":{"date-parts":[["2021",6,1]]}}},{"id":"4nY7bDZH/TMOwtRXF","uris":["http://zotero.org/users/10132210/items/SRAJCT5X"],"itemData":{"id":1112,"type":"article-journal","abstract":"Background: Walking is a good way to meet physical activity guidelines. We examined the effectiveness of walking in groups compared with walking alone or inactive controls in physically healthy adults on physical activity and quality of life. (PROSPERO CRD42016033752). Methods: We searched Medline, Embase, Cinahl, Web of Knowledge Science Citation Index, and Cochrane CENTRAL until March 2016, for any comparative studies, in physically healthy adults, of walking in groups compared with inactive controls or walking alone, reporting any measure of physical activity. We searched references from recent relevant systematic reviews. Two reviewers checked study eligibility and independently extracted data. Disagreements were resolved through discussion. Quality was assessed using likelihood of selection, performance, attrition, and detection biases. Meta-analysis was conducted using Review Manager 5.3. Results: From 1,404 citations, 18 studies were included in qualitative synthesis and 10 in meta-analyses. Fourteen compared group walking to inactive controls and four to walking alone. Eight reported more than one measure of physical activity, none reported according to current guidelines. Group walking compared with inactive controls increased follow-up physical activity (9 randomized controlled trials, standardized mean difference [SMD] 0.58 [95 percent conﬁdence interval {CI}, 0.34–0.82] to SMD 0.43 [95 percent CI, 0.20–0.66]). Compared with walking alone, studies were too few and too heterogeneous to conduct meta-analysis, but the trend was improved physical activity at follow-up for group walking participants. Seven (all inactive control) reported quality-of-life: ﬁve showed statistically signiﬁcantly improved scores. Discussion: Better evidence may encourage government policy to promote walking in groups. Standardized physical activity outcomes need to be reported in research.","container-title":"International Journal of Technology Assessment in Health Care","DOI":"10.1017/S0266462317001088","ISSN":"0266-4623, 1471-6348","issue":"1","journalAbbreviation":"Int J Technol Assess Health Care","language":"en","license":"https://www.cambridge.org/core/terms","page":"27-37","source":"DOI.org (Crossref)","title":"A Systematic Review of Group Walking in Physically Healthy People to Promote Physical Activity","volume":"34","author":[{"family":"Meads","given":"Catherine"},{"family":"Exley","given":"Josephine"}],"issued":{"date-parts":[["2018"]]}}}],"schema":"https://github.com/citation-style-language/schema/raw/master/csl-citation.json"} </w:instrText>
      </w:r>
      <w:r w:rsidR="00BF4EDE" w:rsidRPr="002E55DE">
        <w:rPr>
          <w:rFonts w:ascii="Times New Roman" w:eastAsiaTheme="minorEastAsia" w:hAnsi="Times New Roman"/>
          <w:bCs/>
          <w:lang w:eastAsia="ko-KR"/>
        </w:rPr>
        <w:fldChar w:fldCharType="separate"/>
      </w:r>
      <w:r w:rsidR="00BF4EDE" w:rsidRPr="002E55DE">
        <w:rPr>
          <w:rFonts w:ascii="Times New Roman" w:hAnsi="Times New Roman"/>
        </w:rPr>
        <w:t>(</w:t>
      </w:r>
      <w:bookmarkStart w:id="12" w:name="_Hlk169959922"/>
      <w:r w:rsidR="00BF4EDE" w:rsidRPr="002E55DE">
        <w:rPr>
          <w:rFonts w:ascii="Times New Roman" w:hAnsi="Times New Roman"/>
        </w:rPr>
        <w:t>see Kritz et al., 2021</w:t>
      </w:r>
      <w:r w:rsidR="00435F79" w:rsidRPr="002E55DE">
        <w:rPr>
          <w:rFonts w:ascii="Times New Roman" w:hAnsi="Times New Roman"/>
        </w:rPr>
        <w:t>, and Irvine et al., 2022</w:t>
      </w:r>
      <w:r w:rsidR="00BF4EDE" w:rsidRPr="002E55DE">
        <w:rPr>
          <w:rFonts w:ascii="Times New Roman" w:hAnsi="Times New Roman"/>
        </w:rPr>
        <w:t>)</w:t>
      </w:r>
      <w:bookmarkEnd w:id="12"/>
      <w:r w:rsidR="00BF4EDE" w:rsidRPr="002E55DE">
        <w:rPr>
          <w:rFonts w:ascii="Times New Roman" w:eastAsiaTheme="minorEastAsia" w:hAnsi="Times New Roman"/>
          <w:bCs/>
          <w:lang w:eastAsia="ko-KR"/>
        </w:rPr>
        <w:fldChar w:fldCharType="end"/>
      </w:r>
      <w:r w:rsidR="00BF4EDE" w:rsidRPr="002E55DE">
        <w:rPr>
          <w:rFonts w:ascii="Times New Roman" w:eastAsiaTheme="minorEastAsia" w:hAnsi="Times New Roman" w:hint="eastAsia"/>
          <w:bCs/>
          <w:lang w:eastAsia="ko-KR"/>
        </w:rPr>
        <w:t xml:space="preserve"> and provides motivation to maintain</w:t>
      </w:r>
      <w:r w:rsidR="00BF4EDE" w:rsidRPr="002E55DE">
        <w:rPr>
          <w:rFonts w:ascii="Times New Roman" w:hAnsi="Times New Roman"/>
          <w:bCs/>
        </w:rPr>
        <w:t xml:space="preserve"> a sustained walking routine </w:t>
      </w:r>
      <w:bookmarkStart w:id="13" w:name="_Hlk169959954"/>
      <w:r w:rsidR="00BF4EDE" w:rsidRPr="002E55DE">
        <w:rPr>
          <w:rFonts w:ascii="Times New Roman" w:hAnsi="Times New Roman"/>
          <w:bCs/>
        </w:rPr>
        <w:fldChar w:fldCharType="begin"/>
      </w:r>
      <w:r w:rsidR="00A254CC" w:rsidRPr="002E55DE">
        <w:rPr>
          <w:rFonts w:ascii="Times New Roman" w:hAnsi="Times New Roman"/>
          <w:bCs/>
        </w:rPr>
        <w:instrText xml:space="preserve"> ADDIN ZOTERO_ITEM CSL_CITATION {"citationID":"nBpZxRXu","properties":{"formattedCitation":"(Irvine et al., 2022; Kritz et al., 2021; Kubota et al., 2020; Leung et al., 2018)","plainCitation":"(Irvine et al., 2022; Kritz et al., 2021; Kubota et al., 2020; Leung et al., 2018)","dontUpdate":true,"noteIndex":0},"citationItems":[{"id":"4nY7bDZH/JHJHju3M","uris":["http://zotero.org/users/10132210/items/XAED6U37"],"itemData":{"id":937,"type":"article-journal","abstract":"Physical distancing practices during the COVID-19 global pandemic contributed to a high degree of social isolation among older adults. To reduce loneliness and other ill effects of social isolation, public health experts recommended outdoor social gathering, with physical distancing. Adopting a case study approach, we explored how social aspects of group outdoor health walks (GOHWs) mitigate social isolation for older adults and improve individual social wellbeing. We used semi-structured interviews to understand the experiences of social isolation and social relationships in nine older (50–80 s) adults participating in a GOHW in Scotland, United Kingdom (UK). Verbatim transcripts were analysed through an iterative process of thematic analysis carried out by an interdisciplinary team of qualitative researchers from environmental psychology, medicine, and geography. Themes provide insight into the social dimensions of GOHWs, the mediating effects of social experiences, and the contribution these make to individual social wellbeing. GOHWs provide opportunities to be part of a group and attend to the needs of inexperienced or physically challenged individuals. Being part of the group walk fosters casual interpersonal interactions through spontaneous mixing during and after the walk. This programmatic structure counters loneliness, engenders pleasurable anticipation of regular contact with others, supports physical activity, and fosters group cohesion. These in turn contribute to individual social wellbeing, including expanding social networks, meaningful relationships, a sense of belonging, and acting on empathy for others. GOWHs may be beneﬁcial for mitigation of social isolation as we emerge from the COVID-19 pandemic. Findings were used to propose a conceptual model to parse social constructs and inform selection or development of quantitative social measures for future studies of nature-based interventions such as GOHWs.","container-title":"International Journal of Environmental Research and Public Health","DOI":"10.3390/ijerph19095353","ISSN":"1660-4601","issue":"9","journalAbbreviation":"IJERPH","language":"en","page":"5353","source":"DOI.org (Crossref)","title":"Social Isolation in Older Adults: A Qualitative Study on the Social Dimensions of Group Outdoor Health Walks","title-short":"Social Isolation in Older Adults","volume":"19","author":[{"family":"Irvine","given":"Katherine N."},{"family":"Fisher","given":"Daniel"},{"family":"Marselle","given":"Melissa R."},{"family":"Currie","given":"Margaret"},{"family":"Colley","given":"Kathryn"},{"family":"Warber","given":"Sara L."}],"issued":{"date-parts":[["2022",4,28]]}}},{"id":"4nY7bDZH/Hbiv06zS","uris":["http://zotero.org/users/10132210/items/9F5FSKLX"],"itemData":{"id":947,"type":"article-journal","abstract":"The authors examined whether purposeful walking with peers at least once a week contributes to better behavioral and health outcomes in older adults than primarily walking alone. The authors used a longitudinal cohort design and recruited participants aged 60 years and older (N = 136) at the start of a 16-week walking intervention. Participants who walked on average at least once a week in the ﬁnal 8 weeks of the intervention were included in the analysis (N = 79; 66 females, Mage [SD] = 77.73 [6.91]). The authors found that autonomous motivation, walking self-efﬁcacy, functional capacity, body fat, and physical activity improved more in the walking with peers group compared with the walking alone group, after controlling for whether participants lived alone/with others and their health status. The results extend current literature by providing longitudinal evidence for the added beneﬁts of regular peer-accompanied walking in older adults and highlight the importance of investing in peer-supported interventions.","container-title":"Journal of Aging and Physical Activity","DOI":"10.1123/japa.2020-0091","ISSN":"1063-8652, 1543-267X","issue":"3","language":"en","page":"455-465","source":"DOI.org (Crossref)","title":"“It’s Better Together”: A Nested Longitudinal Study Examining the Benefits of Walking Regularly With Peers Versus Primarily Alone in Older Adults","title-short":"“It’s Better Together”","volume":"29","author":[{"family":"Kritz","given":"Marlene"},{"family":"Thøgersen-Ntoumani","given":"Cecilie"},{"family":"Mullan","given":"Barbara"},{"family":"Stathi","given":"Afroditi"},{"family":"Ntoumanis","given":"Nikos"}],"issued":{"date-parts":[["2021",6,1]]}}},{"id":"4nY7bDZH/qi5jyx55","uris":["http://zotero.org/users/10132210/items/9YXBSFAZ"],"itemData":{"id":944,"type":"article-journal","abstract":"This cross-sectional study examined associations of local social engagement with walking and sitting, and whether these associations were modiﬁed by local environmental attributes. Older residents (aged 65–84 years, n = 849), recruited from a regional city in Japan, reported walking frequency, sitting time, local social engagement, and local environmental attributes. Walk Score® was also used as an environmental measure. Analysis of data from 705 participants found that engaging in community activities was signiﬁcantly associated with more frequent walking, but not with prolonged sitting. Interaction analyses between social engagement and environmental attributes did not show any signiﬁcant interactions, suggesting that promoting local social engagement may increase walking frequency among older adults, regardless of local environmental characteristics. Community-level social initiatives that encourage older adults to participate in local meetings, events, and activities may be an effective physical activity promotion strategy among older adults.","container-title":"Journal of Aging and Physical Activity","DOI":"10.1123/japa.2018-0321","ISSN":"1063-8652, 1543-267X","issue":"2","language":"en","page":"187-193","source":"DOI.org (Crossref)","title":"Associations of Local Social Engagement and Environmental Attributes With Walking and Sitting Among Japanese Older Adults","volume":"28","author":[{"family":"Kubota","given":"Akio"},{"family":"Carver","given":"Alison"},{"family":"Sugiyama","given":"Takemi"}],"issued":{"date-parts":[["2020",4,1]]}}},{"id":"4nY7bDZH/S6DkN586","uris":["http://zotero.org/users/10132210/items/RYUPRNEU"],"itemData":{"id":952,"type":"article-journal","abstract":"Introduction: This study examined the associations between physical environment (facilitators and barriers), social environment, and walking among older adults in Hong Kong. Methods: Between April and December 2016, a sample of 679 adults aged 65 years or above was recruited in Neighbourhood Elderly Centres from across the 18 council districts of Hong Kong. Participants were asked to complete validated questionnaires that were used to assess the above constructs; participants were asked to track their daily step counts over 7 days using an accelerometer. Structural Equation Modelling was performed to examine the studied relationships by using maximum likelihood estimation in LISREL 9.3.","container-title":"Journal of Transport &amp; Health","DOI":"10.1016/j.jth.2018.03.002","ISSN":"22141405","journalAbbreviation":"Journal of Transport &amp; Health","language":"en","page":"299-308","source":"DOI.org (Crossref)","title":"Impact of physical and social environments on the walking behaviour of Hong Kong's older adults","volume":"9","author":[{"family":"Leung","given":"Ka Man"},{"family":"Chung","given":"Pak-Kwong"},{"family":"Wang","given":"Donggen"},{"family":"Liu","given":"Jing Dong"}],"issued":{"date-parts":[["2018",6]]}}}],"schema":"https://github.com/citation-style-language/schema/raw/master/csl-citation.json"} </w:instrText>
      </w:r>
      <w:r w:rsidR="00BF4EDE" w:rsidRPr="002E55DE">
        <w:rPr>
          <w:rFonts w:ascii="Times New Roman" w:hAnsi="Times New Roman"/>
          <w:bCs/>
        </w:rPr>
        <w:fldChar w:fldCharType="separate"/>
      </w:r>
      <w:r w:rsidR="00BF4EDE" w:rsidRPr="002E55DE">
        <w:rPr>
          <w:rFonts w:ascii="Times New Roman" w:hAnsi="Times New Roman"/>
          <w:bCs/>
        </w:rPr>
        <w:t>(</w:t>
      </w:r>
      <w:r w:rsidR="003123FA" w:rsidRPr="002E55DE">
        <w:rPr>
          <w:rFonts w:ascii="Times New Roman" w:eastAsiaTheme="minorEastAsia" w:hAnsi="Times New Roman"/>
          <w:bCs/>
          <w:lang w:eastAsia="ko-KR"/>
        </w:rPr>
        <w:t xml:space="preserve">see </w:t>
      </w:r>
      <w:r w:rsidR="00BF4EDE" w:rsidRPr="002E55DE">
        <w:rPr>
          <w:rFonts w:ascii="Times New Roman" w:hAnsi="Times New Roman"/>
          <w:bCs/>
        </w:rPr>
        <w:t>Leung et al., 2018</w:t>
      </w:r>
      <w:r w:rsidR="00435F79" w:rsidRPr="002E55DE">
        <w:rPr>
          <w:rFonts w:ascii="Times New Roman" w:hAnsi="Times New Roman"/>
          <w:bCs/>
        </w:rPr>
        <w:t>, Kubota et al., 2020, Kritz et al., 2021, and Irvine et al., 2022</w:t>
      </w:r>
      <w:r w:rsidR="00BF4EDE" w:rsidRPr="002E55DE">
        <w:rPr>
          <w:rFonts w:ascii="Times New Roman" w:hAnsi="Times New Roman"/>
          <w:bCs/>
        </w:rPr>
        <w:t>)</w:t>
      </w:r>
      <w:r w:rsidR="00BF4EDE" w:rsidRPr="002E55DE">
        <w:rPr>
          <w:rFonts w:ascii="Times New Roman" w:hAnsi="Times New Roman"/>
          <w:bCs/>
        </w:rPr>
        <w:fldChar w:fldCharType="end"/>
      </w:r>
      <w:r w:rsidR="00083BB9" w:rsidRPr="002E55DE">
        <w:rPr>
          <w:rFonts w:ascii="Times New Roman" w:eastAsiaTheme="minorEastAsia" w:hAnsi="Times New Roman"/>
          <w:bCs/>
          <w:lang w:eastAsia="ko-KR"/>
        </w:rPr>
        <w:t>.</w:t>
      </w:r>
      <w:r w:rsidR="008C6139" w:rsidRPr="002E55DE">
        <w:rPr>
          <w:rFonts w:ascii="Times New Roman" w:eastAsiaTheme="minorEastAsia" w:hAnsi="Times New Roman"/>
          <w:bCs/>
          <w:lang w:eastAsia="ko-KR"/>
        </w:rPr>
        <w:t xml:space="preserve"> </w:t>
      </w:r>
      <w:r w:rsidR="009855FF" w:rsidRPr="002E55DE">
        <w:rPr>
          <w:rFonts w:ascii="Times New Roman" w:eastAsiaTheme="minorEastAsia" w:hAnsi="Times New Roman"/>
          <w:bCs/>
          <w:lang w:eastAsia="ko-KR"/>
        </w:rPr>
        <w:t>T</w:t>
      </w:r>
      <w:r w:rsidR="008C6139" w:rsidRPr="002E55DE">
        <w:rPr>
          <w:rFonts w:ascii="Times New Roman" w:eastAsiaTheme="minorEastAsia" w:hAnsi="Times New Roman"/>
          <w:bCs/>
          <w:lang w:eastAsia="ko-KR"/>
        </w:rPr>
        <w:t xml:space="preserve">he literature has </w:t>
      </w:r>
      <w:r w:rsidR="009855FF" w:rsidRPr="002E55DE">
        <w:rPr>
          <w:rFonts w:ascii="Times New Roman" w:eastAsiaTheme="minorEastAsia" w:hAnsi="Times New Roman"/>
          <w:bCs/>
          <w:lang w:eastAsia="ko-KR"/>
        </w:rPr>
        <w:t xml:space="preserve">also </w:t>
      </w:r>
      <w:r w:rsidR="008C6139" w:rsidRPr="002E55DE">
        <w:rPr>
          <w:rFonts w:ascii="Times New Roman" w:eastAsiaTheme="minorEastAsia" w:hAnsi="Times New Roman"/>
          <w:bCs/>
          <w:lang w:eastAsia="ko-KR"/>
        </w:rPr>
        <w:t>established strong connections between individuals’ social environments and their engagement in physical activity</w:t>
      </w:r>
      <w:r w:rsidR="00943807" w:rsidRPr="002E55DE">
        <w:rPr>
          <w:rFonts w:ascii="Times New Roman" w:eastAsiaTheme="minorEastAsia" w:hAnsi="Times New Roman"/>
          <w:bCs/>
          <w:lang w:eastAsia="ko-KR"/>
        </w:rPr>
        <w:t xml:space="preserve">, </w:t>
      </w:r>
      <w:r w:rsidR="008C6139" w:rsidRPr="002E55DE">
        <w:rPr>
          <w:rFonts w:ascii="Times New Roman" w:eastAsiaTheme="minorEastAsia" w:hAnsi="Times New Roman"/>
          <w:bCs/>
          <w:lang w:eastAsia="ko-KR"/>
        </w:rPr>
        <w:t>revealing both unique similarities and differences in correlates of social interactions and walking among older adults</w:t>
      </w:r>
      <w:r w:rsidR="00C42028" w:rsidRPr="002E55DE">
        <w:rPr>
          <w:rFonts w:ascii="Times New Roman" w:eastAsiaTheme="minorEastAsia" w:hAnsi="Times New Roman" w:hint="eastAsia"/>
          <w:bCs/>
          <w:lang w:eastAsia="ko-KR"/>
        </w:rPr>
        <w:t xml:space="preserve"> </w:t>
      </w:r>
      <w:r w:rsidR="00352190"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{"citationID":"dJKxjYIj","properties":{"unsorted":true,"formattedCitation":"(Ory et al., 2016; B. Kim &amp; Hyun, 2018; Zhong et al., 2020)","plainCitation":"(Ory et al., 2016; B. Kim &amp; Hyun, 2018; Zhong et al., 2020)","dontUpdate":true,"noteIndex":0},"citationItems":[{"id":"4nY7bDZH/VSOJnPpx","uris":["http://zotero.org/users/10132210/items/VKEK5L2J"],"itemData":{"id":915,"type":"article-journal","abstract":"Background: Regular physical activity (PA) is a major factor in maintaining health in aging populations. This study examines the influences of sociodemographic, health, and environmental characteristics on older adults’ walking behaviors, and the role physicians can play in promoting physical activity.\nMethods: Online and </w:instrText>
      </w:r>
      <w:r w:rsidR="00A254CC" w:rsidRPr="002E55DE">
        <w:rPr>
          <w:rFonts w:ascii="Times New Roman" w:eastAsiaTheme="minorEastAsia" w:hAnsi="Times New Roman" w:hint="eastAsia"/>
          <w:bCs/>
          <w:lang w:eastAsia="ko-KR"/>
        </w:rPr>
        <w:instrText xml:space="preserve">paper surveys (n = 272) were distributed to community-dwelling older (age </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 xml:space="preserve"> 60) adults from a large integrated healthcare system in two counties in Central Texas. Descriptive statistics were utilized to characterize participant</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 xml:space="preserve">s walking behaviors and places. Multivariate logistic regression was employed to predict being: 1) a frequent walker (i.e., walking at least three times a week); and 2) meeting the Centers for Disease Control and Prevention (CDC) PA recommendation through walking (i.e., walking </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15</w:instrText>
      </w:r>
      <w:r w:rsidR="00A254CC" w:rsidRPr="002E55DE">
        <w:rPr>
          <w:rFonts w:ascii="Times New Roman" w:eastAsiaTheme="minorEastAsia" w:hAnsi="Times New Roman"/>
          <w:bCs/>
          <w:lang w:eastAsia="ko-KR"/>
        </w:rPr>
        <w:instrText>0 min per week), while considering sociodemographic, health, and environmental factors.\nResults: Individuals had a median age of 69 years, were of both genders (50.37 % female), and were primarily nonHispanic White (84.87 %). While the majority (59.55 %)</w:instrText>
      </w:r>
      <w:r w:rsidR="00A254CC" w:rsidRPr="002E55DE">
        <w:rPr>
          <w:rFonts w:ascii="Times New Roman" w:eastAsiaTheme="minorEastAsia" w:hAnsi="Times New Roman" w:hint="eastAsia"/>
          <w:bCs/>
          <w:lang w:eastAsia="ko-KR"/>
        </w:rPr>
        <w:instrText xml:space="preserve"> walked at least three times a week, only 27.86 % walked </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150 min a week. Factors associated with a lower likelihood of being frequent walkers included experiencing poor mental health in the past month (OR = 0.345, 95 % CI = 0.185</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0.645) and residing in a</w:instrText>
      </w:r>
      <w:r w:rsidR="00A254CC" w:rsidRPr="002E55DE">
        <w:rPr>
          <w:rFonts w:ascii="Times New Roman" w:eastAsiaTheme="minorEastAsia" w:hAnsi="Times New Roman"/>
          <w:bCs/>
          <w:lang w:eastAsia="ko-KR"/>
        </w:rPr>
        <w:instrText xml:space="preserve">reas with low or moderate (versus high) perceived neighborhood cohesion (OR = 0.471, 95 % CI = 0.228–0.974), while those in Census Tracts reflecting populations with a lower median age were more likely to report frequent walking behavior (OR = 1.799, 95 % CI = 1.034–3.131). Factors associated with a lower likelihood of meeting the CDC PA recommendation included being 60–69 years (versus 70 years or older) (OR = 0.538, 95 % CI = 0.290–0.997), experiencing poor mental health in the past month (OR = 0.432, 95 % CI = 0. 198–0.944), and lacking social support for walking (OR = 0.383, 95 % CI = 0.154–0.957).\nConclusion: Given the health benefits, PA promotion must be seen as a national responsibility. In particular, physicians have a major role to play in communicating the importance of PA to their older patients and making discussions about strategies for overcoming barriers to walking an integral part of their clinical encounter with these patients.","container-title":"BMC Geriatrics","DOI":"10.1186/s12877-016-0327-x","ISSN":"1471-2318","issue":"1","journalAbbreviation":"BMC Geriatr","language":"en","page":"155","source":"DOI.org (Crossref)","title":"Social and environmental predictors of walking among older adults","volume":"16","author":[{"family":"Ory","given":"Marcia G."},{"family":"Towne","given":"Samuel D."},{"family":"Won","given":"Jaewoong"},{"family":"Forjuoh","given":"Samuel N."},{"family":"Lee","given":"Chanam"}],"issued":{"date-parts":[["2016",12]]}}},{"id":"4nY7bDZH/h7n2smPa","uris":["http://zotero.org/users/10132210/items/94P5KJFP"],"itemData":{"id":2348,"type":"article-journal","abstract":"Objectives: This study investigates investigated the relationship between social and physical environments, and moderate to vigorous physical activity (MVPA) amongst adults in both rural and urban areas within Korea.\nMethods: A sample of 128,735 adults from the 2013 Community Health Survey (CHS) was analyzed using a multilevel logistic analysis.\nResults: Urban residents with higher satisfaction in public transportation satisfaction and rural residents with more access to sports parks, hiking trails, and bike cycle paths were more likely to be active. The MVPA of adults from rural areas correlated urban adults was uncorrelatedwith neighborhood factors, but that of rural adults was whereas no correlations were observed in adults from urban areas.\nConclusion: These differences should be considered when developing interventions strategies to enhance adult physical activity in different communities.","container-title":"Osong Public Health and Research Perspectives","DOI":"10.24171/j.phrp.2018.9.1.04","ISSN":"2210-9099, 2233-6052","issue":"1","journalAbbreviation":"Osong Public Health Res Perspect","language":"en","page":"16-24","source":"DOI.org (Crossref)","title":"Associations between Social and Physical Environments, and Physical Activity in Adults from Urban and Rural Regions","volume":"9","author":[{"family":"Kim","given":"Bongjeong"},{"family":"Hyun","given":"Hye Sun"}],"issued":{"date-parts":[["2018",2,28]]}}},{"id":"4nY7bDZH/OtwUjYy9","uris":["http://zotero.org/users/10132210/items/G6HJHHPR"],"itemData":{"id":2347,"type":"article-journal","abstract":"Background: Intergenerational interactions and walking are two of the most beneﬁcial forms of activities for older adults. As older adults spend most of their time at or near home, the characteristics of the proximate residential environments are particularly important for supporting those activities. This study aims to (1) explore places used for various social interactions older adults engage in, (2) examine speciﬁc neighborhood environmental features associated with intergenerational interactions, and (3) compare similarities and differences in environmental correlates of intergenerational interactions vs. walking.\nMethods: This cross-sectional study analyzed self-reported survey data from 455 community-dwelling adults aged 65+ from Austin, Texas, as well as Geographic Information System (GIS) measures capturing the neighborhood environment around each participant’s home. Descriptive statistics were used for Aim 1. Multivariable binary logistic models were used for Aims 2 and 3, to identify environmental variables predicting the odds of participating in intergenerational interactions (with children 1+ times/week, and with children, teenagers, or adults 1+ times/week) in one’s neighborhood, as well as walking 1+ times/week for transportation or recreation purposes.\nResults: Participants had a mean age of 73 years, and were primarily female (72.1%) and non-Hispanic white (72.8%). Older adults interacted frequently with adults (79.2%, 1+ times/week) and other older adults (66.9%) in their neighborhood, while less frequently with children (28.0%) and teenagers (21.9%). Recreational walking (73.3%, 1+ times/week) was more popular for older adults than transportation walking (43.8%). Multivariable analyses showed that neighborhood perceptions, transportation infrastructure, land uses, land covers, population densities, development activities, and composite scores were signiﬁcant predictors of intergenerational activities. Both similarities and differences were found in terms of the neighborhood environmental factors associated with intergenerational interactions vs. walking although differences were more evident in the domains of land covers, development activities, and composite scores.\nConclusions: Given the signiﬁcant health beneﬁts, promoting intergenerational interactions and walking among older adults should be a national/global responsibility.","container-title":"Frontiers in Public Health","DOI":"10.3389/fpubh.2020.587363","ISSN":"2296-2565","journalAbbreviation":"Front. Public Health","language":"en","page":"587363","source":"DOI.org (Crossref)","title":"Community Environments That Promote Intergenerational Interactions vs. Walking Among Older Adults","volume":"8","author":[{"family":"Zhong","given":"Sinan"},{"family":"Lee","given":"Chanam"},{"family":"Lee","given":"Hanwool"}],"issued":{"date-parts":[["2020",12,3]]}}}],"schema":"https://github.com/citation-style-language/schema/raw/master/csl-citation.json"} </w:instrText>
      </w:r>
      <w:r w:rsidR="00352190" w:rsidRPr="002E55DE">
        <w:rPr>
          <w:rFonts w:ascii="Times New Roman" w:eastAsiaTheme="minorEastAsia" w:hAnsi="Times New Roman"/>
          <w:bCs/>
          <w:lang w:eastAsia="ko-KR"/>
        </w:rPr>
        <w:fldChar w:fldCharType="separate"/>
      </w:r>
      <w:r w:rsidR="00087051" w:rsidRPr="002E55DE">
        <w:rPr>
          <w:rFonts w:ascii="Times New Roman" w:hAnsi="Times New Roman"/>
        </w:rPr>
        <w:t>(Ory et al., 2016</w:t>
      </w:r>
      <w:r w:rsidR="00BC0DD5" w:rsidRPr="002E55DE">
        <w:rPr>
          <w:rFonts w:ascii="Times New Roman" w:eastAsiaTheme="minorEastAsia" w:hAnsi="Times New Roman" w:hint="eastAsia"/>
          <w:lang w:eastAsia="ko-KR"/>
        </w:rPr>
        <w:t>,</w:t>
      </w:r>
      <w:r w:rsidR="00087051" w:rsidRPr="002E55DE">
        <w:rPr>
          <w:rFonts w:ascii="Times New Roman" w:hAnsi="Times New Roman"/>
        </w:rPr>
        <w:t xml:space="preserve"> Kim </w:t>
      </w:r>
      <w:r w:rsidR="00BC0DD5" w:rsidRPr="002E55DE">
        <w:rPr>
          <w:rFonts w:ascii="Times New Roman" w:eastAsiaTheme="minorEastAsia" w:hAnsi="Times New Roman" w:hint="eastAsia"/>
          <w:lang w:eastAsia="ko-KR"/>
        </w:rPr>
        <w:t>and</w:t>
      </w:r>
      <w:r w:rsidR="00087051" w:rsidRPr="002E55DE">
        <w:rPr>
          <w:rFonts w:ascii="Times New Roman" w:hAnsi="Times New Roman"/>
        </w:rPr>
        <w:t xml:space="preserve"> Hyun, 2018</w:t>
      </w:r>
      <w:r w:rsidR="00BC0DD5" w:rsidRPr="002E55DE">
        <w:rPr>
          <w:rFonts w:ascii="Times New Roman" w:eastAsiaTheme="minorEastAsia" w:hAnsi="Times New Roman" w:hint="eastAsia"/>
          <w:lang w:eastAsia="ko-KR"/>
        </w:rPr>
        <w:t>, and</w:t>
      </w:r>
      <w:r w:rsidR="00087051" w:rsidRPr="002E55DE">
        <w:rPr>
          <w:rFonts w:ascii="Times New Roman" w:hAnsi="Times New Roman"/>
        </w:rPr>
        <w:t xml:space="preserve"> Zhong et al., 2020)</w:t>
      </w:r>
      <w:r w:rsidR="00352190" w:rsidRPr="002E55DE">
        <w:rPr>
          <w:rFonts w:ascii="Times New Roman" w:eastAsiaTheme="minorEastAsia" w:hAnsi="Times New Roman"/>
          <w:bCs/>
          <w:lang w:eastAsia="ko-KR"/>
        </w:rPr>
        <w:fldChar w:fldCharType="end"/>
      </w:r>
      <w:r w:rsidR="00943807" w:rsidRPr="002E55DE">
        <w:rPr>
          <w:rFonts w:ascii="Times New Roman" w:eastAsiaTheme="minorEastAsia" w:hAnsi="Times New Roman"/>
          <w:bCs/>
          <w:lang w:eastAsia="ko-KR"/>
        </w:rPr>
        <w:t>.</w:t>
      </w:r>
      <w:r w:rsidR="003E5ABA" w:rsidRPr="002E55DE">
        <w:rPr>
          <w:rFonts w:ascii="Times New Roman" w:eastAsiaTheme="minorEastAsia" w:hAnsi="Times New Roman" w:hint="eastAsia"/>
          <w:bCs/>
          <w:lang w:eastAsia="ko-KR"/>
        </w:rPr>
        <w:t xml:space="preserve"> </w:t>
      </w:r>
      <w:r w:rsidR="00AD5BD2" w:rsidRPr="002E55DE">
        <w:rPr>
          <w:rFonts w:ascii="Times New Roman" w:eastAsiaTheme="minorEastAsia" w:hAnsi="Times New Roman"/>
          <w:bCs/>
          <w:lang w:eastAsia="ko-KR"/>
        </w:rPr>
        <w:t xml:space="preserve">Based on evidence regarding the correlation between </w:t>
      </w:r>
      <w:r w:rsidR="00817B9C" w:rsidRPr="002E55DE">
        <w:rPr>
          <w:rFonts w:ascii="Times New Roman" w:eastAsiaTheme="minorEastAsia" w:hAnsi="Times New Roman"/>
          <w:bCs/>
          <w:lang w:eastAsia="ko-KR"/>
        </w:rPr>
        <w:t xml:space="preserve">tendency to </w:t>
      </w:r>
      <w:r w:rsidR="00AD5BD2" w:rsidRPr="002E55DE">
        <w:rPr>
          <w:rFonts w:ascii="Times New Roman" w:eastAsiaTheme="minorEastAsia" w:hAnsi="Times New Roman"/>
          <w:bCs/>
          <w:lang w:eastAsia="ko-KR"/>
        </w:rPr>
        <w:t>walking with others and community connectivity</w:t>
      </w:r>
      <w:r w:rsidR="00AD5BD2" w:rsidRPr="002E55DE">
        <w:rPr>
          <w:rFonts w:ascii="Times New Roman" w:eastAsiaTheme="minorEastAsia" w:hAnsi="Times New Roman" w:hint="eastAsia"/>
          <w:bCs/>
          <w:lang w:eastAsia="ko-KR"/>
        </w:rPr>
        <w:t xml:space="preserve"> </w:t>
      </w:r>
      <w:r w:rsidR="00AC7551"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{"citationID":"0QQpVEwT","properties":{"unsorted":true,"formattedCitation":"(Wood et al., 2010; Walters et al., 2022; Glover et al., 2023)","plainCitation":"(Wood et al., 2010; Walters et al., 2022; Glover et al., 2023)","dontUpdate":true,"noteIndex":0},"citationItems":[{"id":"4nY7bDZH/FTdSa4Yt","uris":["http://zotero.org/users/10132210/items/KZ7DXNFB"],"itemData":{"id":2366,"type":"article-journal","abstract":"The aim of this study is to examine the association between sense of community, walking, and neighborhood design characteristics. The current study is based on a sub-sample of participants (n ¼ 609) from the US Atlanta SMARTRAQ study who completed a telephone survey capturing physical activity patterns, neighborhood perceptions, and social interactions. Objective measures of neighborhood form were also computed. Univariate and multivariate models (General Linear Models (GLM)) were used to examine the association between sense of community (SofC) and aspects of the built environment, physical activity, and neighborhood perceptions. In multivariate models the impact on SofC was examined with progressive adjustment for demographics characteristics followed by walking behavior, neighborhood design features, neighborhood perceptions and time spent traveling in a car.","container-title":"Social Science &amp; Medicine","DOI":"10.1016/j.socscimed.2010.01.021","ISSN":"02779536","issue":"9","journalAbbreviation":"Social Science &amp; Medicine","language":"en","license":"https://www.elsevier.com/tdm/userlicense/1.0/","page":"1381-1390","source":"DOI.org (Crossref)","title":"Sense of community and its relationship with walking and neighborhood design","volume":"70","author":[{"family":"Wood","given":"Lisa"},{"family":"Frank","given":"Lawrence D."},{"family":"Giles-Corti","given":"Billie"}],"issued":{"date-parts":[["2010",5]]}}},{"id":"4nY7bDZH/8BtgKGHY","uris":["http://zotero.org/users/10132210/items/RSIQ2TE3"],"itemData":{"id":2362,"type":"article-journal","abstract":"Social connection is vital for older adults’ physical and psychological well-being, yet nearly one third of them report feeling lonely. The purpose of this study was to evaluate the inﬂuence of a monthly walking program (walking once a month for 8 months) on older adults’ community connection. Older adults (Mage = 78.06 ± 5.98 years) completed a focus group at the completion of the program (n = 15). Qualitative ﬁndings indicate that participation in the walking program led to enhanced social connection. Researchers developed six major themes: (1) frequent and engaging walking programs, (2) beneﬁts of group activity, (3) enhanced social connections, (4) connection to the community, (5) knowledge about transit, and (6) personal well-being, and 10 subthemes. Implications from this study highlight the importance of designing a walking program with older adults’ needs and desires in mind.","container-title":"Journal of Aging and Physical Activity","DOI":"10.1123/japa.2020-0257","ISSN":"1063-8652, 1543-267X","issue":"1","language":"en","page":"44-53","source":"DOI.org (Crossref)","title":"An Intentionally Designed Walking Program for Seniors Results in Enhanced Community Connection","volume":"30","author":[{"family":"Walters","given":"Kellie"},{"family":"Marshall","given":"Mary"},{"family":"Wilkinson","given":"Alexandra Nicole"},{"family":"Natividad","given":"Michael Duxx"}],"issued":{"date-parts":[["2022",2,1]]}}},{"id":"4nY7bDZH/W7wyWA6W","uris":["http://zotero.org/users/10132210/items/NK82437X"],"itemData":{"id":878,"type":"article-journal","abstract":"Social connectedness among neighbours impacts health and well‐being, especially during stressful life events like a pandemic. An activity such as neighbourhood walking enables urban inhabitants to engage in incidental sociability and acts of “neighbouring”—that is, authentic social interactions with neighbours—to potentially bolster the social fabric of neighbourhoods and strengthen relationships. With the potential of neighbourhood walking in mind, this article investigates how everyday encounters while engaged in routine neighbourhood walks strengthen and/or weaken social ties among neighbours. To this end, the article draws on three sources of qualitative data from neighbourhood walkers in Southwestern Ontario, Canada: (a) “walking diaries” in which participants took note of their walking routes, the people they observed on their walks, and other details of their walking experiences; (b) maps of their neighbourhoods that outlined the boundaries of their self‐identified neighbourhoods, their routine walking routes, and the people they recognized during their neighbourhood walks; and (c) one‐on‐one interviews during which participants provided crucial context and meaning to the maps and their walking experiences. The findings provide evidence of how interactions among inhabitants, while engaged in neighbourhood walking, help generate greater social connectedness.","container-title":"Urban Planning","DOI":"10.17645/up.v8i4.6424","ISSN":"2183-7635","issue":"4","journalAbbreviation":"UP","language":"en","note":"number: 4","source":"DOI.org (Crossref)","title":"Strengthening Social Ties While Walking the Neighbourhood?","URL":"https://www.cogitatiopress.com/urbanplanning/article/view/6424","volume":"8","author":[{"family":"Glover","given":"Troy D."},{"family":"Moyer","given":"Luke"},{"family":"Todd","given":"Joe"},{"family":"Graham","given":"Taryn"}],"accessed":{"date-parts":[["2023",7,12]]},"issued":{"date-parts":[["2023",6,1]]}}}],"schema":"https://github.com/citation-style-language/schema/raw/master/csl-citation.json"} </w:instrText>
      </w:r>
      <w:r w:rsidR="00AC7551" w:rsidRPr="002E55DE">
        <w:rPr>
          <w:rFonts w:ascii="Times New Roman" w:eastAsiaTheme="minorEastAsia" w:hAnsi="Times New Roman"/>
          <w:bCs/>
          <w:lang w:eastAsia="ko-KR"/>
        </w:rPr>
        <w:fldChar w:fldCharType="separate"/>
      </w:r>
      <w:r w:rsidR="0019731A" w:rsidRPr="002E55DE">
        <w:rPr>
          <w:rFonts w:ascii="Times New Roman" w:hAnsi="Times New Roman"/>
        </w:rPr>
        <w:t>(Wood et al., 2010, Walters et al., 2022, and Glover et al., 2023)</w:t>
      </w:r>
      <w:r w:rsidR="00AC7551" w:rsidRPr="002E55DE">
        <w:rPr>
          <w:rFonts w:ascii="Times New Roman" w:eastAsiaTheme="minorEastAsia" w:hAnsi="Times New Roman"/>
          <w:bCs/>
          <w:lang w:eastAsia="ko-KR"/>
        </w:rPr>
        <w:fldChar w:fldCharType="end"/>
      </w:r>
      <w:r w:rsidR="00AD5BD2" w:rsidRPr="002E55DE">
        <w:rPr>
          <w:rFonts w:ascii="Times New Roman" w:eastAsiaTheme="minorEastAsia" w:hAnsi="Times New Roman"/>
          <w:bCs/>
          <w:lang w:eastAsia="ko-KR"/>
        </w:rPr>
        <w:t xml:space="preserve">, walking companionship can serve as a measurable proxy for the impact of social interaction on walking frequency </w:t>
      </w:r>
      <w:r w:rsidR="00537EAD" w:rsidRPr="002E55DE">
        <w:rPr>
          <w:rFonts w:ascii="Times New Roman" w:eastAsiaTheme="minorEastAsia" w:hAnsi="Times New Roman"/>
          <w:bCs/>
          <w:lang w:eastAsia="ko-KR"/>
        </w:rPr>
        <w:t>or</w:t>
      </w:r>
      <w:r w:rsidR="00AD5BD2" w:rsidRPr="002E55DE">
        <w:rPr>
          <w:rFonts w:ascii="Times New Roman" w:eastAsiaTheme="minorEastAsia" w:hAnsi="Times New Roman"/>
          <w:bCs/>
          <w:lang w:eastAsia="ko-KR"/>
        </w:rPr>
        <w:t xml:space="preserve"> duration</w:t>
      </w:r>
      <w:r w:rsidR="00AD5BD2" w:rsidRPr="002E55DE">
        <w:rPr>
          <w:rFonts w:ascii="Times New Roman" w:eastAsiaTheme="minorEastAsia" w:hAnsi="Times New Roman" w:hint="eastAsia"/>
          <w:bCs/>
          <w:lang w:eastAsia="ko-KR"/>
        </w:rPr>
        <w:t xml:space="preserve"> </w:t>
      </w:r>
      <w:r w:rsidR="004A0A42"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{"citationID":"AMcoyBYQ","properties":{"formattedCitation":"(Ory et al., 2016)","plainCitation":"(Ory et al., 2016)","dontUpdate":true,"noteIndex":0},"citationItems":[{"id":"4nY7bDZH/VSOJnPpx","uris":["http://zotero.org/users/10132210/items/VKEK5L2J"],"itemData":{"id":915,"type":"article-journal","abstract":"Background: Regular physical activity (PA) is a major factor in maintaining health in aging populations. This study examines the influences of sociodemographic, health,</w:instrText>
      </w:r>
      <w:r w:rsidR="00A254CC" w:rsidRPr="002E55DE">
        <w:rPr>
          <w:rFonts w:ascii="Times New Roman" w:eastAsiaTheme="minorEastAsia" w:hAnsi="Times New Roman" w:hint="eastAsia"/>
          <w:bCs/>
          <w:lang w:eastAsia="ko-KR"/>
        </w:rPr>
        <w:instrText xml:space="preserve"> and environmental characteristics on older adults</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 xml:space="preserve"> walking behaviors, and the role physicians can play in promoting physical activity.\nMethods: Online and paper surveys (n = 272) were distributed to community-dwelling older (age </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 xml:space="preserve"> 60) adults from a larg</w:instrText>
      </w:r>
      <w:r w:rsidR="00A254CC" w:rsidRPr="002E55DE">
        <w:rPr>
          <w:rFonts w:ascii="Times New Roman" w:eastAsiaTheme="minorEastAsia" w:hAnsi="Times New Roman"/>
          <w:bCs/>
          <w:lang w:eastAsia="ko-KR"/>
        </w:rPr>
        <w:instrText>e integrated healthcare system in two counties in Central Texas. Descriptive statistics were utilized to characterize participant’s walking behaviors and places. Multivariate logistic regression was employed to predict being: 1) a frequent walker (i.e., w</w:instrText>
      </w:r>
      <w:r w:rsidR="00A254CC" w:rsidRPr="002E55DE">
        <w:rPr>
          <w:rFonts w:ascii="Times New Roman" w:eastAsiaTheme="minorEastAsia" w:hAnsi="Times New Roman" w:hint="eastAsia"/>
          <w:bCs/>
          <w:lang w:eastAsia="ko-KR"/>
        </w:rPr>
        <w:instrText xml:space="preserve">alking at least three times a week); and 2) meeting the Centers for Disease Control and Prevention (CDC) PA recommendation through walking (i.e., walking </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 xml:space="preserve">150 min per week), while considering sociodemographic, health, and environmental factors.\nResults: Individuals had a median age of 69 years, were of both genders (50.37 % female), and were primarily nonHispanic White (84.87 %). While the majority (59.55 %) walked at least three times a week, only 27.86 % walked </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 xml:space="preserve">150 min a week. Factors associated with </w:instrText>
      </w:r>
      <w:r w:rsidR="00A254CC" w:rsidRPr="002E55DE">
        <w:rPr>
          <w:rFonts w:ascii="Times New Roman" w:eastAsiaTheme="minorEastAsia" w:hAnsi="Times New Roman"/>
          <w:bCs/>
          <w:lang w:eastAsia="ko-KR"/>
        </w:rPr>
        <w:instrText xml:space="preserve">a lower likelihood of being frequent walkers included experiencing poor mental health in the past month (OR = 0.345, 95 % CI = 0.185–0.645) and residing in areas with low or moderate (versus high) perceived neighborhood cohesion (OR = 0.471, 95 % CI = 0.228–0.974), while those in Census Tracts reflecting populations with a lower median age were more likely to report frequent walking behavior (OR = 1.799, 95 % CI = 1.034–3.131). Factors associated with a lower likelihood of meeting the CDC PA recommendation included being 60–69 years (versus 70 years or older) (OR = 0.538, 95 % CI = 0.290–0.997), experiencing poor mental health in the past month (OR = 0.432, 95 % CI = 0. 198–0.944), and lacking social support for walking (OR = 0.383, 95 % CI = 0.154–0.957).\nConclusion: Given the health benefits, PA promotion must be seen as a national responsibility. In particular, physicians have a major role to play in communicating the importance of PA to their older patients and making discussions about strategies for overcoming barriers to walking an integral part of their clinical encounter with these patients.","container-title":"BMC Geriatrics","DOI":"10.1186/s12877-016-0327-x","ISSN":"1471-2318","issue":"1","journalAbbreviation":"BMC Geriatr","language":"en","page":"155","source":"DOI.org (Crossref)","title":"Social and environmental predictors of walking among older adults","volume":"16","author":[{"family":"Ory","given":"Marcia G."},{"family":"Towne","given":"Samuel D."},{"family":"Won","given":"Jaewoong"},{"family":"Forjuoh","given":"Samuel N."},{"family":"Lee","given":"Chanam"}],"issued":{"date-parts":[["2016",12]]}}}],"schema":"https://github.com/citation-style-language/schema/raw/master/csl-citation.json"} </w:instrText>
      </w:r>
      <w:r w:rsidR="004A0A42" w:rsidRPr="002E55DE">
        <w:rPr>
          <w:rFonts w:ascii="Times New Roman" w:eastAsiaTheme="minorEastAsia" w:hAnsi="Times New Roman"/>
          <w:bCs/>
          <w:lang w:eastAsia="ko-KR"/>
        </w:rPr>
        <w:fldChar w:fldCharType="separate"/>
      </w:r>
      <w:r w:rsidR="00152E9A" w:rsidRPr="002E55DE">
        <w:rPr>
          <w:rFonts w:ascii="Times New Roman" w:hAnsi="Times New Roman"/>
        </w:rPr>
        <w:t>(see Ory et al., 2016 as an example)</w:t>
      </w:r>
      <w:r w:rsidR="004A0A42" w:rsidRPr="002E55DE">
        <w:rPr>
          <w:rFonts w:ascii="Times New Roman" w:eastAsiaTheme="minorEastAsia" w:hAnsi="Times New Roman"/>
          <w:bCs/>
          <w:lang w:eastAsia="ko-KR"/>
        </w:rPr>
        <w:fldChar w:fldCharType="end"/>
      </w:r>
      <w:r w:rsidR="00AD5BD2" w:rsidRPr="002E55DE">
        <w:rPr>
          <w:rFonts w:ascii="Times New Roman" w:eastAsiaTheme="minorEastAsia" w:hAnsi="Times New Roman"/>
          <w:bCs/>
          <w:lang w:eastAsia="ko-KR"/>
        </w:rPr>
        <w:t>.</w:t>
      </w:r>
      <w:r w:rsidR="004D251C" w:rsidRPr="002E55DE">
        <w:rPr>
          <w:rFonts w:ascii="Times New Roman" w:eastAsiaTheme="minorEastAsia" w:hAnsi="Times New Roman"/>
          <w:bCs/>
          <w:lang w:eastAsia="ko-KR"/>
        </w:rPr>
        <w:t xml:space="preserve"> However,</w:t>
      </w:r>
      <w:r w:rsidR="00CC0055" w:rsidRPr="002E55DE">
        <w:rPr>
          <w:rFonts w:ascii="Times New Roman" w:eastAsiaTheme="minorEastAsia" w:hAnsi="Times New Roman"/>
          <w:bCs/>
          <w:lang w:eastAsia="ko-KR"/>
        </w:rPr>
        <w:t xml:space="preserve"> </w:t>
      </w:r>
      <w:r w:rsidR="00623D65" w:rsidRPr="002E55DE">
        <w:rPr>
          <w:rFonts w:ascii="Times New Roman" w:eastAsiaTheme="minorEastAsia" w:hAnsi="Times New Roman"/>
          <w:bCs/>
          <w:lang w:eastAsia="ko-KR"/>
        </w:rPr>
        <w:t>t</w:t>
      </w:r>
      <w:r w:rsidR="00CC0055" w:rsidRPr="002E55DE">
        <w:rPr>
          <w:rFonts w:ascii="Times New Roman" w:eastAsiaTheme="minorEastAsia" w:hAnsi="Times New Roman"/>
          <w:bCs/>
          <w:lang w:eastAsia="ko-KR"/>
        </w:rPr>
        <w:t xml:space="preserve">he existing literature on walking behavior reveals a significant gap regarding the measurable effects of social companionship on </w:t>
      </w:r>
      <w:r w:rsidR="00623D65" w:rsidRPr="002E55DE">
        <w:rPr>
          <w:rFonts w:ascii="Times New Roman" w:eastAsiaTheme="minorEastAsia" w:hAnsi="Times New Roman"/>
          <w:bCs/>
          <w:lang w:eastAsia="ko-KR"/>
        </w:rPr>
        <w:t xml:space="preserve">other </w:t>
      </w:r>
      <w:r w:rsidR="00CC0055" w:rsidRPr="002E55DE">
        <w:rPr>
          <w:rFonts w:ascii="Times New Roman" w:eastAsiaTheme="minorEastAsia" w:hAnsi="Times New Roman"/>
          <w:bCs/>
          <w:lang w:eastAsia="ko-KR"/>
        </w:rPr>
        <w:t>walking dimensions. Few studies have addressed how social companionship influences other aspects of walking behavior, and to our knowledge, no previous research has systematically examined how sociodemographic factors affect the choice to walk with others versus alone.</w:t>
      </w:r>
      <w:r w:rsidR="00AD5BD2" w:rsidRPr="002E55DE">
        <w:rPr>
          <w:rFonts w:ascii="Times New Roman" w:eastAsiaTheme="minorEastAsia" w:hAnsi="Times New Roman" w:hint="eastAsia"/>
          <w:bCs/>
          <w:lang w:eastAsia="ko-KR"/>
        </w:rPr>
        <w:t xml:space="preserve"> </w:t>
      </w:r>
      <w:bookmarkEnd w:id="13"/>
      <w:r w:rsidR="00873780" w:rsidRPr="002E55DE">
        <w:rPr>
          <w:rFonts w:ascii="Times New Roman" w:eastAsiaTheme="minorEastAsia" w:hAnsi="Times New Roman"/>
          <w:bCs/>
          <w:lang w:eastAsia="ko-KR"/>
        </w:rPr>
        <w:t>Consequently</w:t>
      </w:r>
      <w:r w:rsidR="00BF4EDE" w:rsidRPr="002E55DE">
        <w:rPr>
          <w:rFonts w:ascii="Times New Roman" w:eastAsiaTheme="minorEastAsia" w:hAnsi="Times New Roman" w:hint="eastAsia"/>
          <w:bCs/>
          <w:lang w:eastAsia="ko-KR"/>
        </w:rPr>
        <w:t>, a</w:t>
      </w:r>
      <w:r w:rsidR="00BF4EDE" w:rsidRPr="002E55DE">
        <w:rPr>
          <w:rFonts w:ascii="Times New Roman" w:hAnsi="Times New Roman"/>
          <w:bCs/>
        </w:rPr>
        <w:t xml:space="preserve"> comprehensive understanding of walking habits</w:t>
      </w:r>
      <w:r w:rsidR="00BF4EDE" w:rsidRPr="002E55DE">
        <w:rPr>
          <w:rFonts w:ascii="Times New Roman" w:eastAsiaTheme="minorEastAsia" w:hAnsi="Times New Roman" w:hint="eastAsia"/>
          <w:bCs/>
          <w:lang w:eastAsia="ko-KR"/>
        </w:rPr>
        <w:t xml:space="preserve">, </w:t>
      </w:r>
      <w:r w:rsidR="00CC50D9" w:rsidRPr="002E55DE">
        <w:rPr>
          <w:rFonts w:ascii="Times New Roman" w:eastAsiaTheme="minorEastAsia" w:hAnsi="Times New Roman"/>
          <w:bCs/>
          <w:lang w:eastAsia="ko-KR"/>
        </w:rPr>
        <w:t>especially</w:t>
      </w:r>
      <w:r w:rsidR="00083BB9" w:rsidRPr="002E55DE">
        <w:rPr>
          <w:rFonts w:ascii="Times New Roman" w:eastAsiaTheme="minorEastAsia" w:hAnsi="Times New Roman"/>
          <w:bCs/>
          <w:lang w:eastAsia="ko-KR"/>
        </w:rPr>
        <w:t xml:space="preserve"> the interplay among the three dimensions of </w:t>
      </w:r>
      <w:r w:rsidR="00BF4EDE" w:rsidRPr="002E55DE">
        <w:rPr>
          <w:rFonts w:ascii="Times New Roman" w:hAnsi="Times New Roman"/>
          <w:bCs/>
        </w:rPr>
        <w:t>frequency, duration, and companionship</w:t>
      </w:r>
      <w:r w:rsidR="00BF4EDE" w:rsidRPr="002E55DE">
        <w:rPr>
          <w:rFonts w:ascii="Times New Roman" w:eastAsiaTheme="minorEastAsia" w:hAnsi="Times New Roman" w:hint="eastAsia"/>
          <w:bCs/>
          <w:lang w:eastAsia="ko-KR"/>
        </w:rPr>
        <w:t xml:space="preserve">, </w:t>
      </w:r>
      <w:r w:rsidR="00C31ADF" w:rsidRPr="002E55DE">
        <w:rPr>
          <w:rFonts w:ascii="Times New Roman" w:hAnsi="Times New Roman"/>
          <w:bCs/>
        </w:rPr>
        <w:t>would be</w:t>
      </w:r>
      <w:r w:rsidR="00BF4EDE" w:rsidRPr="002E55DE">
        <w:rPr>
          <w:rFonts w:ascii="Times New Roman" w:hAnsi="Times New Roman"/>
          <w:bCs/>
        </w:rPr>
        <w:t xml:space="preserve"> </w:t>
      </w:r>
      <w:r w:rsidR="00083BB9" w:rsidRPr="002E55DE">
        <w:rPr>
          <w:rFonts w:ascii="Times New Roman" w:hAnsi="Times New Roman"/>
          <w:bCs/>
        </w:rPr>
        <w:t>beneficial</w:t>
      </w:r>
      <w:r w:rsidR="00873780" w:rsidRPr="002E55DE">
        <w:rPr>
          <w:rFonts w:ascii="Times New Roman" w:hAnsi="Times New Roman"/>
          <w:bCs/>
        </w:rPr>
        <w:t>,</w:t>
      </w:r>
      <w:r w:rsidR="00083BB9" w:rsidRPr="002E55DE">
        <w:rPr>
          <w:rFonts w:ascii="Times New Roman" w:hAnsi="Times New Roman"/>
          <w:bCs/>
        </w:rPr>
        <w:t xml:space="preserve"> </w:t>
      </w:r>
      <w:r w:rsidR="00CC50D9" w:rsidRPr="002E55DE">
        <w:rPr>
          <w:rFonts w:ascii="Times New Roman" w:hAnsi="Times New Roman"/>
          <w:bCs/>
        </w:rPr>
        <w:t xml:space="preserve">particularly </w:t>
      </w:r>
      <w:r w:rsidR="00BF4EDE" w:rsidRPr="002E55DE">
        <w:rPr>
          <w:rFonts w:ascii="Times New Roman" w:hAnsi="Times New Roman"/>
          <w:bCs/>
        </w:rPr>
        <w:t>in the wake of the COVID-19 pandemic</w:t>
      </w:r>
      <w:r w:rsidR="00873780" w:rsidRPr="002E55DE">
        <w:rPr>
          <w:rFonts w:ascii="Times New Roman" w:hAnsi="Times New Roman"/>
          <w:bCs/>
        </w:rPr>
        <w:t xml:space="preserve"> that </w:t>
      </w:r>
      <w:r w:rsidR="00BF4EDE" w:rsidRPr="002E55DE">
        <w:rPr>
          <w:rFonts w:ascii="Times New Roman" w:hAnsi="Times New Roman"/>
          <w:bCs/>
        </w:rPr>
        <w:t xml:space="preserve">has brought about significant </w:t>
      </w:r>
      <w:r w:rsidR="00CC50D9" w:rsidRPr="002E55DE">
        <w:rPr>
          <w:rFonts w:ascii="Times New Roman" w:hAnsi="Times New Roman"/>
          <w:bCs/>
        </w:rPr>
        <w:t xml:space="preserve">declines </w:t>
      </w:r>
      <w:r w:rsidR="00BF4EDE" w:rsidRPr="002E55DE">
        <w:rPr>
          <w:rFonts w:ascii="Times New Roman" w:hAnsi="Times New Roman"/>
          <w:bCs/>
        </w:rPr>
        <w:t xml:space="preserve">in walking </w:t>
      </w:r>
      <w:r w:rsidR="00873780" w:rsidRPr="002E55DE">
        <w:rPr>
          <w:rFonts w:ascii="Times New Roman" w:hAnsi="Times New Roman"/>
          <w:bCs/>
        </w:rPr>
        <w:t>among</w:t>
      </w:r>
      <w:r w:rsidR="00CC50D9" w:rsidRPr="002E55DE">
        <w:rPr>
          <w:rFonts w:ascii="Times New Roman" w:hAnsi="Times New Roman"/>
          <w:bCs/>
        </w:rPr>
        <w:t xml:space="preserve"> </w:t>
      </w:r>
      <w:r w:rsidR="00BF4EDE" w:rsidRPr="002E55DE">
        <w:rPr>
          <w:rFonts w:ascii="Times New Roman" w:hAnsi="Times New Roman"/>
          <w:bCs/>
        </w:rPr>
        <w:t>older adults</w:t>
      </w:r>
      <w:r w:rsidR="002E4A99" w:rsidRPr="002E55DE">
        <w:rPr>
          <w:rFonts w:ascii="Times New Roman" w:eastAsiaTheme="minorEastAsia" w:hAnsi="Times New Roman" w:hint="eastAsia"/>
          <w:bCs/>
          <w:lang w:eastAsia="ko-KR"/>
        </w:rPr>
        <w:t xml:space="preserve"> </w:t>
      </w:r>
      <w:bookmarkStart w:id="14" w:name="_Hlk169960006"/>
      <w:r w:rsidR="002E4A99" w:rsidRPr="002E55DE">
        <w:rPr>
          <w:rFonts w:ascii="Times New Roman" w:eastAsiaTheme="minorEastAsia" w:hAnsi="Times New Roman"/>
          <w:bCs/>
          <w:lang w:eastAsia="ko-KR"/>
        </w:rPr>
        <w:fldChar w:fldCharType="begin"/>
      </w:r>
      <w:r w:rsidR="00A254CC" w:rsidRPr="002E55DE">
        <w:rPr>
          <w:rFonts w:ascii="Times New Roman" w:eastAsiaTheme="minorEastAsia" w:hAnsi="Times New Roman"/>
          <w:bCs/>
          <w:lang w:eastAsia="ko-KR"/>
        </w:rPr>
        <w:instrText xml:space="preserve"> ADDIN ZOTERO_ITEM CSL_CITATION {"citationID":"gurJSIXT","properties":{"formattedCitation":"(Beauchamp et al., 2022; Felipe et al., 2023; Hwang et al., 2023)","plainCitation":"(Beauchamp et al., 2022; Felipe et al., 2023; Hwang et al., 2023)","dontUpdate":true,"noteIndex":0},"citationItems":[{"id":"4nY7bDZH/AdGbsUBM","uris":["http://zotero.org/users/10132210/items/EH5E2KUP"],"itemData":{"id":970,"type":"article-journal","abstract":"OBJECTIVE To evaluate the association between a COVID-19 diagnosis and change in mobility and physical function of adults in Canada aged 50 years or older during the initial pandemic lockdown. DESIGN, SETTING, AND PARTICIPANTS This population-based cohort study used data from the Canadian Longitudinal Study on Aging (CLSA) COVID-19 study. This study was launched on April 15, 2020, and the exit questionnaires were completed between September and December 2020. Prepandemic data from the first CLSA follow-up (2015-2018) were also used. Respondents included middle-aged and older community-dwelling participants residing in Canadian provinces. Data were analyzed from February to May 2021. EXPOSURES The assessment for self-reported COVID-19 status was adapted from the Public Health Agency of Canada and the Centers for Disease Control and Prevention case definition available at the time of data collection; cases were classified as confirmed or probable, suspected, or non–COVID-19. MAIN OUTCOMES AND MEASURES Changes in mobility since the start of the COVID-19 pandemic were assessed using global rating of change in mobility scales at the COVID-19 exit questionnaire. Participant-reported new onset of difficulty in 3 physical function tasks was also examined.\nRESULTS Among 51 338 participants at baseline, 21 491 participants (41.9%) were 65 years or older and 26 155 participants (51.0%) were women and 25 183 (49.1%) were men. Of 24 114 participants who completed the COVID-19 exit questionnaire, 2748 individuals had confirmed, probable or suspected COVID-19. Of 121 individuals with confirmed or probable COVID-19, 113 (93.3%) were not hospitalized. Individuals with confirmed or probable COVID-19 had higher odds of worsening mobility in terms of ability to engage in household activity (odds ratio [OR], 1.89; 95% CI, 1.11-3.22), physical activity (OR, 1.91; 95% CI, 1.32-2.76), and standing up after sitting in a chair (OR, 2.33; 95% CI, 1.06-5.11) compared with adults without COVID-19 during the same pandemic time period. Similar results were found for suspected COVID-19 status (eg, household activity: OR, 2.09; 95% CI, 1.822.41).\nCONCLUSIONS AND RELEVANCE This cohort study among older adults in Canada found that receiving a COVID-19 diagnosis was significantly associated with worse mobility and functioning outcomes even in the absence of hospitalization. These findings suggest that interventions may be needed for individuals with mild to moderate COVID-19 who do not require hospitalization.","container-title":"JAMA Network Open","DOI":"10.1001/jamanetworkopen.2021.46168","ISSN":"2574-3805","issue":"1","journalAbbreviation":"JAMA Netw Open","language":"en","page":"e2146168","source":"DOI.org (Crossref)","title":"Assessment of Functional Mobility After COVID-19 in Adults Aged 50 Years or Older in the Canadian Longitudinal Study on Aging","volume":"5","author":[{"family":"Beauchamp","given":"Marla K."},{"family":"Joshi","given":"Divya"},{"family":"McMillan","given":"Jacqueline"},{"family":"Erbas Oz","given":"Urun"},{"family":"Griffith","given":"Lauren E."},{"family":"Basta","given":"Nicole E."},{"family":"Kirkland","given":"Susan"},{"family":"Wolfson","given":"Christina"},{"family":"Raina","given":"Parminder"},{"literal":"Canadian Longitudinal Study on Aging (CLSA) Team"},{"family":"Costa","given":"Andrew"},{"family":"Anderson","given":"Laura"},{"family":"Balion","given":"Cynthia"},{"family":"Yukiko","given":"Asada"},{"family":"Cossette","given":"Benoȋt"},{"family":"Levasseur","given":"Melanie"},{"family":"Hofer","given":"Scott"},{"family":"Paterson","given":"Theone"},{"family":"Hogan","given":"David"},{"family":"Liu-Ambrose","given":"Teresa"},{"family":"Menec","given":"Verena"},{"family":"St. John","given":"Philip"},{"family":"Mugford","given":"Gerald"},{"family":"Gao","given":"Zhiwei"},{"family":"Taler","given":"Vanessa"},{"family":"Davidson","given":"Patrick"},{"family":"Wister","given":"Andrew"},{"family":"Cosco","given":"Theodore"}],"issued":{"date-parts":[["2022",1,12]]}}},{"id":"4nY7bDZH/m4yZOqhe","uris":["http://zotero.org/users/10132210/items/Q7NCIGTA"],"itemData":{"id":966,"type":"article-journal","abstract":"Background: Measures for physical contact restriction were implemented to prevent COVID-­19 spread. These measures directly impacted older people, reducing their mobility, especially outside home environment. Health systems world</w:instrText>
      </w:r>
      <w:r w:rsidR="00A254CC" w:rsidRPr="002E55DE">
        <w:rPr>
          <w:rFonts w:ascii="Times New Roman" w:eastAsiaTheme="minorEastAsia" w:hAnsi="Times New Roman" w:hint="eastAsia"/>
          <w:bCs/>
          <w:lang w:eastAsia="ko-KR"/>
        </w:rPr>
        <w:instrText>wide need to be prepared to implement strategies to mitigate negative effects of reduced mobility in this population. Design: Scoping review using Arksey and O</w:instrText>
      </w:r>
      <w:r w:rsidR="00A254CC" w:rsidRPr="002E55DE">
        <w:rPr>
          <w:rFonts w:ascii="Times New Roman" w:eastAsiaTheme="minorEastAsia" w:hAnsi="Times New Roman" w:hint="eastAsia"/>
          <w:bCs/>
          <w:lang w:eastAsia="ko-KR"/>
        </w:rPr>
        <w:instrText>′</w:instrText>
      </w:r>
      <w:r w:rsidR="00A254CC" w:rsidRPr="002E55DE">
        <w:rPr>
          <w:rFonts w:ascii="Times New Roman" w:eastAsiaTheme="minorEastAsia" w:hAnsi="Times New Roman" w:hint="eastAsia"/>
          <w:bCs/>
          <w:lang w:eastAsia="ko-KR"/>
        </w:rPr>
        <w:instrText>Malley's methodological framework.\nMethod: Therefore, a scoping review was conducted in LILACS</w:instrText>
      </w:r>
      <w:r w:rsidR="00A254CC" w:rsidRPr="002E55DE">
        <w:rPr>
          <w:rFonts w:ascii="Times New Roman" w:eastAsiaTheme="minorEastAsia" w:hAnsi="Times New Roman"/>
          <w:bCs/>
          <w:lang w:eastAsia="ko-KR"/>
        </w:rPr>
        <w:instrText xml:space="preserve">, CINAHL, MEDLINE, WEB OF SCIENCE and SCOPUS databases. Documents and reports with recommendations from government agencies were also consulted. Results were presented in a narrative synthesis based on a conceptual model of mobility proposed by Webber (The Gerontologist, 2010, 50, 443) regarding the most frequently addressed determinants, characteristics of the proposed interventions, and means of dissemination for the older person population. Findings: Twenty-­eight studies were selected for the final sample. According to Webber's model, most articles (n = 14) presented the impacts on mobility from the perspective of physical determinants, relating this aspect to biological losses in the musculoskeletal system, and a minority assessed mobility in vital spaces, encompassing environmental (n = 3) and financial (n = 1) determinants. Also, the most frequent recommendation was that physical activity promotes maintenance of mobility and prevents the occurrence of adverse results, such as falls, fractures and functional decline. As to dissemination, digital technologies were recognised as a strategy to motivate, instruct and monitor exercise practice to increase mobility in older adults.\nConclusion: The main conditions related to the decline in mobility of older adults during COVID-­19 pandemic were physical inactivity and sedentary lifestyle. The practice of physical activity is widespread and needs to be adapted according to individual","container-title":"International Journal of Older People Nursing","DOI":"10.1111/opn.12496","ISSN":"1748-3735, 1748-3743","issue":"1","journalAbbreviation":"Int J Older People Nursing","language":"en","page":"e12496","source":"DOI.org (Crossref)","title":"Impact of COVID‐19 pandemic on mobility of older adults: A scoping review","title-short":"Impact of &lt;span style=\"font-variant","volume":"18","author":[{"family":"Felipe","given":"Sarah Giulia Bandeira"},{"family":"Parreira Batista","given":"Patrícia"},{"family":"Da Silva","given":"Cristina Cristóvão Ribeiro"},{"family":"De Melo","given":"Ruth Caldeira"},{"family":"De Assumpção","given":"Daniela"},{"family":"Perracini","given":"Monica Rodrigues"}],"issued":{"date-parts":[["2023",1]]}}},{"id":"4nY7bDZH/uZyx0luw","uris":["http://zotero.org/users/10132210/items/ZARTVWR5"],"itemData":{"id":968,"type":"article-journal","container-title":"Technical paper, Department of Civil, Architectural and Environmental Engineering, The University of Texas at Austin","title":"An analysis of walking frequency before and after the pandemic","author":[{"family":"Hwang","given":"Hyunjun"},{"family":"Haddad","given":"Angela"},{"family":"Batur","given":"Irfan"},{"family":"Saxena","given":"Shobhit"},{"family":"Pendyala","given":"Ram M"},{"family":"Bhat","given":"Chandra R"}],"issued":{"date-parts":[["2023"]]}}}],"schema":"https://github.com/citation-style-language/schema/raw/master/csl-citation.json"} </w:instrText>
      </w:r>
      <w:r w:rsidR="002E4A99" w:rsidRPr="002E55DE">
        <w:rPr>
          <w:rFonts w:ascii="Times New Roman" w:eastAsiaTheme="minorEastAsia" w:hAnsi="Times New Roman"/>
          <w:bCs/>
          <w:lang w:eastAsia="ko-KR"/>
        </w:rPr>
        <w:fldChar w:fldCharType="separate"/>
      </w:r>
      <w:r w:rsidR="002E4A99" w:rsidRPr="002E55DE">
        <w:rPr>
          <w:rFonts w:ascii="Times New Roman" w:hAnsi="Times New Roman"/>
        </w:rPr>
        <w:t>(</w:t>
      </w:r>
      <w:r w:rsidR="00AA7F3C" w:rsidRPr="002E55DE">
        <w:rPr>
          <w:rFonts w:ascii="Times New Roman" w:eastAsiaTheme="minorEastAsia" w:hAnsi="Times New Roman"/>
          <w:lang w:eastAsia="ko-KR"/>
        </w:rPr>
        <w:t xml:space="preserve">see </w:t>
      </w:r>
      <w:r w:rsidR="002E4A99" w:rsidRPr="002E55DE">
        <w:rPr>
          <w:rFonts w:ascii="Times New Roman" w:hAnsi="Times New Roman"/>
        </w:rPr>
        <w:t>Beauchamp et al., 2022</w:t>
      </w:r>
      <w:r w:rsidR="00435F79" w:rsidRPr="002E55DE">
        <w:rPr>
          <w:rFonts w:ascii="Times New Roman" w:hAnsi="Times New Roman"/>
        </w:rPr>
        <w:t>,</w:t>
      </w:r>
      <w:r w:rsidR="002E4A99" w:rsidRPr="002E55DE">
        <w:rPr>
          <w:rFonts w:ascii="Times New Roman" w:hAnsi="Times New Roman"/>
        </w:rPr>
        <w:t xml:space="preserve"> Felipe et al., 2023</w:t>
      </w:r>
      <w:r w:rsidR="00435F79" w:rsidRPr="002E55DE">
        <w:rPr>
          <w:rFonts w:ascii="Times New Roman" w:hAnsi="Times New Roman"/>
        </w:rPr>
        <w:t>, and</w:t>
      </w:r>
      <w:r w:rsidR="002E4A99" w:rsidRPr="002E55DE">
        <w:rPr>
          <w:rFonts w:ascii="Times New Roman" w:hAnsi="Times New Roman"/>
        </w:rPr>
        <w:t xml:space="preserve"> Hwang et al., 2023)</w:t>
      </w:r>
      <w:r w:rsidR="002E4A99" w:rsidRPr="002E55DE">
        <w:rPr>
          <w:rFonts w:ascii="Times New Roman" w:eastAsiaTheme="minorEastAsia" w:hAnsi="Times New Roman"/>
          <w:bCs/>
          <w:lang w:eastAsia="ko-KR"/>
        </w:rPr>
        <w:fldChar w:fldCharType="end"/>
      </w:r>
      <w:r w:rsidR="00CC50D9" w:rsidRPr="002E55DE">
        <w:rPr>
          <w:rFonts w:ascii="Times New Roman" w:hAnsi="Times New Roman"/>
          <w:bCs/>
        </w:rPr>
        <w:t>.</w:t>
      </w:r>
      <w:r w:rsidR="00DE252D" w:rsidRPr="002E55DE">
        <w:rPr>
          <w:rFonts w:ascii="Times New Roman" w:hAnsi="Times New Roman"/>
          <w:bCs/>
        </w:rPr>
        <w:t xml:space="preserve"> </w:t>
      </w:r>
      <w:bookmarkEnd w:id="14"/>
      <w:r w:rsidR="00DE252D" w:rsidRPr="002E55DE">
        <w:rPr>
          <w:rFonts w:ascii="Times New Roman" w:hAnsi="Times New Roman"/>
          <w:bCs/>
        </w:rPr>
        <w:t>Accordingly, in this paper,</w:t>
      </w:r>
      <w:r w:rsidR="00BF4EDE" w:rsidRPr="002E55DE">
        <w:rPr>
          <w:rFonts w:ascii="Times New Roman" w:hAnsi="Times New Roman"/>
          <w:bCs/>
        </w:rPr>
        <w:t xml:space="preserve"> we employ a multivariate modeling approach to estimate the effect</w:t>
      </w:r>
      <w:r w:rsidR="00DE252D" w:rsidRPr="002E55DE">
        <w:rPr>
          <w:rFonts w:ascii="Times New Roman" w:hAnsi="Times New Roman"/>
          <w:bCs/>
        </w:rPr>
        <w:t>s</w:t>
      </w:r>
      <w:r w:rsidR="00BF4EDE" w:rsidRPr="002E55DE">
        <w:rPr>
          <w:rFonts w:ascii="Times New Roman" w:hAnsi="Times New Roman"/>
          <w:bCs/>
        </w:rPr>
        <w:t xml:space="preserve"> of sociodemographic factors on </w:t>
      </w:r>
      <w:r w:rsidR="00DE252D" w:rsidRPr="002E55DE">
        <w:rPr>
          <w:rFonts w:ascii="Times New Roman" w:hAnsi="Times New Roman"/>
          <w:bCs/>
        </w:rPr>
        <w:t xml:space="preserve">all </w:t>
      </w:r>
      <w:r w:rsidR="00BF4EDE" w:rsidRPr="002E55DE">
        <w:rPr>
          <w:rFonts w:ascii="Times New Roman" w:hAnsi="Times New Roman"/>
          <w:bCs/>
        </w:rPr>
        <w:t>three dimensions</w:t>
      </w:r>
      <w:r w:rsidR="00873780" w:rsidRPr="002E55DE">
        <w:rPr>
          <w:rFonts w:ascii="Times New Roman" w:hAnsi="Times New Roman"/>
          <w:bCs/>
        </w:rPr>
        <w:t>,</w:t>
      </w:r>
      <w:r w:rsidR="00BF4EDE" w:rsidRPr="002E55DE">
        <w:rPr>
          <w:rFonts w:ascii="Times New Roman" w:hAnsi="Times New Roman"/>
          <w:bCs/>
        </w:rPr>
        <w:t xml:space="preserve"> utiliz</w:t>
      </w:r>
      <w:r w:rsidR="00873780" w:rsidRPr="002E55DE">
        <w:rPr>
          <w:rFonts w:ascii="Times New Roman" w:hAnsi="Times New Roman"/>
          <w:bCs/>
        </w:rPr>
        <w:t>ing</w:t>
      </w:r>
      <w:r w:rsidR="00BF4EDE" w:rsidRPr="002E55DE">
        <w:rPr>
          <w:rFonts w:ascii="Times New Roman" w:hAnsi="Times New Roman"/>
          <w:bCs/>
        </w:rPr>
        <w:t xml:space="preserve"> data from the </w:t>
      </w:r>
      <w:r w:rsidR="00BF4EDE" w:rsidRPr="002E55DE">
        <w:rPr>
          <w:rFonts w:eastAsiaTheme="minorEastAsia"/>
          <w:lang w:eastAsia="ko-KR"/>
        </w:rPr>
        <w:t>“</w:t>
      </w:r>
      <w:r w:rsidR="00874470" w:rsidRPr="002E55DE">
        <w:rPr>
          <w:szCs w:val="24"/>
        </w:rPr>
        <w:t>American Association of Retired Persons (</w:t>
      </w:r>
      <w:r w:rsidR="00BF4EDE" w:rsidRPr="002E55DE">
        <w:rPr>
          <w:rFonts w:eastAsiaTheme="minorEastAsia"/>
          <w:lang w:eastAsia="ko-KR"/>
        </w:rPr>
        <w:t>AARP</w:t>
      </w:r>
      <w:r w:rsidR="00874470" w:rsidRPr="002E55DE">
        <w:rPr>
          <w:rFonts w:eastAsiaTheme="minorEastAsia"/>
          <w:lang w:eastAsia="ko-KR"/>
        </w:rPr>
        <w:t>)</w:t>
      </w:r>
      <w:r w:rsidR="00BF4EDE" w:rsidRPr="002E55DE">
        <w:rPr>
          <w:rFonts w:eastAsiaTheme="minorEastAsia"/>
          <w:lang w:eastAsia="ko-KR"/>
        </w:rPr>
        <w:t xml:space="preserve"> Walking Survey: Attitudes and Habits of Adults Aged 50 and Older</w:t>
      </w:r>
      <w:r w:rsidR="00BF4EDE" w:rsidRPr="002E55DE">
        <w:rPr>
          <w:rFonts w:ascii="Times New Roman" w:hAnsi="Times New Roman"/>
          <w:bCs/>
        </w:rPr>
        <w:t>”</w:t>
      </w:r>
      <w:r w:rsidR="00873780" w:rsidRPr="002E55DE">
        <w:rPr>
          <w:rFonts w:ascii="Times New Roman" w:hAnsi="Times New Roman"/>
          <w:bCs/>
        </w:rPr>
        <w:t xml:space="preserve"> collected </w:t>
      </w:r>
      <w:r w:rsidR="00BF4EDE" w:rsidRPr="002E55DE">
        <w:rPr>
          <w:rFonts w:ascii="Times New Roman" w:hAnsi="Times New Roman"/>
          <w:bCs/>
        </w:rPr>
        <w:t>in July 2022</w:t>
      </w:r>
      <w:r w:rsidR="00873780" w:rsidRPr="002E55DE">
        <w:rPr>
          <w:rFonts w:ascii="Times New Roman" w:hAnsi="Times New Roman"/>
          <w:bCs/>
        </w:rPr>
        <w:t>.</w:t>
      </w:r>
    </w:p>
    <w:p w14:paraId="5EA577DD" w14:textId="1F4918FE" w:rsidR="0036534A" w:rsidRPr="002E55DE" w:rsidRDefault="00042FB2" w:rsidP="003518AB">
      <w:pPr>
        <w:ind w:firstLine="720"/>
        <w:jc w:val="both"/>
        <w:rPr>
          <w:rFonts w:ascii="Times New Roman" w:hAnsi="Times New Roman"/>
          <w:bCs/>
        </w:rPr>
      </w:pPr>
      <w:r w:rsidRPr="002E55DE">
        <w:rPr>
          <w:rFonts w:ascii="Times New Roman" w:hAnsi="Times New Roman"/>
          <w:bCs/>
        </w:rPr>
        <w:t>The rest of th</w:t>
      </w:r>
      <w:r w:rsidR="00873780" w:rsidRPr="002E55DE">
        <w:rPr>
          <w:rFonts w:ascii="Times New Roman" w:hAnsi="Times New Roman"/>
          <w:bCs/>
        </w:rPr>
        <w:t>is</w:t>
      </w:r>
      <w:r w:rsidRPr="002E55DE">
        <w:rPr>
          <w:rFonts w:ascii="Times New Roman" w:hAnsi="Times New Roman"/>
          <w:bCs/>
        </w:rPr>
        <w:t xml:space="preserve"> paper is organized as follows: Section 2 provides</w:t>
      </w:r>
      <w:r w:rsidR="00B94F3B" w:rsidRPr="002E55DE">
        <w:rPr>
          <w:rFonts w:ascii="Times New Roman" w:hAnsi="Times New Roman"/>
          <w:bCs/>
        </w:rPr>
        <w:t xml:space="preserve"> an overview of the literature on </w:t>
      </w:r>
      <w:r w:rsidR="00977495" w:rsidRPr="002E55DE">
        <w:rPr>
          <w:rFonts w:ascii="Times New Roman" w:hAnsi="Times New Roman"/>
          <w:bCs/>
        </w:rPr>
        <w:t xml:space="preserve">the </w:t>
      </w:r>
      <w:r w:rsidR="00B94F3B" w:rsidRPr="002E55DE">
        <w:rPr>
          <w:rFonts w:ascii="Times New Roman" w:hAnsi="Times New Roman"/>
          <w:bCs/>
        </w:rPr>
        <w:t>walking behavior of older adults</w:t>
      </w:r>
      <w:r w:rsidR="00DE252D" w:rsidRPr="002E55DE">
        <w:rPr>
          <w:rFonts w:ascii="Times New Roman" w:hAnsi="Times New Roman"/>
          <w:bCs/>
        </w:rPr>
        <w:t>.</w:t>
      </w:r>
      <w:r w:rsidR="00B94F3B" w:rsidRPr="002E55DE">
        <w:rPr>
          <w:rFonts w:ascii="Times New Roman" w:hAnsi="Times New Roman"/>
          <w:bCs/>
        </w:rPr>
        <w:t xml:space="preserve"> Section 3 </w:t>
      </w:r>
      <w:r w:rsidR="00DE252D" w:rsidRPr="002E55DE">
        <w:rPr>
          <w:rFonts w:ascii="Times New Roman" w:hAnsi="Times New Roman"/>
          <w:bCs/>
        </w:rPr>
        <w:t>discusses the data</w:t>
      </w:r>
      <w:r w:rsidR="000A0F54" w:rsidRPr="002E55DE">
        <w:rPr>
          <w:rFonts w:ascii="Times New Roman" w:hAnsi="Times New Roman"/>
          <w:bCs/>
        </w:rPr>
        <w:t xml:space="preserve">, </w:t>
      </w:r>
      <w:r w:rsidR="00DE252D" w:rsidRPr="002E55DE">
        <w:rPr>
          <w:rFonts w:ascii="Times New Roman" w:hAnsi="Times New Roman"/>
          <w:bCs/>
        </w:rPr>
        <w:t>sample characteristics</w:t>
      </w:r>
      <w:r w:rsidR="000A0F54" w:rsidRPr="002E55DE">
        <w:rPr>
          <w:rFonts w:ascii="Times New Roman" w:hAnsi="Times New Roman"/>
          <w:bCs/>
        </w:rPr>
        <w:t xml:space="preserve"> and the model used for analysis</w:t>
      </w:r>
      <w:r w:rsidR="00DE252D" w:rsidRPr="002E55DE">
        <w:rPr>
          <w:rFonts w:ascii="Times New Roman" w:hAnsi="Times New Roman"/>
          <w:bCs/>
        </w:rPr>
        <w:t xml:space="preserve">, while Section 4 presents </w:t>
      </w:r>
      <w:r w:rsidRPr="002E55DE">
        <w:rPr>
          <w:rFonts w:ascii="Times New Roman" w:hAnsi="Times New Roman"/>
          <w:bCs/>
        </w:rPr>
        <w:t>estimation results</w:t>
      </w:r>
      <w:r w:rsidR="00C17BE7" w:rsidRPr="002E55DE">
        <w:rPr>
          <w:rFonts w:ascii="Times New Roman" w:hAnsi="Times New Roman"/>
          <w:bCs/>
        </w:rPr>
        <w:t xml:space="preserve"> and </w:t>
      </w:r>
      <w:r w:rsidR="00EB37E1" w:rsidRPr="002E55DE">
        <w:rPr>
          <w:rFonts w:ascii="Times New Roman" w:hAnsi="Times New Roman"/>
          <w:bCs/>
        </w:rPr>
        <w:t xml:space="preserve">discussions </w:t>
      </w:r>
      <w:r w:rsidR="00A81540" w:rsidRPr="002E55DE">
        <w:rPr>
          <w:rFonts w:ascii="Times New Roman" w:hAnsi="Times New Roman"/>
          <w:bCs/>
        </w:rPr>
        <w:t xml:space="preserve">with the lens of average treatment effects (ATEs). </w:t>
      </w:r>
      <w:r w:rsidR="00265E38" w:rsidRPr="002E55DE">
        <w:rPr>
          <w:rFonts w:ascii="Times New Roman" w:hAnsi="Times New Roman"/>
          <w:bCs/>
        </w:rPr>
        <w:t>Section 5 inform</w:t>
      </w:r>
      <w:r w:rsidR="00EB0F87" w:rsidRPr="002E55DE">
        <w:rPr>
          <w:rFonts w:ascii="Times New Roman" w:eastAsiaTheme="minorEastAsia" w:hAnsi="Times New Roman" w:hint="eastAsia"/>
          <w:bCs/>
          <w:lang w:eastAsia="ko-KR"/>
        </w:rPr>
        <w:t>s</w:t>
      </w:r>
      <w:r w:rsidR="00265E38" w:rsidRPr="002E55DE">
        <w:rPr>
          <w:rFonts w:ascii="Times New Roman" w:hAnsi="Times New Roman"/>
          <w:bCs/>
        </w:rPr>
        <w:t xml:space="preserve"> policies aimed at promoting walking, and </w:t>
      </w:r>
      <w:r w:rsidR="00EB0F87" w:rsidRPr="002E55DE">
        <w:rPr>
          <w:rFonts w:ascii="Times New Roman" w:eastAsiaTheme="minorEastAsia" w:hAnsi="Times New Roman" w:hint="eastAsia"/>
          <w:bCs/>
          <w:lang w:eastAsia="ko-KR"/>
        </w:rPr>
        <w:t xml:space="preserve">addresses the </w:t>
      </w:r>
      <w:r w:rsidR="00265E38" w:rsidRPr="002E55DE">
        <w:rPr>
          <w:rFonts w:ascii="Times New Roman" w:hAnsi="Times New Roman"/>
          <w:bCs/>
        </w:rPr>
        <w:t xml:space="preserve">limitations of the research </w:t>
      </w:r>
      <w:r w:rsidR="00EB0F87" w:rsidRPr="002E55DE">
        <w:rPr>
          <w:rFonts w:ascii="Times New Roman" w:eastAsiaTheme="minorEastAsia" w:hAnsi="Times New Roman" w:hint="eastAsia"/>
          <w:bCs/>
          <w:lang w:eastAsia="ko-KR"/>
        </w:rPr>
        <w:t xml:space="preserve">along with </w:t>
      </w:r>
      <w:r w:rsidR="00265E38" w:rsidRPr="002E55DE">
        <w:rPr>
          <w:rFonts w:ascii="Times New Roman" w:hAnsi="Times New Roman"/>
          <w:bCs/>
        </w:rPr>
        <w:t>future research directions. Finally, Section 6 concludes the paper with a summary of the findings.</w:t>
      </w:r>
    </w:p>
    <w:p w14:paraId="428DAE71" w14:textId="77777777" w:rsidR="00B220B8" w:rsidRPr="002E55DE" w:rsidRDefault="00B220B8" w:rsidP="003518AB">
      <w:pPr>
        <w:ind w:firstLine="720"/>
        <w:jc w:val="both"/>
        <w:rPr>
          <w:rFonts w:ascii="Times New Roman" w:hAnsi="Times New Roman"/>
        </w:rPr>
      </w:pPr>
    </w:p>
    <w:p w14:paraId="3C034EB0" w14:textId="204053EA" w:rsidR="000B30CB" w:rsidRPr="002E55DE" w:rsidRDefault="005B5CB6" w:rsidP="003518AB">
      <w:pPr>
        <w:pStyle w:val="Heading1"/>
        <w:spacing w:line="240" w:lineRule="auto"/>
        <w:contextualSpacing w:val="0"/>
        <w:rPr>
          <w:caps/>
        </w:rPr>
      </w:pPr>
      <w:r w:rsidRPr="002E55DE">
        <w:rPr>
          <w:caps/>
        </w:rPr>
        <w:t xml:space="preserve">Literature </w:t>
      </w:r>
      <w:r w:rsidR="00F828B0" w:rsidRPr="002E55DE">
        <w:rPr>
          <w:caps/>
        </w:rPr>
        <w:t>Ove</w:t>
      </w:r>
      <w:r w:rsidRPr="002E55DE">
        <w:rPr>
          <w:caps/>
        </w:rPr>
        <w:t>rview</w:t>
      </w:r>
    </w:p>
    <w:p w14:paraId="718920BF" w14:textId="07F7E817" w:rsidR="00434761" w:rsidRPr="002E55DE" w:rsidRDefault="00A44DE6" w:rsidP="003518AB">
      <w:pPr>
        <w:jc w:val="both"/>
        <w:rPr>
          <w:rFonts w:ascii="Times New Roman" w:eastAsiaTheme="minorEastAsia" w:hAnsi="Times New Roman"/>
          <w:bCs/>
          <w:szCs w:val="24"/>
          <w:lang w:eastAsia="ko-KR"/>
        </w:rPr>
      </w:pPr>
      <w:r w:rsidRPr="002E55DE">
        <w:rPr>
          <w:rFonts w:ascii="Times New Roman" w:hAnsi="Times New Roman"/>
          <w:bCs/>
          <w:szCs w:val="24"/>
        </w:rPr>
        <w:t xml:space="preserve">A number of earlier studies </w:t>
      </w:r>
      <w:r w:rsidR="00564DBC" w:rsidRPr="002E55DE">
        <w:rPr>
          <w:rFonts w:ascii="Times New Roman" w:hAnsi="Times New Roman"/>
          <w:bCs/>
          <w:szCs w:val="24"/>
        </w:rPr>
        <w:t xml:space="preserve">have explored </w:t>
      </w:r>
      <w:r w:rsidR="00F828B0" w:rsidRPr="002E55DE">
        <w:rPr>
          <w:rFonts w:ascii="Times New Roman" w:hAnsi="Times New Roman"/>
          <w:bCs/>
          <w:szCs w:val="24"/>
        </w:rPr>
        <w:t xml:space="preserve">the </w:t>
      </w:r>
      <w:r w:rsidR="00956B83" w:rsidRPr="002E55DE">
        <w:rPr>
          <w:rFonts w:ascii="Times New Roman" w:hAnsi="Times New Roman"/>
          <w:bCs/>
          <w:szCs w:val="24"/>
        </w:rPr>
        <w:t xml:space="preserve">health and overall well-being </w:t>
      </w:r>
      <w:r w:rsidR="004C5142" w:rsidRPr="002E55DE">
        <w:rPr>
          <w:rFonts w:ascii="Times New Roman" w:hAnsi="Times New Roman"/>
          <w:bCs/>
          <w:szCs w:val="24"/>
        </w:rPr>
        <w:t xml:space="preserve">benefits </w:t>
      </w:r>
      <w:r w:rsidR="00A90655" w:rsidRPr="002E55DE">
        <w:rPr>
          <w:rFonts w:ascii="Times New Roman" w:hAnsi="Times New Roman"/>
          <w:bCs/>
          <w:szCs w:val="24"/>
        </w:rPr>
        <w:t xml:space="preserve">of </w:t>
      </w:r>
      <w:r w:rsidRPr="002E55DE">
        <w:rPr>
          <w:rFonts w:ascii="Times New Roman" w:hAnsi="Times New Roman"/>
          <w:bCs/>
          <w:szCs w:val="24"/>
        </w:rPr>
        <w:t>each of the three</w:t>
      </w:r>
      <w:r w:rsidR="00873780" w:rsidRPr="002E55DE">
        <w:rPr>
          <w:rFonts w:ascii="Times New Roman" w:hAnsi="Times New Roman"/>
          <w:bCs/>
          <w:szCs w:val="24"/>
        </w:rPr>
        <w:t xml:space="preserve"> walking</w:t>
      </w:r>
      <w:r w:rsidRPr="002E55DE">
        <w:rPr>
          <w:rFonts w:ascii="Times New Roman" w:hAnsi="Times New Roman"/>
          <w:bCs/>
          <w:szCs w:val="24"/>
        </w:rPr>
        <w:t xml:space="preserve"> dimensions </w:t>
      </w:r>
      <w:r w:rsidR="00F828B0" w:rsidRPr="002E55DE">
        <w:rPr>
          <w:rFonts w:ascii="Times New Roman" w:hAnsi="Times New Roman"/>
          <w:bCs/>
          <w:szCs w:val="24"/>
        </w:rPr>
        <w:t>(</w:t>
      </w:r>
      <w:r w:rsidR="005A3D06" w:rsidRPr="002E55DE">
        <w:rPr>
          <w:rFonts w:ascii="Times New Roman" w:hAnsi="Times New Roman"/>
          <w:bCs/>
          <w:szCs w:val="24"/>
        </w:rPr>
        <w:t>i.e.</w:t>
      </w:r>
      <w:r w:rsidR="00DA06EA" w:rsidRPr="002E55DE">
        <w:rPr>
          <w:rFonts w:ascii="Times New Roman" w:hAnsi="Times New Roman"/>
          <w:bCs/>
          <w:szCs w:val="24"/>
        </w:rPr>
        <w:t>,</w:t>
      </w:r>
      <w:r w:rsidR="00BF4EDE" w:rsidRPr="002E55DE">
        <w:rPr>
          <w:rFonts w:ascii="Times New Roman" w:hAnsi="Times New Roman"/>
          <w:bCs/>
          <w:szCs w:val="24"/>
        </w:rPr>
        <w:t xml:space="preserve"> </w:t>
      </w:r>
      <w:r w:rsidR="00F828B0" w:rsidRPr="002E55DE">
        <w:rPr>
          <w:rFonts w:ascii="Times New Roman" w:hAnsi="Times New Roman"/>
          <w:bCs/>
          <w:szCs w:val="24"/>
        </w:rPr>
        <w:t>frequency, duration, and companionship)</w:t>
      </w:r>
      <w:r w:rsidRPr="002E55DE">
        <w:rPr>
          <w:rFonts w:ascii="Times New Roman" w:hAnsi="Times New Roman"/>
          <w:bCs/>
          <w:szCs w:val="24"/>
        </w:rPr>
        <w:t xml:space="preserve"> considered in this study</w:t>
      </w:r>
      <w:r w:rsidR="00A90655" w:rsidRPr="002E55DE">
        <w:rPr>
          <w:rFonts w:ascii="Times New Roman" w:hAnsi="Times New Roman"/>
          <w:bCs/>
          <w:szCs w:val="24"/>
        </w:rPr>
        <w:t>.</w:t>
      </w:r>
      <w:r w:rsidR="002818CA" w:rsidRPr="002E55DE">
        <w:rPr>
          <w:rFonts w:ascii="Times New Roman" w:eastAsiaTheme="minorEastAsia" w:hAnsi="Times New Roman" w:hint="eastAsia"/>
          <w:bCs/>
          <w:szCs w:val="24"/>
          <w:lang w:eastAsia="ko-KR"/>
        </w:rPr>
        <w:t xml:space="preserve"> </w:t>
      </w:r>
      <w:r w:rsidR="00873780" w:rsidRPr="002E55DE">
        <w:rPr>
          <w:rFonts w:ascii="Times New Roman" w:hAnsi="Times New Roman"/>
          <w:bCs/>
          <w:szCs w:val="24"/>
        </w:rPr>
        <w:t xml:space="preserve">Studies on walking frequency and duration effects have </w:t>
      </w:r>
      <w:r w:rsidRPr="002E55DE">
        <w:rPr>
          <w:rFonts w:ascii="Times New Roman" w:hAnsi="Times New Roman"/>
          <w:bCs/>
          <w:szCs w:val="24"/>
        </w:rPr>
        <w:t>established beneficial effect</w:t>
      </w:r>
      <w:r w:rsidR="00D456D3" w:rsidRPr="002E55DE">
        <w:rPr>
          <w:rFonts w:ascii="Times New Roman" w:hAnsi="Times New Roman"/>
          <w:bCs/>
          <w:szCs w:val="24"/>
        </w:rPr>
        <w:t>s</w:t>
      </w:r>
      <w:r w:rsidRPr="002E55DE">
        <w:rPr>
          <w:rFonts w:ascii="Times New Roman" w:hAnsi="Times New Roman"/>
          <w:bCs/>
          <w:szCs w:val="24"/>
        </w:rPr>
        <w:t xml:space="preserve"> on improving mental wellness (through decreasing the occurrence and frequency of depression, improving vitality</w:t>
      </w:r>
      <w:r w:rsidR="00E63022" w:rsidRPr="002E55DE">
        <w:rPr>
          <w:rFonts w:ascii="Times New Roman" w:hAnsi="Times New Roman"/>
          <w:bCs/>
          <w:szCs w:val="24"/>
        </w:rPr>
        <w:t>,</w:t>
      </w:r>
      <w:r w:rsidR="00B14388" w:rsidRPr="002E55DE">
        <w:rPr>
          <w:rFonts w:ascii="Times New Roman" w:eastAsiaTheme="minorEastAsia" w:hAnsi="Times New Roman" w:hint="eastAsia"/>
          <w:bCs/>
          <w:szCs w:val="24"/>
          <w:lang w:eastAsia="ko-KR"/>
        </w:rPr>
        <w:t xml:space="preserve"> </w:t>
      </w:r>
      <w:r w:rsidR="00D456D3" w:rsidRPr="002E55DE">
        <w:rPr>
          <w:rFonts w:ascii="Times New Roman" w:hAnsi="Times New Roman"/>
          <w:bCs/>
          <w:szCs w:val="24"/>
        </w:rPr>
        <w:t>and</w:t>
      </w:r>
      <w:r w:rsidR="00B14388" w:rsidRPr="002E55DE">
        <w:rPr>
          <w:rFonts w:ascii="Times New Roman" w:eastAsiaTheme="minorEastAsia" w:hAnsi="Times New Roman" w:hint="eastAsia"/>
          <w:bCs/>
          <w:szCs w:val="24"/>
          <w:lang w:eastAsia="ko-KR"/>
        </w:rPr>
        <w:t xml:space="preserve"> reducing stress level</w:t>
      </w:r>
      <w:r w:rsidR="00E63022" w:rsidRPr="002E55DE">
        <w:rPr>
          <w:rFonts w:ascii="Times New Roman" w:eastAsiaTheme="minorEastAsia" w:hAnsi="Times New Roman"/>
          <w:bCs/>
          <w:szCs w:val="24"/>
          <w:lang w:eastAsia="ko-KR"/>
        </w:rPr>
        <w:t>s</w:t>
      </w:r>
      <w:r w:rsidR="00662512" w:rsidRPr="002E55DE">
        <w:rPr>
          <w:rFonts w:ascii="Times New Roman" w:hAnsi="Times New Roman"/>
          <w:bCs/>
          <w:szCs w:val="24"/>
        </w:rPr>
        <w:t>; see, for example</w:t>
      </w:r>
      <w:bookmarkStart w:id="15" w:name="_Hlk169960094"/>
      <w:r w:rsidR="00662512" w:rsidRPr="002E55DE">
        <w:rPr>
          <w:rFonts w:ascii="Times New Roman" w:hAnsi="Times New Roman"/>
          <w:bCs/>
          <w:szCs w:val="24"/>
        </w:rPr>
        <w:t>,</w:t>
      </w:r>
      <w:r w:rsidR="00435F79" w:rsidRPr="002E55DE">
        <w:rPr>
          <w:rFonts w:ascii="Times New Roman" w:hAnsi="Times New Roman"/>
        </w:rPr>
        <w:t xml:space="preserve"> Kroesen </w:t>
      </w:r>
      <w:r w:rsidR="00435F79" w:rsidRPr="002E55DE">
        <w:rPr>
          <w:rFonts w:ascii="Times New Roman" w:eastAsiaTheme="minorEastAsia" w:hAnsi="Times New Roman"/>
          <w:lang w:eastAsia="ko-KR"/>
        </w:rPr>
        <w:t>and</w:t>
      </w:r>
      <w:r w:rsidR="00435F79" w:rsidRPr="002E55DE">
        <w:rPr>
          <w:rFonts w:ascii="Times New Roman" w:hAnsi="Times New Roman"/>
        </w:rPr>
        <w:t xml:space="preserve"> De Vos, 2020, Roe et al., 2020,</w:t>
      </w:r>
      <w:r w:rsidR="00662512" w:rsidRPr="002E55DE">
        <w:rPr>
          <w:rFonts w:ascii="Times New Roman" w:hAnsi="Times New Roman"/>
          <w:bCs/>
          <w:szCs w:val="24"/>
        </w:rPr>
        <w:t xml:space="preserve"> </w:t>
      </w:r>
      <w:r w:rsidR="003A53AD"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{"citationID":"4n4vksbz","properties":{"formattedCitation":"(Chen et al., 2021; Chin et al., 2022; Kroesen &amp; De Vos, 2020; Roe et al., 2020)","plainCitation":"(Chen et al., 2021; Chin et al., 2022; Kroesen &amp; De Vos, 2020; Roe et al., 2020)","dontUpdate":true,"noteIndex":0},"citationItems":[{"id":"4nY7bDZH/s71sVtxn","uris":["http://zotero.org/users/10132210/items/U389E9C8"],"itemData":{"id":1238,"type":"article-journal","container-title":"Experimental Gerontology","DOI":"10.1016/j.exger.2021.111428","ISSN":"05315565","journalAbbreviation":"Experimental Gerontology","language":"en","page":"111428","source":"DOI.org (Crossref)","title":"Cross-sectional and longitudinal associations of outdoor walking with overall mental health in later life","volume":"151","author":[{"family":"Chen","given":"Shang-Ti"},{"family":"Stevinson","given":"Clare"},{"family":"Yang","given":"Chih-Hsiang"},{"family":"Sun","given":"Wen-Jun"},{"family":"Chen","given":"Li-Jung"},{"family":"Ku","given":"Po-Wen"}],"issued":{"date-parts":[["2021",8]]}}},{"id":"4nY7bDZH/5NQrl2ct","uris":["http://zotero.org/users/10132210/items/PE5YKR8A"],"itemData":{"id":1240,"type":"article-journal","abstract":"Background\n              The effects of exercise frequency and intensity on alleviating depressive symptoms in older adults with insomnia are unclear.\n            \n            \n              Purpose\n              The purpose of this study was to investigate the influence of different exercise frequencies and intensities on prescribed aerobic-type physical activity (i.e., 75 min of vigorous-intensity exercise or 150 min of moderate-intensity exercise weekly) for reducing depressive symptoms in older adults living with insomnia, as recommended by the WHO.\n            \n            \n              Design\n              This study is a randomized, controlled, assessor-blinded trial.\n            \n            \n              Setting\n              This study is conducted at a single research site in Hong Kong.\n            \n            \n              Participants\n              This study includes older adults aged 50 years or above with depressive symptoms and insomnia.\n            \n            \n              Intervention\n              Participants were randomly assigned in a 1:1:1:1:1 ratio to the following groups: attention control (CON), moderate walking once weekly (MOD × 1/week), moderate walking thrice weekly (MOD × 3/week), vigorous walking once weekly (VIG × 1/week), and vigorous walking thrice weekly (VIG × 3/week). The total weekly exercise volumes among the walking groups were matched to the minimum recommended physical activity volume.\n            \n            \n              Measurements\n              Depression, anxiety, self-perceived sleep quality, insomnia severity, actigraphy-assessed 7-day sleep data, 7-day sleep diary, cardiorespiratory fitness, adherence, and habitual physical activity were examined at baseline and after 12 weeks of intervention.\n            \n            \n              Results\n              \n                Both MOD × 3/week and VIG × 3/week groups demonstrated reduced depression (Hospital Anxiety and Depression Scale [HADS] – Depression: MOD × 3/wk: −68.6%; VIG × 3/week: −67.4%) and anxiety levels (HADS – Anxiety: MOD × 3/week: −54.3%; VIG × 3/week: −59.8%) compared with CON (both\n                p\n                &amp;lt; 0.01). Self-perceived sleep quality was improved in MOD × 3/week (−31.4% of the Pittsburgh Sleep Quality Index [PSQI]), VIG × 1/week (−34.1% of PSQI), and VIG × 3/week (−38.3% of PSQI), but not in MOD × 1/week, when compared with CON (\n                p\n                &amp;lt; 0.05). No serious adverse events were observed in this study.\n              \n            \n            \n              Conclusion\n              The effects of walking training on reducing depressive symptoms appeared to be dependent on exercise frequency. Our findings suggest that three sessions of walking per week at either moderate or vigorous-intensity effectively alleviate depressive symptoms in older adults with insomnia. Additional research is needed to further verify the effects of exercise frequency on depression.\n            \n            \n              Clinical Trial Registration\n              \n                [\n                ClinicalTrials.gov\n                ], identifier [NCT04354922].","container-title":"Frontiers in Physiology","DOI":"10.3389/fphys.2022.863457","ISSN":"1664-042X","journalAbbreviation":"Front. Physiol.","page":"863457","source":"DOI.org (Crossref)","title":"Effects of Exercise Frequency and Intensity on Reducing Depressive Symptoms in Older Adults With Insomnia: A Pilot Randomized Controlled Trial","title-short":"Effects of Exercise Frequency and Intensity on Reducing Depressive Symptoms in Older Adults With Insomnia","volume":"13","author":[{"family":"Chin","given":"Edwin C."},{"family":"Yu","given":"Angus P."},{"family":"Leung","given":"Chit K."},{"family":"Bernal","given":"Joshua D."},{"family":"Au","given":"Whitney W."},{"family":"Fong","given":"Daniel Y."},{"family":"Cheng","given":"Calvin P."},{"family":"Siu","given":"Parco M."}],"issued":{"date-parts":[["2022",4,5]]}}},{"id":"4nY7bDZH/eXEEuZAl","uris":["http://zotero.org/users/10132210/items/N3P3FBKB"],"itemData":{"id":1242,"type":"article-journal","container-title":"Journal of Transport &amp; Health","DOI":"10.1016/j.jth.2020.100844","ISSN":"22141405","journalAbbreviation":"Journal of Transport &amp; Health","language":"en","page":"100844","source":"DOI.org (Crossref)","title":"Does active travel make people healthier, or are healthy people more inclined to travel actively?","volume":"16","author":[{"family":"Kroesen","given":"Maarten"},{"family":"De Vos","given":"Jonas"}],"issued":{"date-parts":[["2020",3]]}}},{"id":"4nY7bDZH/Jtz2IAqr","uris":["http://zotero.org/users/10132210/items/VHATIAK3"],"itemData":{"id":1229,"type":"article-journal","container-title":"Frontiers in Public Health","DOI":"10.3389/fpubh.2020.575946","ISSN":"2296-2565","journalAbbreviation":"Front. Public Health","language":"en","page":"575946","source":"DOI.org (Crossref)","title":"The Urban Built Environment, Walking and Mental Health Outcomes Among Older Adults: A Pilot Study","title-short":"The Urban Built Environment, Walking and Mental Health Outcomes Among Older Adults","volume":"8","author":[{"family":"Roe","given":"Jenny"},{"family":"Mondschein","given":"Andrew"},{"family":"Neale","given":"Chris"},{"family":"Barnes","given":"Laura"},{"family":"Boukhechba","given":"Medhi"},{"family":"Lopez","given":"Stephanie"}],"issued":{"date-parts":[["2020",9,23]]}}}],"schema":"https://github.com/citation-style-language/schema/raw/master/csl-citation.json"} </w:instrText>
      </w:r>
      <w:r w:rsidR="003A53AD" w:rsidRPr="002E55DE">
        <w:rPr>
          <w:rFonts w:ascii="Times New Roman" w:hAnsi="Times New Roman"/>
          <w:bCs/>
          <w:szCs w:val="24"/>
        </w:rPr>
        <w:fldChar w:fldCharType="separate"/>
      </w:r>
      <w:r w:rsidR="00A5408A" w:rsidRPr="002E55DE">
        <w:rPr>
          <w:rFonts w:ascii="Times New Roman" w:hAnsi="Times New Roman"/>
        </w:rPr>
        <w:t>Chen et al., 2021</w:t>
      </w:r>
      <w:r w:rsidR="00435F79" w:rsidRPr="002E55DE">
        <w:rPr>
          <w:rFonts w:ascii="Times New Roman" w:hAnsi="Times New Roman"/>
        </w:rPr>
        <w:t xml:space="preserve">, and </w:t>
      </w:r>
      <w:r w:rsidR="00A5408A" w:rsidRPr="002E55DE">
        <w:rPr>
          <w:rFonts w:ascii="Times New Roman" w:hAnsi="Times New Roman"/>
        </w:rPr>
        <w:t>Chin et al., 2022</w:t>
      </w:r>
      <w:r w:rsidR="00435F79" w:rsidRPr="002E55DE">
        <w:rPr>
          <w:rFonts w:ascii="Times New Roman" w:hAnsi="Times New Roman"/>
        </w:rPr>
        <w:t>)</w:t>
      </w:r>
      <w:r w:rsidR="00A5408A" w:rsidRPr="002E55DE">
        <w:rPr>
          <w:rFonts w:ascii="Times New Roman" w:hAnsi="Times New Roman"/>
        </w:rPr>
        <w:t xml:space="preserve"> </w:t>
      </w:r>
      <w:r w:rsidR="003A53AD" w:rsidRPr="002E55DE">
        <w:rPr>
          <w:rFonts w:ascii="Times New Roman" w:hAnsi="Times New Roman"/>
          <w:bCs/>
          <w:szCs w:val="24"/>
        </w:rPr>
        <w:fldChar w:fldCharType="end"/>
      </w:r>
      <w:r w:rsidRPr="002E55DE">
        <w:rPr>
          <w:rFonts w:ascii="Times New Roman" w:hAnsi="Times New Roman"/>
          <w:bCs/>
          <w:szCs w:val="24"/>
        </w:rPr>
        <w:t xml:space="preserve"> </w:t>
      </w:r>
      <w:bookmarkEnd w:id="15"/>
      <w:r w:rsidRPr="002E55DE">
        <w:rPr>
          <w:rFonts w:ascii="Times New Roman" w:hAnsi="Times New Roman"/>
          <w:bCs/>
          <w:szCs w:val="24"/>
        </w:rPr>
        <w:t xml:space="preserve">and physical wellness (through </w:t>
      </w:r>
      <w:r w:rsidR="00D456D3" w:rsidRPr="002E55DE">
        <w:rPr>
          <w:rFonts w:ascii="Times New Roman" w:hAnsi="Times New Roman"/>
          <w:bCs/>
          <w:szCs w:val="24"/>
        </w:rPr>
        <w:t>reduced cardiovascular disease risks</w:t>
      </w:r>
      <w:r w:rsidR="004D33B4" w:rsidRPr="002E55DE">
        <w:rPr>
          <w:rFonts w:ascii="Times New Roman" w:hAnsi="Times New Roman"/>
          <w:bCs/>
          <w:szCs w:val="24"/>
        </w:rPr>
        <w:t>,</w:t>
      </w:r>
      <w:r w:rsidR="001C71A2" w:rsidRPr="002E55DE">
        <w:rPr>
          <w:rFonts w:ascii="Times New Roman" w:eastAsiaTheme="minorEastAsia" w:hAnsi="Times New Roman" w:hint="eastAsia"/>
          <w:bCs/>
          <w:szCs w:val="24"/>
          <w:lang w:eastAsia="ko-KR"/>
        </w:rPr>
        <w:t xml:space="preserve"> enhanced </w:t>
      </w:r>
      <w:r w:rsidR="00E91F2E" w:rsidRPr="002E55DE">
        <w:rPr>
          <w:rFonts w:ascii="Times New Roman" w:eastAsiaTheme="minorEastAsia" w:hAnsi="Times New Roman" w:hint="eastAsia"/>
          <w:bCs/>
          <w:szCs w:val="24"/>
          <w:lang w:eastAsia="ko-KR"/>
        </w:rPr>
        <w:t>control on</w:t>
      </w:r>
      <w:r w:rsidR="0048714E" w:rsidRPr="002E55DE">
        <w:rPr>
          <w:rFonts w:ascii="Times New Roman" w:eastAsiaTheme="minorEastAsia" w:hAnsi="Times New Roman" w:hint="eastAsia"/>
          <w:bCs/>
          <w:szCs w:val="24"/>
          <w:lang w:eastAsia="ko-KR"/>
        </w:rPr>
        <w:t xml:space="preserve"> blood </w:t>
      </w:r>
      <w:r w:rsidR="00E54322" w:rsidRPr="002E55DE">
        <w:rPr>
          <w:rFonts w:ascii="Times New Roman" w:eastAsiaTheme="minorEastAsia" w:hAnsi="Times New Roman" w:hint="eastAsia"/>
          <w:bCs/>
          <w:szCs w:val="24"/>
          <w:lang w:eastAsia="ko-KR"/>
        </w:rPr>
        <w:t>glucose</w:t>
      </w:r>
      <w:r w:rsidR="0048714E" w:rsidRPr="002E55DE">
        <w:rPr>
          <w:rFonts w:ascii="Times New Roman" w:eastAsiaTheme="minorEastAsia" w:hAnsi="Times New Roman" w:hint="eastAsia"/>
          <w:bCs/>
          <w:szCs w:val="24"/>
          <w:lang w:eastAsia="ko-KR"/>
        </w:rPr>
        <w:t xml:space="preserve"> and pressure</w:t>
      </w:r>
      <w:r w:rsidR="00662512" w:rsidRPr="002E55DE">
        <w:rPr>
          <w:rFonts w:ascii="Times New Roman" w:hAnsi="Times New Roman"/>
          <w:bCs/>
          <w:szCs w:val="24"/>
        </w:rPr>
        <w:t xml:space="preserve">; see, for example, </w:t>
      </w:r>
      <w:bookmarkStart w:id="16" w:name="_Hlk169960151"/>
      <w:r w:rsidR="0048314D"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{"citationID":"gGNm8MGI","properties":{"formattedCitation":"(Morita et al., 2019; Omura et al., 2019; Rizka et al., 2022; Yates et al., 2020)","plainCitation":"(Morita et al., 2019; Omura et al., 2019; Rizka et al., 2022; Yates et al., 2020)","dontUpdate":true,"noteIndex":0},"citationItems":[{"id":"4nY7bDZH/IPSy5dQv","uris":["http://zotero.org/users/10132210/items/CCU8QVTG"],"itemData":{"id":1234,"type":"article-journal","abstract":"This study examined the effect of an exercise intervention on the composition of the intestinal microbiota in healthy elderly women. Thirty-two sedentary women that were aged 65 years and older participated in a 12-week, non-randomized comparative trial. The subjects were allocated to two groups receiving different exercise interventions, trunk muscle training (TM), or aerobic exercise training (AE). AE included brisk walking, i.e., at an intensity of ≥ 3 metabolic equivalents (METs). The composition of the intestinal microbiota in fecal samples was determined before and after the training period. We also assessed the daily physical activity using an accelerometer, trunk muscle strength by the modified Kraus–Weber (K-W) test, and cardiorespiratory fitness by a 6-min. walk test (6MWT). K-W test scores and distance achieved during the 6MWT (6MWD) improved in both groups. The relative abundance of intestinal Bacteroides only significantly increased in the AE group, particularly in subjects showing increases in the time spent in brisk walking. Overall, the increases in intestinal Bacteroides following the exercise intervention were associated with increases in 6MWD. In conclusion, aerobic exercise training that targets an increase of the time spent in brisk walking may increase intestinal Bacteroides in association with improved cardiorespiratory fitness in healthy elderly women.","container-title":"Nutrients","DOI":"10.3390/nu11040868","ISSN":"2072-6643","issue":"4","journalAbbreviation":"Nutrients","language":"en","license":"https://creativecommons.org/licenses/by/4.0/","page":"868","source":"DOI.org (Crossref)","title":"Aerobic Exercise Training with Brisk Walking Increases Intestinal Bacteroides in Healthy Elderly Women","volume":"11","author":[{"literal":"Morita"},{"literal":"Yokoyama"},{"literal":"Imai"},{"literal":"Takeda"},{"literal":"Ota"},{"literal":"Kawai"},{"literal":"Hisada"},{"literal":"Emoto"},{"literal":"Suzuki"},{"literal":"Okazaki"}],"issued":{"date-parts":[["2019",4,17]]}}},{"id":"4nY7bDZH/Ls9WkR00","uris":["http://zotero.org/users/10132210/items/SQ7DCVWN"],"itemData":{"id":1236,"type":"article-journal","container-title":"Preventing Chronic Disease","DOI":"10.5888/pcd16.180690","ISSN":"1545-1151","journalAbbreviation":"Prev. Chronic Dis.","page":"180690","source":"DOI.org (Crossref)","title":"Walking as an Opportunity for Cardiovascular Disease Prevention","volume":"16","author":[{"family":"Omura","given":"John D."},{"family":"Ussery","given":"Emily N."},{"family":"Loustalot","given":"Fleetwood"},{"family":"Fulton","given":"Janet E."},{"family":"Carlson","given":"Susan A."}],"issued":{"date-parts":[["2019",5,30]]}}},{"id":"4nY7bDZH/SNJ9P0WY","uris":["http://zotero.org/users/10132210/items/BKLTP2T5"],"itemData":{"id":1224,"type":"article-journal","abstract":"Background: Walking exercise is a physical activity that stimulates various components of physical fitness. Particularly in the elderly, it improves blood circulation, strengthens bones, lowers blood pressure and glucose. Objective: This study aimed to determine the effect of walking exercise on blood pressure and blood glucose in the elderly. Method: This research was experimental research that used a quantitative approach. Participants were elderly aged 60 years with a history of hypertension and high blood glucose. The samples in this study were 34 people who were determined based on a simple random sampling technique. The experimental group was given physical activity treatment for walking 3x a week with mild to moderate intensity for 60 minutes for three weeks. The control group did not participate in any treatment. The walking program took place outside on a 1 mile/1,609 meter track. Before beginning the exercise program, participants should warm up for 5-10 minutes with a leisurely walk. In this case, the participant’s mileage is 1 mile. The instrument used to measure blood pressure in this study was an aneroid sphygmomanometer, while a glucometer was used to measure blood glucose levels. Results: This study found that: Based on the Mann-Whitney test, it showed that there was a significant effect of walking exercise on decreasing systolic blood pressure (p  0.005), diastolic blood pressure (p  0.018), and reducing blood sugar (p  0.031). Conclusion: Walking exercise has a significant effect on blood pressure and blood glucose in the elderly.","container-title":"International Journal of Kinesiology and Sports Science","DOI":"10.7575/aiac.ijkss.v.10n.1p.30","ISSN":"2202-946X","issue":"1","journalAbbreviation":"IJKSS","license":"http://creativecommons.org/licenses/by/4.0","page":"30-35","source":"DOI.org (Crossref)","title":"The Effect of Walking Exercise on Blood Pressure and Blood Glucose in the Elderly","volume":"10","author":[{"family":"Rizka","given":"Muhammad"},{"family":"Laksmi Ambardini","given":"Rachmah"},{"family":"Adhi Virama","given":"La Ode"},{"family":"Yudhistira","given":"Dewangga"}],"issued":{"date-parts":[["2022",1,30]]}}},{"id":"4nY7bDZH/lbaBge4h","uris":["http://zotero.org/users/10132210/items/55D4EUTQ"],"itemData":{"id":1232,"type":"article-journal","abstract":"Abstract\n            \n              Background\n              Prolonged sitting is common in older adults and is associated with insulin resistance and poor cardiometabolic health. We investigate whether breaking prolonged sitting with regular short bouts of standing or light walking improves postprandial metabolism in older white European and South Asian adults and whether effects are modified by ethnic group.\n            \n            \n              Methods\n              Thirty South Asian (15 women) and 30 white European (14 women) older adults (aged 65–79 years) undertook three experimental conditions in random order. (a) Prolonged sitting: continuous sitting during an observation period if 7.5 hours consuming two standardized mixed meals. (b) Standing breaks: sitting interrupted with 5 minutes of standing every 30 minutes (accumulating 60 minutes of standing over the observation period). (c) Walking breaks: sitting interrupted with 5 minutes of self-paced light walking every 30 minutes (accumulating 60 minutes of walking). Blood samples (glucose, insulin, triglycerides) and blood pressure were sampled regularly throughout each condition.\n            \n            \n              Results\n              Compared with prolonged sitting, walking breaks lowered postprandial insulin by 16.3 mU/L, (95% CI: 19.7, 22.0) with greater reductions (p = .029) seen in South Asians (22.4 mU/L; 12.4, 32.4) than white Europeans (10.3 mU/L; 5.9, 14.7). Glucose (0.3 mmol/L; 0.1, 0.5) and blood pressure (4 mm Hg; 2, 6), but not triglycerides, were lower with walking breaks, with no ethnic differences. Standing breaks did not improve any outcome.\n            \n            \n              Conclusions\n              Breaking prolonged sitting with short bouts of light walking, but not standing, resulted in clinically meaningful improvements in markers of metabolic health in older adults, with South Asians gaining a greater reduction in postprandial insulin.\n            \n            \n              Trial Registration\n              NCT02453204","container-title":"The Journals of Gerontology: Series A","DOI":"10.1093/gerona/gly252","ISSN":"1079-5006, 1758-535X","issue":"1","language":"en","license":"http://creativecommons.org/licenses/by/4.0/","page":"139-146","source":"DOI.org (Crossref)","title":"Metabolic Effects of Breaking Prolonged Sitting With Standing or Light Walking in Older South Asians and White Europeans: A Randomized Acute Study","title-short":"Metabolic Effects of Breaking Prolonged Sitting With Standing or Light Walking in Older South Asians and White Europeans","volume":"75","author":[{"family":"Yates","given":"Thomas"},{"family":"Edwardson","given":"Charlotte L"},{"family":"Celis-Morales","given":"Carlos"},{"family":"Biddle","given":"Stuart J H"},{"family":"Bodicoat","given":"Danielle"},{"family":"Davies","given":"Melanie J"},{"family":"Esliger","given":"Dale"},{"family":"Henson","given":"Joe"},{"family":"Kazi","given":"Aadil"},{"family":"Khunti","given":"Kamesh"},{"family":"Sattar","given":"Naveed"},{"family":"Sinclair","given":"Alan J"},{"family":"Rowlands","given":"Alex"},{"family":"Velayudhan","given":"Latha"},{"family":"Zaccardi","given":"Francesco"},{"family":"Gill","given":"Jason M R"}],"editor":[{"family":"Newman","given":"Anne"}],"issued":{"date-parts":[["2020",1,1]]}}}],"schema":"https://github.com/citation-style-language/schema/raw/master/csl-citation.json"} </w:instrText>
      </w:r>
      <w:r w:rsidR="0048314D" w:rsidRPr="002E55DE">
        <w:rPr>
          <w:rFonts w:ascii="Times New Roman" w:hAnsi="Times New Roman"/>
          <w:bCs/>
          <w:szCs w:val="24"/>
        </w:rPr>
        <w:fldChar w:fldCharType="separate"/>
      </w:r>
      <w:r w:rsidR="003D2BF9" w:rsidRPr="002E55DE">
        <w:rPr>
          <w:rFonts w:ascii="Times New Roman" w:hAnsi="Times New Roman"/>
        </w:rPr>
        <w:t>Morita et al., 2019</w:t>
      </w:r>
      <w:r w:rsidR="00435F79" w:rsidRPr="002E55DE">
        <w:rPr>
          <w:rFonts w:ascii="Times New Roman" w:hAnsi="Times New Roman"/>
        </w:rPr>
        <w:t>,</w:t>
      </w:r>
      <w:r w:rsidR="003D2BF9" w:rsidRPr="002E55DE">
        <w:rPr>
          <w:rFonts w:ascii="Times New Roman" w:hAnsi="Times New Roman"/>
        </w:rPr>
        <w:t xml:space="preserve"> Omura et al., 2019</w:t>
      </w:r>
      <w:r w:rsidR="00435F79" w:rsidRPr="002E55DE">
        <w:rPr>
          <w:rFonts w:ascii="Times New Roman" w:hAnsi="Times New Roman"/>
        </w:rPr>
        <w:t>,</w:t>
      </w:r>
      <w:r w:rsidR="003D2BF9" w:rsidRPr="002E55DE">
        <w:rPr>
          <w:rFonts w:ascii="Times New Roman" w:hAnsi="Times New Roman"/>
        </w:rPr>
        <w:t xml:space="preserve"> </w:t>
      </w:r>
      <w:r w:rsidR="00435F79" w:rsidRPr="002E55DE">
        <w:rPr>
          <w:rFonts w:ascii="Times New Roman" w:hAnsi="Times New Roman"/>
        </w:rPr>
        <w:t xml:space="preserve">Yates et al., 2020, and </w:t>
      </w:r>
      <w:r w:rsidR="003D2BF9" w:rsidRPr="002E55DE">
        <w:rPr>
          <w:rFonts w:ascii="Times New Roman" w:hAnsi="Times New Roman"/>
        </w:rPr>
        <w:t>Rizka et al., 2022)</w:t>
      </w:r>
      <w:r w:rsidR="0048314D" w:rsidRPr="002E55DE">
        <w:rPr>
          <w:rFonts w:ascii="Times New Roman" w:hAnsi="Times New Roman"/>
          <w:bCs/>
          <w:szCs w:val="24"/>
        </w:rPr>
        <w:fldChar w:fldCharType="end"/>
      </w:r>
      <w:bookmarkEnd w:id="16"/>
      <w:r w:rsidRPr="002E55DE">
        <w:rPr>
          <w:rFonts w:ascii="Times New Roman" w:hAnsi="Times New Roman"/>
          <w:bCs/>
          <w:szCs w:val="24"/>
        </w:rPr>
        <w:t xml:space="preserve">. </w:t>
      </w:r>
      <w:r w:rsidR="00DB2932" w:rsidRPr="002E55DE">
        <w:rPr>
          <w:rFonts w:ascii="Times New Roman" w:hAnsi="Times New Roman"/>
          <w:bCs/>
          <w:szCs w:val="24"/>
        </w:rPr>
        <w:t xml:space="preserve">Research on the influence of </w:t>
      </w:r>
      <w:r w:rsidR="00D456D3" w:rsidRPr="002E55DE">
        <w:rPr>
          <w:rFonts w:ascii="Times New Roman" w:hAnsi="Times New Roman"/>
          <w:bCs/>
          <w:szCs w:val="24"/>
        </w:rPr>
        <w:t>companionship</w:t>
      </w:r>
      <w:r w:rsidR="00662512" w:rsidRPr="002E55DE">
        <w:rPr>
          <w:rFonts w:ascii="Times New Roman" w:hAnsi="Times New Roman"/>
          <w:bCs/>
          <w:szCs w:val="24"/>
        </w:rPr>
        <w:t xml:space="preserve"> </w:t>
      </w:r>
      <w:r w:rsidR="00DB2932" w:rsidRPr="002E55DE">
        <w:rPr>
          <w:rFonts w:ascii="Times New Roman" w:hAnsi="Times New Roman"/>
          <w:bCs/>
          <w:szCs w:val="24"/>
        </w:rPr>
        <w:t>walking</w:t>
      </w:r>
      <w:r w:rsidR="00A64B26" w:rsidRPr="002E55DE">
        <w:rPr>
          <w:rFonts w:ascii="Times New Roman" w:hAnsi="Times New Roman"/>
          <w:bCs/>
          <w:szCs w:val="24"/>
        </w:rPr>
        <w:t xml:space="preserve">, </w:t>
      </w:r>
      <w:r w:rsidR="00662512" w:rsidRPr="002E55DE">
        <w:rPr>
          <w:rFonts w:ascii="Times New Roman" w:hAnsi="Times New Roman"/>
          <w:bCs/>
          <w:szCs w:val="24"/>
        </w:rPr>
        <w:t xml:space="preserve">especially among older adults, has also been quite extensive, </w:t>
      </w:r>
      <w:r w:rsidR="00A64B26" w:rsidRPr="002E55DE">
        <w:rPr>
          <w:rFonts w:ascii="Times New Roman" w:hAnsi="Times New Roman"/>
          <w:bCs/>
          <w:szCs w:val="24"/>
        </w:rPr>
        <w:t>suggesting reduced loneliness feelings in everyday life</w:t>
      </w:r>
      <w:r w:rsidR="00AA35CD" w:rsidRPr="002E55DE">
        <w:rPr>
          <w:rFonts w:ascii="Times New Roman" w:hAnsi="Times New Roman"/>
          <w:bCs/>
          <w:szCs w:val="24"/>
        </w:rPr>
        <w:t>,</w:t>
      </w:r>
      <w:r w:rsidR="00A64B26" w:rsidRPr="002E55DE">
        <w:rPr>
          <w:rFonts w:ascii="Times New Roman" w:hAnsi="Times New Roman"/>
          <w:bCs/>
          <w:szCs w:val="24"/>
        </w:rPr>
        <w:t xml:space="preserve"> </w:t>
      </w:r>
      <w:r w:rsidR="00AA35CD" w:rsidRPr="002E55DE">
        <w:rPr>
          <w:rFonts w:ascii="Times New Roman" w:hAnsi="Times New Roman"/>
          <w:bCs/>
          <w:szCs w:val="24"/>
        </w:rPr>
        <w:t>improved functional capability, lower body fat</w:t>
      </w:r>
      <w:r w:rsidR="00B5374C" w:rsidRPr="002E55DE">
        <w:rPr>
          <w:rFonts w:ascii="Times New Roman" w:hAnsi="Times New Roman"/>
          <w:bCs/>
          <w:szCs w:val="24"/>
        </w:rPr>
        <w:t xml:space="preserve"> indices</w:t>
      </w:r>
      <w:r w:rsidR="00AA35CD" w:rsidRPr="002E55DE">
        <w:rPr>
          <w:rFonts w:ascii="Times New Roman" w:hAnsi="Times New Roman"/>
          <w:bCs/>
          <w:szCs w:val="24"/>
        </w:rPr>
        <w:t xml:space="preserve">, </w:t>
      </w:r>
      <w:r w:rsidR="00B5374C" w:rsidRPr="002E55DE">
        <w:rPr>
          <w:rFonts w:ascii="Times New Roman" w:hAnsi="Times New Roman"/>
          <w:bCs/>
          <w:szCs w:val="24"/>
        </w:rPr>
        <w:t>better sleep</w:t>
      </w:r>
      <w:r w:rsidR="004D33B4" w:rsidRPr="002E55DE">
        <w:rPr>
          <w:rFonts w:ascii="Times New Roman" w:hAnsi="Times New Roman"/>
          <w:bCs/>
          <w:szCs w:val="24"/>
        </w:rPr>
        <w:t>, and enhanced happiness</w:t>
      </w:r>
      <w:r w:rsidR="00B5374C" w:rsidRPr="002E55DE">
        <w:rPr>
          <w:rFonts w:ascii="Times New Roman" w:hAnsi="Times New Roman"/>
          <w:bCs/>
          <w:szCs w:val="24"/>
        </w:rPr>
        <w:t xml:space="preserve"> </w:t>
      </w:r>
      <w:r w:rsidR="004D33B4" w:rsidRPr="002E55DE">
        <w:rPr>
          <w:rFonts w:ascii="Times New Roman" w:hAnsi="Times New Roman"/>
          <w:bCs/>
          <w:szCs w:val="24"/>
        </w:rPr>
        <w:t>mood</w:t>
      </w:r>
      <w:r w:rsidR="00051AC1" w:rsidRPr="002E55DE">
        <w:rPr>
          <w:rFonts w:ascii="Times New Roman" w:eastAsiaTheme="minorEastAsia" w:hAnsi="Times New Roman" w:hint="eastAsia"/>
          <w:bCs/>
          <w:szCs w:val="24"/>
          <w:lang w:eastAsia="ko-KR"/>
        </w:rPr>
        <w:t xml:space="preserve"> (</w:t>
      </w:r>
      <w:r w:rsidR="00051AC1" w:rsidRPr="002E55DE">
        <w:rPr>
          <w:rFonts w:ascii="Times New Roman" w:eastAsiaTheme="minorEastAsia" w:hAnsi="Times New Roman"/>
          <w:bCs/>
          <w:szCs w:val="24"/>
          <w:lang w:eastAsia="ko-KR"/>
        </w:rPr>
        <w:t>see, for examp</w:t>
      </w:r>
      <w:r w:rsidR="00152F8C" w:rsidRPr="002E55DE">
        <w:rPr>
          <w:rFonts w:ascii="Times New Roman" w:eastAsiaTheme="minorEastAsia" w:hAnsi="Times New Roman"/>
          <w:bCs/>
          <w:szCs w:val="24"/>
          <w:lang w:eastAsia="ko-KR"/>
        </w:rPr>
        <w:t>le</w:t>
      </w:r>
      <w:bookmarkStart w:id="17" w:name="_Hlk169960193"/>
      <w:r w:rsidR="00152F8C" w:rsidRPr="002E55DE">
        <w:rPr>
          <w:rFonts w:ascii="Times New Roman" w:eastAsiaTheme="minorEastAsia" w:hAnsi="Times New Roman"/>
          <w:bCs/>
          <w:szCs w:val="24"/>
          <w:lang w:eastAsia="ko-KR"/>
        </w:rPr>
        <w:t xml:space="preserve">, </w:t>
      </w:r>
      <w:r w:rsidR="00435F79" w:rsidRPr="002E55DE">
        <w:rPr>
          <w:rFonts w:ascii="Times New Roman" w:hAnsi="Times New Roman"/>
        </w:rPr>
        <w:t xml:space="preserve">Zhu </w:t>
      </w:r>
      <w:r w:rsidR="00435F79" w:rsidRPr="002E55DE">
        <w:rPr>
          <w:rFonts w:ascii="Times New Roman" w:eastAsiaTheme="minorEastAsia" w:hAnsi="Times New Roman"/>
          <w:lang w:eastAsia="ko-KR"/>
        </w:rPr>
        <w:t>and</w:t>
      </w:r>
      <w:r w:rsidR="00435F79" w:rsidRPr="002E55DE">
        <w:rPr>
          <w:rFonts w:ascii="Times New Roman" w:hAnsi="Times New Roman"/>
        </w:rPr>
        <w:t xml:space="preserve"> Fan, 2018, </w:t>
      </w:r>
      <w:r w:rsidR="00152F8C" w:rsidRPr="002E55DE">
        <w:rPr>
          <w:rFonts w:ascii="Times New Roman" w:eastAsiaTheme="minorEastAsia" w:hAnsi="Times New Roman"/>
          <w:bCs/>
          <w:szCs w:val="24"/>
          <w:lang w:eastAsia="ko-KR"/>
        </w:rPr>
        <w:fldChar w:fldCharType="begin"/>
      </w:r>
      <w:r w:rsidR="00A254CC" w:rsidRPr="002E55DE">
        <w:rPr>
          <w:rFonts w:ascii="Times New Roman" w:eastAsiaTheme="minorEastAsia" w:hAnsi="Times New Roman"/>
          <w:bCs/>
          <w:szCs w:val="24"/>
          <w:lang w:eastAsia="ko-KR"/>
        </w:rPr>
        <w:instrText xml:space="preserve"> ADDIN ZOTERO_ITEM CSL_CITATION {"citationID":"Kar5nbJG","properties":{"formattedCitation":"(G\\uc0\\u252{}m\\uc0\\u252{}\\uc0\\u351{} \\uc0\\u350{}ekerci &amp; K\\uc0\\u305{}r Bi\\uc0\\u231{}er, 2019; Kritz et al., 2021; Mizuta et al., 2023; Zhu &amp; Fan, 2018)","plainCitation":"(Gümüş Şekerci &amp; Kır Biçer, 2019; Kritz et al., 2021; Mizuta et al., 2023; Zhu &amp; Fan, 2018)","dontUpdate":true,"noteIndex":0},"citationItems":[{"id":"4nY7bDZH/V2pAla1G","uris":["http://zotero.org/users/10132210/items/VIHI7YXL"],"itemData":{"id":1219,"type":"article-journal","note":"publisher: Türk Geriatri Derneği","title":"The effect of walking exercise on quality of life and sleep in elderly individuals: Randomized controlled study","author":[{"family":"Gümüş Şekerci","given":"Yasemin"},{"family":"Kır Biçer","given":"Emine"}],"issued":{"date-parts":[["2019"]]}}},{"id":"4nY7bDZH/Hbiv06zS","uris":["http://zotero.org/users/10132210/items/9F5FSKLX"],"itemData":{"id":947,"type":"article-journal","abstract":"The authors examined whether purposeful walking with peers at least once a week contributes to better behavioral and health outcomes in older adults than primarily walking alone. The authors used a longitudinal cohort design and recruited participants aged 60 years and older (N = 136) at the start of a 16-week walking intervention. Participants who walked on average at least once a week in the ﬁnal 8 weeks of the intervention were included in the analysis (N = 79; 66 females, Mage [SD] = 77.73 [6.91]). The authors found that autonomous motivation, walking self-efﬁcacy, functional capacity, body fat, and physical activity improved more in the walking with peers group compared with the walking alone group, after controlling for whether participants lived alone/with others and their health status. The results extend current literature by providing longitudinal evidence for the added beneﬁts of regular peer-accompanied walking in older adults and highlight the importance of investing in peer-supported interventions.","container-title":"Journal of Aging and Physical Activity","DOI":"10.1123/japa.2020-0091","ISSN":"1063-8652, 1543-267X","issue":"3","language":"en","page":"455-465","source":"DOI.org (Crossref)","title":"“It’s Better Together”: A Nested Longitudinal Study Examining the Benefits of Walking Regularly With Peers Versus Primarily Alone in Older Adults","title-short":"“It’s Better Together”","volume":"29","author":[{"family":"Kritz","given":"Marlene"},{"family":"Thøgersen-Ntoumani","given":"Cecilie"},{"family":"Mullan","given":"Barbara"},{"family":"Stathi","given":"Afroditi"},{"family":"Ntoumanis","given":"Nikos"}],"issued":{"date-parts":[["2021",6,1]]}}},{"id":"4nY7bDZH/W6Ksxp3e","uris":["http://zotero.org/users/10132210/items/2D2N6PF3"],"itemData":{"id":1217,"type":"article-journal","abstract":"Background  Older adults are more likely to experience loneliness than younger people. Moreover, greater loneliness in older adults is associated with poor mental health and increased risk of cardiovascular disease and mortality. Physical activity is an effective intervention for reducing loneliness among older adults. Among physical activities, walking is suitable for older adults, because it is easy and safe to incorporate into daily life. We hypothesized that the association between walking and loneliness depends on the presence of others and the number of people present. The aim of this study is to investigate the association between the context of walking (the number of walkers) and loneliness among community-dwelling older adults.\nMethods  This cross-sectional study included 173 community-dwelling older adults aged 65 or older. Context of walking was classified as non-walking, walking alone (days of walking alone &gt; days of walking with someone), and walking with someone (days of walking alone </w:instrText>
      </w:r>
      <w:r w:rsidR="00A254CC" w:rsidRPr="002E55DE">
        <w:rPr>
          <w:rFonts w:ascii="Times New Roman" w:eastAsiaTheme="minorEastAsia" w:hAnsi="Times New Roman" w:hint="eastAsia"/>
          <w:bCs/>
          <w:szCs w:val="24"/>
          <w:lang w:eastAsia="ko-KR"/>
        </w:rPr>
        <w:instrText>≤</w:instrText>
      </w:r>
      <w:r w:rsidR="00A254CC" w:rsidRPr="002E55DE">
        <w:rPr>
          <w:rFonts w:ascii="Times New Roman" w:eastAsiaTheme="minorEastAsia" w:hAnsi="Times New Roman"/>
          <w:bCs/>
          <w:szCs w:val="24"/>
          <w:lang w:eastAsia="ko-KR"/>
        </w:rPr>
        <w:instrText xml:space="preserve"> days of walking with someone). Loneliness was measured using the Japanese version of the University of California Los Angeles Loneliness Scale. A linear regression model was used to investigate the relationship between context of walking and loneliness, adjusted for age, sex, living situation, social participation, and physical activity excluding walking.\nResults  Data from 171 community-dwelling older adults (mean age = 78.0 years, 59.6% women) were analyzed. After adjustment, walking with someone was associated with lower loneliness than non-walking (adjusted β: -0.51, 95% confidence interval: -1.00, -0.01).\nConclusions  The study’s findings suggest that walking with a companion may effectively prevent or reduce loneliness among older adults.","container-title":"BMC Geriatrics","DOI":"10.1186/s12877-023-04043-5","ISSN":"1471-2318","issue":"1","journalAbbreviation":"BMC Geriatr","language":"en","page":"326","source":"DOI.org (Crossref)","title":"Context of walking and loneliness among community-dwelling older adults: a cross-sectional study","title-short":"Context of walking and loneliness among community-dwelling older adults","volume":"23","author":[{"family":"Mizuta","given":"Sachiko"},{"family":"Uchida","given":"Kazuaki"},{"family":"Sawa","given":"Ryuichi"},{"family":"Nakamura","given":"Junya"},{"family":"Encho","given":"Haruhi"},{"family":"Akisue","given":"Toshihiro"},{"family":"Ono","given":"Rei"}],"issued":{"date-parts":[["2023",5,25]]}}},{"id":"4nY7bDZH/Md3SwzGt","uris":["http://zotero.org/users/10132210/items/UXEPDDRM"],"itemData":{"id":951,"type":"article-journal","abstract":"Positive emotions have long-lasting beneﬁts for human development. Understanding the connections between daily travel behavior and emotional well-being will not only help transportation practitioners identify concrete strategies to improve user experiences of transportation services, but also help health practitioners to identify innovative solutions for improving public health. Prior research on the subject had focused on limited travel behavior dimensions such as travel mode and/or travel duration. Other dimensions such as travel purpose and travel companionship have received limited attention. Using data from the 2012–2013 American Time Use Survey, this paper applied the generalized ordered logistic regression approach and examined how the mode, duration, purpose, and companionship characteristics of a trip shape six diﬀerent emotions during the trip, including happy, meaningful, tired, stressful, sad, and pain. After controlling for personal demographics, health conditions, and residential locations, we ﬁnd that biking is the happiest mode; public transit is the least happy and least meaningful; and utilitarian walking for transportation is associated with all four negative emotions. Trip duration has a negative association with happiness and a positive association with stress. Travel for discretionary purposes such as leisure, exercise, and community activities is generally associated with higher levels of positive emotions and lower levels of negative emotions than travel for work or household maintenance. Trips with eating and drinking purposes appear to be the happiest and trips with the purpose of spiritual and/or volunteering activities appear to be the most meaningful. Travel with family especially children or travel with friends is happier and more meaningful than travel alone. Transportation planners in the U.S. are recommended to promote biking behavior, improve transit user experiences, and implement spatial planning strategies for creating a built environment conducive to shorter trips, more discretionary trips, and more joint trips with family and friends.","container-title":"Transportation Research Part A: Policy and Practice","DOI":"10.1016/j.tra.2018.09.019","ISSN":"09658564","journalAbbreviation":"Transportation Research Part A: Policy and Practice","language":"en","page":"360-373","source":"DOI.org (Crossref)","title":"Daily travel behavior and emotional well-being: Effects of trip mode, duration, purpose, and companionship","title-short":"Daily travel behavior and emotional well-being","volume":"118","author":[{"family":"Zhu","given":"Jing"},{"family":"Fan","given":"Yingling"}],"issued":{"date-parts":[["2018",12]]}}}],"schema":"https://github.com/citation-style-language/schema/raw/master/csl-citation.json"} </w:instrText>
      </w:r>
      <w:r w:rsidR="00152F8C" w:rsidRPr="002E55DE">
        <w:rPr>
          <w:rFonts w:ascii="Times New Roman" w:eastAsiaTheme="minorEastAsia" w:hAnsi="Times New Roman"/>
          <w:bCs/>
          <w:szCs w:val="24"/>
          <w:lang w:eastAsia="ko-KR"/>
        </w:rPr>
        <w:fldChar w:fldCharType="separate"/>
      </w:r>
      <w:r w:rsidR="00BE6407" w:rsidRPr="002E55DE">
        <w:rPr>
          <w:rFonts w:ascii="Times New Roman" w:hAnsi="Times New Roman"/>
        </w:rPr>
        <w:t xml:space="preserve">Gümüş Şekerci </w:t>
      </w:r>
      <w:r w:rsidR="00BE6407" w:rsidRPr="002E55DE">
        <w:rPr>
          <w:rFonts w:ascii="Times New Roman" w:eastAsiaTheme="minorEastAsia" w:hAnsi="Times New Roman"/>
          <w:lang w:eastAsia="ko-KR"/>
        </w:rPr>
        <w:t>and</w:t>
      </w:r>
      <w:r w:rsidR="00BE6407" w:rsidRPr="002E55DE">
        <w:rPr>
          <w:rFonts w:ascii="Times New Roman" w:hAnsi="Times New Roman"/>
        </w:rPr>
        <w:t xml:space="preserve"> Kır Biçer, 2019</w:t>
      </w:r>
      <w:r w:rsidR="00435F79" w:rsidRPr="002E55DE">
        <w:rPr>
          <w:rFonts w:ascii="Times New Roman" w:hAnsi="Times New Roman"/>
        </w:rPr>
        <w:t>,</w:t>
      </w:r>
      <w:r w:rsidR="00BE6407" w:rsidRPr="002E55DE">
        <w:rPr>
          <w:rFonts w:ascii="Times New Roman" w:hAnsi="Times New Roman"/>
        </w:rPr>
        <w:t xml:space="preserve"> Kritz et al., 2021</w:t>
      </w:r>
      <w:r w:rsidR="00435F79" w:rsidRPr="002E55DE">
        <w:rPr>
          <w:rFonts w:ascii="Times New Roman" w:hAnsi="Times New Roman"/>
        </w:rPr>
        <w:t>, and</w:t>
      </w:r>
      <w:r w:rsidR="00BE6407" w:rsidRPr="002E55DE">
        <w:rPr>
          <w:rFonts w:ascii="Times New Roman" w:hAnsi="Times New Roman"/>
        </w:rPr>
        <w:t xml:space="preserve"> Mizuta et al., 2023)</w:t>
      </w:r>
      <w:r w:rsidR="00152F8C" w:rsidRPr="002E55DE">
        <w:rPr>
          <w:rFonts w:ascii="Times New Roman" w:eastAsiaTheme="minorEastAsia" w:hAnsi="Times New Roman"/>
          <w:bCs/>
          <w:szCs w:val="24"/>
          <w:lang w:eastAsia="ko-KR"/>
        </w:rPr>
        <w:fldChar w:fldCharType="end"/>
      </w:r>
      <w:bookmarkEnd w:id="17"/>
      <w:r w:rsidR="00E63022" w:rsidRPr="002E55DE">
        <w:rPr>
          <w:rFonts w:ascii="Times New Roman" w:hAnsi="Times New Roman"/>
          <w:bCs/>
          <w:szCs w:val="24"/>
        </w:rPr>
        <w:t>.</w:t>
      </w:r>
      <w:r w:rsidR="00AA35CD" w:rsidRPr="002E55DE">
        <w:rPr>
          <w:rFonts w:ascii="Times New Roman" w:hAnsi="Times New Roman"/>
          <w:bCs/>
          <w:szCs w:val="24"/>
        </w:rPr>
        <w:t xml:space="preserve"> </w:t>
      </w:r>
      <w:r w:rsidR="00A64B26" w:rsidRPr="002E55DE">
        <w:rPr>
          <w:rFonts w:ascii="Times New Roman" w:hAnsi="Times New Roman"/>
          <w:bCs/>
          <w:szCs w:val="24"/>
        </w:rPr>
        <w:t xml:space="preserve">Extensive </w:t>
      </w:r>
      <w:r w:rsidR="00E63022" w:rsidRPr="002E55DE">
        <w:rPr>
          <w:rFonts w:ascii="Times New Roman" w:hAnsi="Times New Roman"/>
          <w:bCs/>
          <w:szCs w:val="24"/>
        </w:rPr>
        <w:t xml:space="preserve">and </w:t>
      </w:r>
      <w:r w:rsidR="004D33B4" w:rsidRPr="002E55DE">
        <w:rPr>
          <w:rFonts w:ascii="Times New Roman" w:hAnsi="Times New Roman"/>
          <w:bCs/>
          <w:szCs w:val="24"/>
        </w:rPr>
        <w:t xml:space="preserve">relatively </w:t>
      </w:r>
      <w:r w:rsidR="00A64B26" w:rsidRPr="002E55DE">
        <w:rPr>
          <w:rFonts w:ascii="Times New Roman" w:hAnsi="Times New Roman"/>
          <w:bCs/>
          <w:szCs w:val="24"/>
        </w:rPr>
        <w:t xml:space="preserve">recent meta-reviews of the benefits of walking </w:t>
      </w:r>
      <w:r w:rsidR="00B5374C" w:rsidRPr="002E55DE">
        <w:rPr>
          <w:rFonts w:ascii="Times New Roman" w:hAnsi="Times New Roman"/>
          <w:bCs/>
          <w:szCs w:val="24"/>
        </w:rPr>
        <w:t xml:space="preserve">as a physical activity </w:t>
      </w:r>
      <w:r w:rsidR="00A64B26" w:rsidRPr="002E55DE">
        <w:rPr>
          <w:rFonts w:ascii="Times New Roman" w:hAnsi="Times New Roman"/>
          <w:bCs/>
          <w:szCs w:val="24"/>
        </w:rPr>
        <w:t xml:space="preserve">for health and quality-of-life reasons, especially for older adults, are available in </w:t>
      </w:r>
      <w:bookmarkStart w:id="18" w:name="_Hlk169960229"/>
      <w:r w:rsidR="00435F79" w:rsidRPr="002E55DE">
        <w:rPr>
          <w:rFonts w:ascii="Times New Roman" w:hAnsi="Times New Roman"/>
        </w:rPr>
        <w:t xml:space="preserve">Meads </w:t>
      </w:r>
      <w:r w:rsidR="00435F79" w:rsidRPr="002E55DE">
        <w:rPr>
          <w:rFonts w:ascii="Times New Roman" w:eastAsiaTheme="minorEastAsia" w:hAnsi="Times New Roman"/>
          <w:lang w:eastAsia="ko-KR"/>
        </w:rPr>
        <w:t>and</w:t>
      </w:r>
      <w:r w:rsidR="00435F79" w:rsidRPr="002E55DE">
        <w:rPr>
          <w:rFonts w:ascii="Times New Roman" w:hAnsi="Times New Roman"/>
        </w:rPr>
        <w:t xml:space="preserve"> Exley </w:t>
      </w:r>
      <w:r w:rsidR="00435F79" w:rsidRPr="002E55DE">
        <w:rPr>
          <w:rFonts w:ascii="Times New Roman" w:eastAsiaTheme="minorEastAsia" w:hAnsi="Times New Roman"/>
          <w:lang w:eastAsia="ko-KR"/>
        </w:rPr>
        <w:t>(</w:t>
      </w:r>
      <w:r w:rsidR="00435F79" w:rsidRPr="002E55DE">
        <w:rPr>
          <w:rFonts w:ascii="Times New Roman" w:hAnsi="Times New Roman"/>
        </w:rPr>
        <w:t>2018</w:t>
      </w:r>
      <w:r w:rsidR="00435F79" w:rsidRPr="002E55DE">
        <w:rPr>
          <w:rFonts w:ascii="Times New Roman" w:eastAsiaTheme="minorEastAsia" w:hAnsi="Times New Roman"/>
          <w:lang w:eastAsia="ko-KR"/>
        </w:rPr>
        <w:t xml:space="preserve">), </w:t>
      </w:r>
      <w:r w:rsidR="00ED17B2"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{"citationID":"YNmhRLDt","properties":{"formattedCitation":"(Bushman, 2020; Marquez et al., 2020; Meads &amp; Exley, 2018; Sithichoksakulchai et al., 2022; Wei et al., 2022)","plainCitation":"(Bushman, 2020; Marquez et al., 2020; Meads &amp; Exley, 2018; Sithichoksakulchai et al., 2022; Wei et al., 2022)","dontUpdate":true,"noteIndex":0},"citationItems":[{"id":"4nY7bDZH/6ArjPzNw","uris":["http://zotero.org/users/10132210/items/KLJ2L284"],"itemData":{"id":1223,"type":"article-journal","container-title":"ACSM'S Health &amp; Fitness Journal","DOI":"10.1249/FIT.0000000000000533","ISSN":"1536-593X, 1091-5397","issue":"1","journalAbbreviation":"ACSM's Health and Fitness Journal","language":"en","page":"5-10","source":"DOI.org (Crossref)","title":"Exercise for Prevention of Chronic Diseases","volume":"24","author":[{"family":"Bushman","given":"Barbara A."}],"issued":{"date-parts":[["2020",1]]}}},{"id":"4nY7bDZH/P1pVSRlm","uris":["http://zotero.org/users/10132210/items/XRCC2S6V"],"itemData":{"id":1216,"type":"article-journal","abstract":"Maintaining or improving quality of life (QoL) and well-being is a universal goal across the lifespan. Being physically active has been suggested as one way to enhance QoL and well-being. In this systematic review, conducted in part for the 2018 U.S. Health and Human Services Physical Activity Guidelines for Americans Scientific Advisory Committee Report, we examined the relationship between physical activity (PA) and QoL and well-being experienced by the general population across the lifespan and by persons with psychiatric and neurologic conditions. Systematic reviews, meta-analyses, and pooled analyses from 2006 to 2018 were used for the evidence base. Strong evidence (predominantly from randomized controlled trials [RCTs]) demonstrated that, for adults aged 18–65 years and older adults (primarily 65 years and older), PA improves QoL and well-being when compared with minimal or no-treatment controls. Moderate evidence indicated that PA improves QoL and well-being in individuals with schizophrenia and Parkinson’s disease, and limited evidence indicated that PA improves QoL and well-being for youth and for adults with major clinical depression or bipolar disorder. Insufficient evidence existed for individuals with dementia because of a small number of studies with mixed results. Future highquality research designs should include RCTs involving longer interventions testing different modes and intensities of PA in diverse populations of healthy people and individuals with cognitive (e.g., dementia) and mental health conditions (e.g., schizophrenia) to precisely characterize the effects of different forms of PA on aspects of QoL and well-being.","container-title":"Translational Behavioral Medicine","DOI":"10.1093/tbm/ibz198","ISSN":"1869-6716, 1613-9860","issue":"5","language":"en","license":"https://academic.oup.com/journals/pages/open_access/funder_policies/chorus/standard_publication_model","page":"1098-1109","source":"DOI.org (Crossref)","title":"A systematic review of physical activity and quality of life and well-being","volume":"10","author":[{"family":"Marquez","given":"David X"},{"family":"Aguiñaga","given":"Susan"},{"family":"Vásquez","given":"Priscilla M"},{"family":"Conroy","given":"David E"},{"family":"Erickson","given":"Kirk I"},{"family":"Hillman","given":"Charles"},{"family":"Stillman","given":"Chelsea M"},{"family":"Ballard","given":"Rachel M"},{"family":"Sheppard","given":"Bonny Bloodgood"},{"family":"Petruzzello","given":"Steven J"},{"family":"King","given":"Abby C"},{"family":"Powell","given":"Kenneth E"}],"issued":{"date-parts":[["2020",10,12]]}}},{"id":"4nY7bDZH/TMOwtRXF","uris":["http://zotero.org/users/10132210/items/SRAJCT5X"],"itemData":{"id":1112,"type":"article-journal","abstract":"Background: Walking is a good way to meet physical activity guidelines. We examined the effectiveness of walking in groups compared with walking alone or inactive controls in physically healthy adults on physical activity and quality of life. (PROSPERO CRD42016033752). Methods: We searched Medline, Embase, Cinahl, Web of Knowledge Science Citation Index, and Cochrane CENTRAL until March 2016, for any comparative studies, in physically healthy adults, of walking in groups compared with inactive controls or walking alone, reporting any measure of physical activity. We searched references from recent relevant systematic reviews. Two reviewers checked study eligibility and independently extracted data. Disagreements were resolved through discussion. Quality was assessed using likelihood of selection, performance, attrition, and detection biases. Meta-analysis was conducted using Review Manager 5.3. Results: From 1,404 citations, 18 studies were included in qualitative synthesis and 10 in meta-analyses. Fourteen compared group walking to inactive controls and four to walking alone. Eight reported more than one measure of physical activity, none reported according to current guidelines. Group walking compared with inactive controls increased follow-up physical activity (9 randomized controlled trials, standardized mean difference [SMD] 0.58 [95 percent conﬁdence interval {CI}, 0.34–0.82] to SMD 0.43 [95 percent CI, 0.20–0.66]). Compared with walking alone, studies were too few and too heterogeneous to conduct meta-analysis, but the trend was improved physical activity at follow-up for group walking participants. Seven (all inactive control) reported quality-of-life: ﬁve showed statistically signiﬁcantly improved scores. Discussion: Better evidence may encourage government policy to promote walking in groups. Standardized physical activity outcomes need to be reported in research.","container-title":"International Journal of Technology Assessment in Health Care","DOI":"10.1017/S0266462317001088","ISSN":"0266-4623, 1471-6348","issue":"1","journalAbbreviation":"Int J Technol Assess Health Care","language":"en","license":"https://www.cambridge.org/core/terms","page":"27-37","source":"DOI.org (Crossref)","title":"A Systematic Review of Group Walking in Physically Healthy People to Promote Physical Activity","volume":"34","author":[{"family":"Meads","given":"Catherine"},{"family":"Exley","given":"Josephine"}],"issued":{"date-parts":[["2018"]]}}},{"id":"4nY7bDZH/TuhyBrqT","uris":["http://zotero.org/users/10132210/items/KEH2LKBJ"],"itemData":{"id":1220,"type":"article-journal","abstract":"Physical activity is positively associated with the health of older adults. Walking is a simple activity that can be applied to older adults. This article aims to systematically review and meta-analyze the effects of walking on physical fitness in older adults. Studies were searched from 13 databases. Results showed that walking could improve aerobic endurance (21.04, 95% CI [13.82, 28.27]), lower body strength (2.77, 95% CI [1.46, 4.09]), static balance (6.07, 95% CI [3.34, 8.79]), and agility and dynamic balance (1.52, 95% CI [0.23, 2.80]). Walking is effective and should be promoted to improve the physical function of older adults.","container-title":"Topics in Geriatric Rehabilitation","DOI":"10.1097/TGR.0000000000000351","ISSN":"0882-7524","issue":"2","language":"en","page":"101-109","source":"DOI.org (Crossref)","title":"Walking Promotes Physical Fitness of Community-Dwelling Older Adults: A Systematic Review and Meta-analysis","title-short":"Walking Promotes Physical Fitness of Community-Dwelling Older Adults","volume":"38","author":[{"family":"Sithichoksakulchai","given":"Siriluk"},{"family":"Chen","given":"Meng-Chin"},{"family":"Chen","given":"Kuei-Min"}],"issued":{"date-parts":[["2022",4]]}}},{"id":"4nY7bDZH/kccxgVyP","uris":["http://zotero.org/users/10132210/items/7QFRHHHF"],"itemData":{"id":1212,"type":"article-journal","abstract":"Objective: To systematically evaluate the effects of physical exercise on the quality of life (QOL) of healthy older adults in China.\nMethods: Relevant articles published until December 2021 were retrieved from China National Knowledge Infrastructure, Wanfang, China Science and Technology Journal Database, PubMed, EBSCO, Web of Science, and the Library of Congress. Inclusion criteria were studies in which the subjects were healthy Chinese older adults (aged ≥ 60 years), the reported sample size was clear, and the study design was a randomized controlled trial or a research study. In addition, studies were included if they reported the use of at least one QOL questionnaire and investigated at least one form of physical exercise.\nResults: In total, 19 studies met the inclusion criteria, which included six studies that used comprehensive physical exercise type as an intervention and 13 studies that used regular physical exercise as an intervention. All 19 studies compared intervention and control groups, of which 12 (63%) were investigative studies and seven (37%) were experimental studies. Of the experimental studies, ﬁve used a positive control group and two used a negative control group. All 19 studies reported that physical exercise had varying degrees of positive effects on the QOL in older adults. Body–mind exercise was effective in improving the physical and mental health (MH) of older adults, whereas Xiyangcao only had a positive effect on physical health. Compared with no exercise or other exercise (exercise not used in the intervention group), the exercise group in the survey had a positive effect on the QOL of older adults. Regardless of the type of control group used, the exercise group in the experimental studies showed a positive effect of exercise on the QOL of older adults.\nConclusion: Physical exercise has a positive impact on the QOL of healthy older adults. However, due to the wide and varied scope of the included studies, more randomized controlled trials are needed to examine the effects of different types, intensities, durations, and the frequency of exercise on QOL.","container-title":"Frontiers in Psychology","DOI":"10.3389/fpsyg.2022.895373","ISSN":"1664-1078","journalAbbreviation":"Front. Psychol.","language":"en","page":"895373","source":"DOI.org (Crossref)","title":"The Effects of Physical Exercise on the Quality of Life of Healthy Older Adults in China: A Systematic Review","title-short":"The Effects of Physical Exercise on the Quality of Life of Healthy Older Adults in China","volume":"13","author":[{"family":"Wei","given":"Lin"},{"family":"Hu","given":"Yongmei"},{"family":"Tao","given":"Yingying"},{"family":"Hu","given":"Rui"},{"family":"Zhang","given":"Liancheng"}],"issued":{"date-parts":[["2022",6,20]]}}}],"schema":"https://github.com/citation-style-language/schema/raw/master/csl-citation.json"} </w:instrText>
      </w:r>
      <w:r w:rsidR="00ED17B2" w:rsidRPr="002E55DE">
        <w:rPr>
          <w:rFonts w:ascii="Times New Roman" w:hAnsi="Times New Roman"/>
          <w:bCs/>
          <w:szCs w:val="24"/>
        </w:rPr>
        <w:fldChar w:fldCharType="separate"/>
      </w:r>
      <w:r w:rsidR="00ED17B2" w:rsidRPr="002E55DE">
        <w:rPr>
          <w:rFonts w:ascii="Times New Roman" w:hAnsi="Times New Roman"/>
        </w:rPr>
        <w:t>Bushman</w:t>
      </w:r>
      <w:r w:rsidR="001404F8" w:rsidRPr="002E55DE">
        <w:rPr>
          <w:rFonts w:ascii="Times New Roman" w:eastAsiaTheme="minorEastAsia" w:hAnsi="Times New Roman"/>
          <w:lang w:eastAsia="ko-KR"/>
        </w:rPr>
        <w:t xml:space="preserve"> (</w:t>
      </w:r>
      <w:r w:rsidR="00ED17B2" w:rsidRPr="002E55DE">
        <w:rPr>
          <w:rFonts w:ascii="Times New Roman" w:hAnsi="Times New Roman"/>
        </w:rPr>
        <w:t>2020</w:t>
      </w:r>
      <w:r w:rsidR="001404F8" w:rsidRPr="002E55DE">
        <w:rPr>
          <w:rFonts w:ascii="Times New Roman" w:eastAsiaTheme="minorEastAsia" w:hAnsi="Times New Roman"/>
          <w:lang w:eastAsia="ko-KR"/>
        </w:rPr>
        <w:t>),</w:t>
      </w:r>
      <w:r w:rsidR="00ED17B2" w:rsidRPr="002E55DE">
        <w:rPr>
          <w:rFonts w:ascii="Times New Roman" w:hAnsi="Times New Roman"/>
        </w:rPr>
        <w:t xml:space="preserve"> Marquez et al. </w:t>
      </w:r>
      <w:r w:rsidR="001404F8" w:rsidRPr="002E55DE">
        <w:rPr>
          <w:rFonts w:ascii="Times New Roman" w:eastAsiaTheme="minorEastAsia" w:hAnsi="Times New Roman"/>
          <w:lang w:eastAsia="ko-KR"/>
        </w:rPr>
        <w:t>(</w:t>
      </w:r>
      <w:r w:rsidR="00ED17B2" w:rsidRPr="002E55DE">
        <w:rPr>
          <w:rFonts w:ascii="Times New Roman" w:hAnsi="Times New Roman"/>
        </w:rPr>
        <w:t>2020</w:t>
      </w:r>
      <w:r w:rsidR="001404F8" w:rsidRPr="002E55DE">
        <w:rPr>
          <w:rFonts w:ascii="Times New Roman" w:eastAsiaTheme="minorEastAsia" w:hAnsi="Times New Roman"/>
          <w:lang w:eastAsia="ko-KR"/>
        </w:rPr>
        <w:t>),</w:t>
      </w:r>
      <w:r w:rsidR="00ED17B2" w:rsidRPr="002E55DE">
        <w:rPr>
          <w:rFonts w:ascii="Times New Roman" w:hAnsi="Times New Roman"/>
        </w:rPr>
        <w:t xml:space="preserve"> Sithichoksakulchai et al. </w:t>
      </w:r>
      <w:r w:rsidR="001404F8" w:rsidRPr="002E55DE">
        <w:rPr>
          <w:rFonts w:ascii="Times New Roman" w:eastAsiaTheme="minorEastAsia" w:hAnsi="Times New Roman"/>
          <w:lang w:eastAsia="ko-KR"/>
        </w:rPr>
        <w:t>(</w:t>
      </w:r>
      <w:r w:rsidR="00ED17B2" w:rsidRPr="002E55DE">
        <w:rPr>
          <w:rFonts w:ascii="Times New Roman" w:hAnsi="Times New Roman"/>
        </w:rPr>
        <w:t>2022</w:t>
      </w:r>
      <w:r w:rsidR="001404F8" w:rsidRPr="002E55DE">
        <w:rPr>
          <w:rFonts w:ascii="Times New Roman" w:eastAsiaTheme="minorEastAsia" w:hAnsi="Times New Roman"/>
          <w:lang w:eastAsia="ko-KR"/>
        </w:rPr>
        <w:t>)</w:t>
      </w:r>
      <w:r w:rsidR="00E63022" w:rsidRPr="002E55DE">
        <w:rPr>
          <w:rFonts w:ascii="Times New Roman" w:eastAsiaTheme="minorEastAsia" w:hAnsi="Times New Roman"/>
          <w:lang w:eastAsia="ko-KR"/>
        </w:rPr>
        <w:t>,</w:t>
      </w:r>
      <w:r w:rsidR="000260B0" w:rsidRPr="002E55DE">
        <w:rPr>
          <w:rFonts w:ascii="Times New Roman" w:eastAsiaTheme="minorEastAsia" w:hAnsi="Times New Roman"/>
          <w:lang w:eastAsia="ko-KR"/>
        </w:rPr>
        <w:t xml:space="preserve"> and</w:t>
      </w:r>
      <w:r w:rsidR="00ED17B2" w:rsidRPr="002E55DE">
        <w:rPr>
          <w:rFonts w:ascii="Times New Roman" w:hAnsi="Times New Roman"/>
        </w:rPr>
        <w:t xml:space="preserve"> Wei et al. </w:t>
      </w:r>
      <w:r w:rsidR="001404F8" w:rsidRPr="002E55DE">
        <w:rPr>
          <w:rFonts w:ascii="Times New Roman" w:eastAsiaTheme="minorEastAsia" w:hAnsi="Times New Roman"/>
          <w:lang w:eastAsia="ko-KR"/>
        </w:rPr>
        <w:t>(</w:t>
      </w:r>
      <w:r w:rsidR="00ED17B2" w:rsidRPr="002E55DE">
        <w:rPr>
          <w:rFonts w:ascii="Times New Roman" w:hAnsi="Times New Roman"/>
        </w:rPr>
        <w:t>2022)</w:t>
      </w:r>
      <w:r w:rsidR="00ED17B2" w:rsidRPr="002E55DE">
        <w:rPr>
          <w:rFonts w:ascii="Times New Roman" w:hAnsi="Times New Roman"/>
          <w:bCs/>
          <w:szCs w:val="24"/>
        </w:rPr>
        <w:fldChar w:fldCharType="end"/>
      </w:r>
      <w:bookmarkEnd w:id="18"/>
      <w:r w:rsidR="007F24B9" w:rsidRPr="002E55DE">
        <w:rPr>
          <w:rFonts w:ascii="Times New Roman" w:hAnsi="Times New Roman"/>
          <w:bCs/>
          <w:szCs w:val="24"/>
        </w:rPr>
        <w:t>.</w:t>
      </w:r>
    </w:p>
    <w:p w14:paraId="6F887270" w14:textId="65F29299" w:rsidR="003518AB" w:rsidRPr="002E55DE" w:rsidRDefault="004D33B4" w:rsidP="003518AB">
      <w:pPr>
        <w:autoSpaceDE w:val="0"/>
        <w:autoSpaceDN w:val="0"/>
        <w:adjustRightInd w:val="0"/>
        <w:ind w:firstLine="720"/>
        <w:jc w:val="both"/>
        <w:rPr>
          <w:rFonts w:ascii="Times New Roman" w:hAnsi="Times New Roman"/>
          <w:bCs/>
          <w:szCs w:val="24"/>
        </w:rPr>
      </w:pPr>
      <w:r w:rsidRPr="002E55DE">
        <w:rPr>
          <w:rFonts w:ascii="Times New Roman" w:hAnsi="Times New Roman"/>
          <w:bCs/>
          <w:szCs w:val="24"/>
        </w:rPr>
        <w:lastRenderedPageBreak/>
        <w:t xml:space="preserve">In the rest of this section, we focus more on the determinants of walking, rather than the </w:t>
      </w:r>
      <w:r w:rsidR="006502DB" w:rsidRPr="002E55DE">
        <w:rPr>
          <w:rFonts w:ascii="Times New Roman" w:hAnsi="Times New Roman"/>
          <w:bCs/>
          <w:szCs w:val="24"/>
        </w:rPr>
        <w:t xml:space="preserve">now well-established positive impacts of walking on health and quality of life. </w:t>
      </w:r>
      <w:r w:rsidR="00D456D3" w:rsidRPr="002E55DE">
        <w:rPr>
          <w:rFonts w:ascii="Times New Roman" w:hAnsi="Times New Roman"/>
          <w:bCs/>
          <w:szCs w:val="24"/>
        </w:rPr>
        <w:t>In this context, e</w:t>
      </w:r>
      <w:r w:rsidR="00F50D8F" w:rsidRPr="002E55DE">
        <w:rPr>
          <w:rFonts w:ascii="Times New Roman" w:hAnsi="Times New Roman"/>
          <w:bCs/>
          <w:szCs w:val="24"/>
        </w:rPr>
        <w:t xml:space="preserve">cological models </w:t>
      </w:r>
      <w:r w:rsidR="001D5388" w:rsidRPr="002E55DE">
        <w:rPr>
          <w:rFonts w:ascii="Times New Roman" w:hAnsi="Times New Roman"/>
          <w:bCs/>
          <w:szCs w:val="24"/>
        </w:rPr>
        <w:t xml:space="preserve">of physical activity in older adults </w:t>
      </w:r>
      <w:r w:rsidR="00AC1029" w:rsidRPr="002E55DE">
        <w:rPr>
          <w:rFonts w:ascii="Times New Roman" w:hAnsi="Times New Roman"/>
          <w:bCs/>
          <w:szCs w:val="24"/>
        </w:rPr>
        <w:t>(see, for example,</w:t>
      </w:r>
      <w:r w:rsidR="003D0998" w:rsidRPr="002E55DE">
        <w:rPr>
          <w:rFonts w:ascii="Times New Roman" w:eastAsiaTheme="minorEastAsia" w:hAnsi="Times New Roman" w:hint="eastAsia"/>
          <w:bCs/>
          <w:szCs w:val="24"/>
          <w:lang w:eastAsia="ko-KR"/>
        </w:rPr>
        <w:t xml:space="preserve"> </w:t>
      </w:r>
      <w:r w:rsidR="003D0998" w:rsidRPr="002E55DE">
        <w:rPr>
          <w:rFonts w:ascii="Times New Roman" w:eastAsiaTheme="minorEastAsia" w:hAnsi="Times New Roman"/>
          <w:bCs/>
          <w:szCs w:val="24"/>
          <w:lang w:eastAsia="ko-KR"/>
        </w:rPr>
        <w:fldChar w:fldCharType="begin"/>
      </w:r>
      <w:r w:rsidR="00A254CC" w:rsidRPr="002E55DE">
        <w:rPr>
          <w:rFonts w:ascii="Times New Roman" w:eastAsiaTheme="minorEastAsia" w:hAnsi="Times New Roman"/>
          <w:bCs/>
          <w:szCs w:val="24"/>
          <w:lang w:eastAsia="ko-KR"/>
        </w:rPr>
        <w:instrText xml:space="preserve"> ADDIN ZOTERO_ITEM CSL_CITATION {"citationID":"qHvOv1Ac","properties":{"unsorted":true,"formattedCitation":"(Sallis et al., 2015; Krogstad et al., 2015; Thornton et al., 2017; Bergen et al., 2023)","plainCitation":"(Sallis et al., 2015; Krogstad et al., 2015; Thornton et al., 2017; Bergen et al., 2023)","dontUpdate":true,"noteIndex":0},"citationItems":[{"id":"4nY7bDZH/lqyBkYlp","uris":["http://zotero.org/users/10132210/items/4MNRQ58L"],"itemData":{"id":1244,"type":"article-journal","container-title":"Health behavior: Theory, research, and practice","issue":"43-64","title":"Ecological models of health behavior","volume":"5","author":[{"family":"Sallis","given":"James F"},{"family":"Owen","given":"Neville"},{"family":"Fisher","given":"E"},{"literal":"others"}],"issued":{"date-parts":[["2015"]]}}},{"id":"4nY7bDZH/ioheLssO","uris":["http://zotero.org/users/10132210/items/XVF2B9PY"],"itemData":{"id":923,"type":"article-journal","abstract":"The beneﬁts of walking are widely recognized. In this regard, the Norwegian government has urged local authorities to develop walking strategies. The aim of such strategies is to inﬂuence a local walking culture and framework conditions for pedestrians. Older citizens are an important focus group because what is an accessible environment for them can be attractive for all groups. The primary aim of this study is to improve our understanding of how physical, social and individual factors affect whether older groups perceive that they need, can and want to walk. Second, we show how a mixed-method approach for collecting data gives an important input when planning a walking strategy. Combining quantitative and qualitative data gave deeper insights into how elders perceived their walking environment. The three steps (survey, participatory observation and workshop) made it possible to involve elders and practitioners from the municipality and the Norwegian Public Roads Administration directly in the study. This gave ﬁrst-hand experience about how to facilitate the environment for older pedestrians. The ﬁndings suggest that the need, can and want dimensions of walking interact and reinforce each other. We ﬁnd that measures affecting more than one such dimension seem to provide the best response for walking activity. This can be important for practitioners to take into consideration when developing good walking areas in the city.","container-title":"European Journal of Ageing","DOI":"10.1007/s10433-015-0340-5","ISSN":"1613-9372, 1613-9380","issue":"3","journalAbbreviation":"Eur J Ageing","language":"en","page":"249-260","source":"DOI.org (Crossref)","title":"Improving walking conditions for older adults. A three-step method investigation","volume":"12","author":[{"family":"Krogstad","given":"Julie Runde"},{"family":"Hjorthol","given":"Randi"},{"family":"Tennøy","given":"Aud"}],"issued":{"date-parts":[["2015",9]]}}},{"id":"4nY7bDZH/w8jE2FG5","uris":["http://zotero.org/users/10132210/items/CGGCSG6C"],"itemData":{"id":1211,"type":"article-journal","abstract":"Background—Studies identifying correlates of physical activity (PA) at all levels of the ecological model can provide an empirical basis for designing interventions to increase older adults’ PA.","container-title":"Annals of Behavioral Medicine","DOI":"10.1007/s12160-016-9837-1","ISSN":"0883-6612, 1532-4796","issue":"2","journalAbbreviation":"ann. behav. med.","language":"en","page":"159-169","source":"DOI.org (Crossref)","title":"Physical Activity in Older Adults: an Ecological Approach","title-short":"Physical Activity in Older Adults","volume":"51","author":[{"family":"Thornton","given":"Christina M."},{"family":"Kerr","given":"Jacqueline"},{"family":"Conway","given":"Terry L."},{"family":"Saelens","given":"Brian E."},{"family":"Sallis","given":"James F."},{"family":"Ahn","given":"David K."},{"family":"Frank","given":"Lawrence D."},{"family":"Cain","given":"Kelli L."},{"family":"King","given":"Abby C."}],"issued":{"date-parts":[["2017",4]]}}},{"id":"4nY7bDZH/6PpYPfjs","uris":["http://zotero.org/users/10132210/items/66WBLQXA"],"itemData":{"id":1213,"type":"article-journal","abstract":"The purpose of this study was to identify internal and external factors associated with outdoor winter walking in older adults. In this scoping review, 12 databases were searched. Inclusion criteria included English language, focus on adults 65 years of age or older, and evaluation of factors associated with outdoor winter walking. Two authors screened titles/abstracts and full text. Conflicts were resolved by consensus. Data were extracted, organized into tables, and summarized as pertaining to barriers/facilitators and internal/external factors associated with outdoor winter walking. A total of 6,843 articles were identified, 1,898 duplicates were removed, 4,789 were excluded during title/abstract screening, and 148 were excluded during full-text review. Eight studies were included. Four categories of factors affecting outdoor winter walking in older adults were identified: adverse weather conditions, physical environment, physical function, and perceptions relating to winter walking conditions. Rehabilitation and exercise professionals can use the results to educate their clients and implement the facilitators of and alternatives and solutions to barriers to outdoor winter walking.","container-title":"Canadian Journal on Aging / La Revue canadienne du vieillissement","DOI":"10.1017/S0714980822000460","ISSN":"0714-9808, 1710-1107","issue":"2","journalAbbreviation":"Can. J. Aging","language":"en","page":"316-327","source":"DOI.org (Crossref)","title":"Factors Associated with Outdoor Winter Walking in Older Adults: A Scoping Review","title-short":"Factors Associated with Outdoor Winter Walking in Older Adults","volume":"42","author":[{"family":"Bergen","given":"Kyle"},{"family":"Jubenvill","given":"Megan"},{"family":"Shaw","given":"Kyle"},{"family":"Steen","given":"Erin"},{"family":"Loewen","given":"Hal"},{"family":"Mbabaali","given":"Sophia"},{"family":"Barclay","given":"Ruth"}],"issued":{"date-parts":[["2023",6]]}}}],"schema":"https://github.com/citation-style-language/schema/raw/master/csl-citation.json"} </w:instrText>
      </w:r>
      <w:r w:rsidR="003D0998" w:rsidRPr="002E55DE">
        <w:rPr>
          <w:rFonts w:ascii="Times New Roman" w:eastAsiaTheme="minorEastAsia" w:hAnsi="Times New Roman"/>
          <w:bCs/>
          <w:szCs w:val="24"/>
          <w:lang w:eastAsia="ko-KR"/>
        </w:rPr>
        <w:fldChar w:fldCharType="separate"/>
      </w:r>
      <w:r w:rsidR="00DD185C" w:rsidRPr="002E55DE">
        <w:rPr>
          <w:rFonts w:ascii="Times New Roman" w:hAnsi="Times New Roman"/>
        </w:rPr>
        <w:t>Sallis et al., 2015</w:t>
      </w:r>
      <w:r w:rsidR="00F12928" w:rsidRPr="002E55DE">
        <w:rPr>
          <w:rFonts w:ascii="Times New Roman" w:eastAsiaTheme="minorEastAsia" w:hAnsi="Times New Roman" w:hint="eastAsia"/>
          <w:lang w:eastAsia="ko-KR"/>
        </w:rPr>
        <w:t>,</w:t>
      </w:r>
      <w:r w:rsidR="00DD185C" w:rsidRPr="002E55DE">
        <w:rPr>
          <w:rFonts w:ascii="Times New Roman" w:hAnsi="Times New Roman"/>
        </w:rPr>
        <w:t xml:space="preserve"> Krogstad et al., 2015</w:t>
      </w:r>
      <w:r w:rsidR="00F12928" w:rsidRPr="002E55DE">
        <w:rPr>
          <w:rFonts w:ascii="Times New Roman" w:eastAsiaTheme="minorEastAsia" w:hAnsi="Times New Roman" w:hint="eastAsia"/>
          <w:lang w:eastAsia="ko-KR"/>
        </w:rPr>
        <w:t>,</w:t>
      </w:r>
      <w:r w:rsidR="00DD185C" w:rsidRPr="002E55DE">
        <w:rPr>
          <w:rFonts w:ascii="Times New Roman" w:hAnsi="Times New Roman"/>
        </w:rPr>
        <w:t xml:space="preserve"> Thornton et al., 2017</w:t>
      </w:r>
      <w:r w:rsidR="00DD185C" w:rsidRPr="002E55DE">
        <w:rPr>
          <w:rFonts w:ascii="Times New Roman" w:eastAsiaTheme="minorEastAsia" w:hAnsi="Times New Roman"/>
          <w:lang w:eastAsia="ko-KR"/>
        </w:rPr>
        <w:t xml:space="preserve"> and </w:t>
      </w:r>
      <w:r w:rsidR="00DD185C" w:rsidRPr="002E55DE">
        <w:rPr>
          <w:rFonts w:ascii="Times New Roman" w:hAnsi="Times New Roman"/>
        </w:rPr>
        <w:t>Bergen et al., 2023)</w:t>
      </w:r>
      <w:r w:rsidR="003D0998" w:rsidRPr="002E55DE">
        <w:rPr>
          <w:rFonts w:ascii="Times New Roman" w:eastAsiaTheme="minorEastAsia" w:hAnsi="Times New Roman"/>
          <w:bCs/>
          <w:szCs w:val="24"/>
          <w:lang w:eastAsia="ko-KR"/>
        </w:rPr>
        <w:fldChar w:fldCharType="end"/>
      </w:r>
      <w:r w:rsidR="00AC1029" w:rsidRPr="002E55DE">
        <w:rPr>
          <w:rFonts w:ascii="Times New Roman" w:hAnsi="Times New Roman"/>
          <w:bCs/>
          <w:szCs w:val="24"/>
        </w:rPr>
        <w:t xml:space="preserve"> </w:t>
      </w:r>
      <w:r w:rsidR="00F50D8F" w:rsidRPr="002E55DE">
        <w:rPr>
          <w:rFonts w:ascii="Times New Roman" w:hAnsi="Times New Roman"/>
          <w:bCs/>
          <w:szCs w:val="24"/>
        </w:rPr>
        <w:t xml:space="preserve">have identified individual walking behavior as being influenced by </w:t>
      </w:r>
      <w:r w:rsidR="00874470" w:rsidRPr="002E55DE">
        <w:rPr>
          <w:rFonts w:ascii="Times New Roman" w:hAnsi="Times New Roman"/>
          <w:bCs/>
          <w:szCs w:val="24"/>
        </w:rPr>
        <w:t xml:space="preserve">the rich </w:t>
      </w:r>
      <w:r w:rsidR="00F50D8F" w:rsidRPr="002E55DE">
        <w:rPr>
          <w:rFonts w:ascii="Times New Roman" w:hAnsi="Times New Roman"/>
          <w:bCs/>
          <w:szCs w:val="24"/>
        </w:rPr>
        <w:t xml:space="preserve">interplay of </w:t>
      </w:r>
      <w:r w:rsidR="001D5388" w:rsidRPr="002E55DE">
        <w:rPr>
          <w:rFonts w:ascii="Times New Roman" w:hAnsi="Times New Roman"/>
          <w:bCs/>
          <w:szCs w:val="24"/>
        </w:rPr>
        <w:t>individual characteristics (</w:t>
      </w:r>
      <w:r w:rsidR="00A16F8A" w:rsidRPr="002E55DE">
        <w:rPr>
          <w:rFonts w:ascii="Times New Roman" w:hAnsi="Times New Roman"/>
          <w:bCs/>
          <w:szCs w:val="24"/>
        </w:rPr>
        <w:t>socio</w:t>
      </w:r>
      <w:r w:rsidR="001D5388" w:rsidRPr="002E55DE">
        <w:rPr>
          <w:rFonts w:ascii="Times New Roman" w:hAnsi="Times New Roman"/>
          <w:bCs/>
          <w:szCs w:val="24"/>
        </w:rPr>
        <w:t xml:space="preserve">demographics such as age, race/ethnicity, gender, household composition, and income, and health conditions), psychosocial factors (social support, self-efficacy, </w:t>
      </w:r>
      <w:r w:rsidR="00A16F8A" w:rsidRPr="002E55DE">
        <w:rPr>
          <w:rFonts w:ascii="Times New Roman" w:hAnsi="Times New Roman"/>
          <w:bCs/>
          <w:szCs w:val="24"/>
        </w:rPr>
        <w:t xml:space="preserve">and </w:t>
      </w:r>
      <w:r w:rsidR="00CA2A38" w:rsidRPr="002E55DE">
        <w:rPr>
          <w:rFonts w:ascii="Times New Roman" w:hAnsi="Times New Roman"/>
          <w:bCs/>
          <w:szCs w:val="24"/>
        </w:rPr>
        <w:t xml:space="preserve">health and </w:t>
      </w:r>
      <w:r w:rsidR="001D5388" w:rsidRPr="002E55DE">
        <w:rPr>
          <w:rFonts w:ascii="Times New Roman" w:hAnsi="Times New Roman"/>
          <w:bCs/>
          <w:szCs w:val="24"/>
        </w:rPr>
        <w:t xml:space="preserve">safety perceptions), and environment variables (including objective and perceived </w:t>
      </w:r>
      <w:r w:rsidR="006679B8" w:rsidRPr="002E55DE">
        <w:rPr>
          <w:rFonts w:ascii="Times New Roman" w:hAnsi="Times New Roman"/>
          <w:bCs/>
          <w:szCs w:val="24"/>
        </w:rPr>
        <w:t xml:space="preserve">built environment </w:t>
      </w:r>
      <w:r w:rsidR="001D5388" w:rsidRPr="002E55DE">
        <w:rPr>
          <w:rFonts w:ascii="Times New Roman" w:hAnsi="Times New Roman"/>
          <w:bCs/>
          <w:szCs w:val="24"/>
        </w:rPr>
        <w:t xml:space="preserve">attributes, </w:t>
      </w:r>
      <w:r w:rsidR="00CA2A38" w:rsidRPr="002E55DE">
        <w:rPr>
          <w:rFonts w:ascii="Times New Roman" w:hAnsi="Times New Roman"/>
          <w:bCs/>
          <w:szCs w:val="24"/>
        </w:rPr>
        <w:t>weather</w:t>
      </w:r>
      <w:r w:rsidR="001D5388" w:rsidRPr="002E55DE">
        <w:rPr>
          <w:rFonts w:ascii="Times New Roman" w:hAnsi="Times New Roman"/>
          <w:bCs/>
          <w:szCs w:val="24"/>
        </w:rPr>
        <w:t xml:space="preserve"> conditions</w:t>
      </w:r>
      <w:r w:rsidR="00CA2A38" w:rsidRPr="002E55DE">
        <w:rPr>
          <w:rFonts w:ascii="Times New Roman" w:hAnsi="Times New Roman"/>
          <w:bCs/>
          <w:szCs w:val="24"/>
        </w:rPr>
        <w:t>,</w:t>
      </w:r>
      <w:r w:rsidR="001D5388" w:rsidRPr="002E55DE">
        <w:rPr>
          <w:rFonts w:ascii="Times New Roman" w:hAnsi="Times New Roman"/>
          <w:bCs/>
          <w:szCs w:val="24"/>
        </w:rPr>
        <w:t xml:space="preserve"> and </w:t>
      </w:r>
      <w:r w:rsidR="00CA2A38" w:rsidRPr="002E55DE">
        <w:rPr>
          <w:rFonts w:ascii="Times New Roman" w:hAnsi="Times New Roman"/>
          <w:bCs/>
          <w:szCs w:val="24"/>
        </w:rPr>
        <w:t xml:space="preserve">ambient </w:t>
      </w:r>
      <w:r w:rsidR="001D5388" w:rsidRPr="002E55DE">
        <w:rPr>
          <w:rFonts w:ascii="Times New Roman" w:hAnsi="Times New Roman"/>
          <w:bCs/>
          <w:szCs w:val="24"/>
        </w:rPr>
        <w:t>natural greenery/vegetation</w:t>
      </w:r>
      <w:r w:rsidR="00CA2A38" w:rsidRPr="002E55DE">
        <w:rPr>
          <w:rFonts w:ascii="Times New Roman" w:hAnsi="Times New Roman"/>
          <w:bCs/>
          <w:szCs w:val="24"/>
        </w:rPr>
        <w:t xml:space="preserve"> characteristics</w:t>
      </w:r>
      <w:r w:rsidR="001D5388" w:rsidRPr="002E55DE">
        <w:rPr>
          <w:rFonts w:ascii="Times New Roman" w:hAnsi="Times New Roman"/>
          <w:bCs/>
          <w:szCs w:val="24"/>
        </w:rPr>
        <w:t>).</w:t>
      </w:r>
      <w:r w:rsidR="00CA2A38" w:rsidRPr="002E55DE">
        <w:rPr>
          <w:rFonts w:ascii="Times New Roman" w:hAnsi="Times New Roman"/>
          <w:bCs/>
          <w:szCs w:val="24"/>
        </w:rPr>
        <w:t xml:space="preserve"> </w:t>
      </w:r>
      <w:r w:rsidR="00ED0877" w:rsidRPr="002E55DE">
        <w:rPr>
          <w:rFonts w:ascii="Times New Roman" w:hAnsi="Times New Roman"/>
          <w:bCs/>
          <w:szCs w:val="24"/>
        </w:rPr>
        <w:t xml:space="preserve">In the following </w:t>
      </w:r>
      <w:r w:rsidR="00596FC9" w:rsidRPr="002E55DE">
        <w:rPr>
          <w:rFonts w:ascii="Times New Roman" w:hAnsi="Times New Roman"/>
          <w:bCs/>
          <w:szCs w:val="24"/>
        </w:rPr>
        <w:t>sections</w:t>
      </w:r>
      <w:r w:rsidR="00ED0877" w:rsidRPr="002E55DE">
        <w:rPr>
          <w:rFonts w:ascii="Times New Roman" w:hAnsi="Times New Roman"/>
          <w:bCs/>
          <w:szCs w:val="24"/>
        </w:rPr>
        <w:t xml:space="preserve">, we provide a brief overview of </w:t>
      </w:r>
      <w:r w:rsidR="00956B83" w:rsidRPr="002E55DE">
        <w:rPr>
          <w:rFonts w:ascii="Times New Roman" w:hAnsi="Times New Roman"/>
          <w:bCs/>
          <w:szCs w:val="24"/>
        </w:rPr>
        <w:t xml:space="preserve">existing </w:t>
      </w:r>
      <w:r w:rsidR="00596FC9" w:rsidRPr="002E55DE">
        <w:rPr>
          <w:rFonts w:ascii="Times New Roman" w:hAnsi="Times New Roman"/>
          <w:bCs/>
          <w:szCs w:val="24"/>
        </w:rPr>
        <w:t xml:space="preserve">studies </w:t>
      </w:r>
      <w:r w:rsidR="00D456D3" w:rsidRPr="002E55DE">
        <w:rPr>
          <w:rFonts w:ascii="Times New Roman" w:hAnsi="Times New Roman"/>
          <w:bCs/>
          <w:szCs w:val="24"/>
        </w:rPr>
        <w:t xml:space="preserve">within this ecological framework of walking, </w:t>
      </w:r>
      <w:r w:rsidR="00ED0877" w:rsidRPr="002E55DE">
        <w:rPr>
          <w:rFonts w:ascii="Times New Roman" w:hAnsi="Times New Roman"/>
          <w:bCs/>
          <w:szCs w:val="24"/>
        </w:rPr>
        <w:t>based on the dimension of walking considered (that is, based on walking frequency, duration, and social companionship)</w:t>
      </w:r>
      <w:r w:rsidR="00C55421" w:rsidRPr="002E55DE">
        <w:rPr>
          <w:rFonts w:ascii="Times New Roman" w:hAnsi="Times New Roman"/>
          <w:bCs/>
          <w:szCs w:val="24"/>
        </w:rPr>
        <w:t xml:space="preserve">. </w:t>
      </w:r>
      <w:r w:rsidR="00D456D3" w:rsidRPr="002E55DE">
        <w:rPr>
          <w:rFonts w:ascii="Times New Roman" w:hAnsi="Times New Roman"/>
          <w:bCs/>
          <w:szCs w:val="24"/>
        </w:rPr>
        <w:t xml:space="preserve">Our review is confined to </w:t>
      </w:r>
      <w:r w:rsidR="00503A0B" w:rsidRPr="002E55DE">
        <w:rPr>
          <w:rFonts w:ascii="Times New Roman" w:hAnsi="Times New Roman"/>
          <w:bCs/>
          <w:szCs w:val="24"/>
        </w:rPr>
        <w:t xml:space="preserve">studies that examine walking, rather than the broader category of physical activity in older adults. </w:t>
      </w:r>
      <w:r w:rsidR="00D456D3" w:rsidRPr="002E55DE">
        <w:rPr>
          <w:rFonts w:ascii="Times New Roman" w:hAnsi="Times New Roman"/>
          <w:bCs/>
          <w:szCs w:val="24"/>
        </w:rPr>
        <w:t>We also emphasize studies of older adults, as opposed to those considering the entire population, though we do include some general population studies undertaken after the onset of the pandemic in 2020.</w:t>
      </w:r>
    </w:p>
    <w:p w14:paraId="01E54FE7" w14:textId="274DD245" w:rsidR="00ED0877" w:rsidRPr="002E55DE" w:rsidRDefault="00D456D3" w:rsidP="003518AB">
      <w:pPr>
        <w:autoSpaceDE w:val="0"/>
        <w:autoSpaceDN w:val="0"/>
        <w:adjustRightInd w:val="0"/>
        <w:ind w:firstLine="720"/>
        <w:jc w:val="both"/>
        <w:rPr>
          <w:rFonts w:ascii="Times New Roman" w:hAnsi="Times New Roman"/>
          <w:bCs/>
          <w:szCs w:val="24"/>
        </w:rPr>
      </w:pPr>
      <w:r w:rsidRPr="002E55DE">
        <w:rPr>
          <w:rFonts w:ascii="Times New Roman" w:hAnsi="Times New Roman"/>
          <w:bCs/>
          <w:szCs w:val="24"/>
        </w:rPr>
        <w:t xml:space="preserve"> </w:t>
      </w:r>
    </w:p>
    <w:p w14:paraId="208DD5D6" w14:textId="2BDD2D89" w:rsidR="0070753F" w:rsidRPr="002E55DE" w:rsidRDefault="005E296D" w:rsidP="003518AB">
      <w:pPr>
        <w:pStyle w:val="Heading2"/>
        <w:spacing w:line="240" w:lineRule="auto"/>
        <w:ind w:hanging="540"/>
        <w:contextualSpacing w:val="0"/>
        <w:jc w:val="both"/>
        <w:rPr>
          <w:lang w:eastAsia="ko-KR"/>
        </w:rPr>
      </w:pPr>
      <w:r w:rsidRPr="002E55DE">
        <w:rPr>
          <w:lang w:eastAsia="ko-KR"/>
        </w:rPr>
        <w:t>Frequency as Measure of Walking Habit</w:t>
      </w:r>
      <w:r w:rsidR="00BF4EDE" w:rsidRPr="002E55DE">
        <w:rPr>
          <w:lang w:eastAsia="ko-KR"/>
        </w:rPr>
        <w:t>s</w:t>
      </w:r>
    </w:p>
    <w:p w14:paraId="22E77896" w14:textId="57D4F0B5" w:rsidR="00B62B00" w:rsidRPr="002E55DE" w:rsidRDefault="00F6390C" w:rsidP="003518AB">
      <w:pPr>
        <w:autoSpaceDE w:val="0"/>
        <w:autoSpaceDN w:val="0"/>
        <w:adjustRightInd w:val="0"/>
        <w:jc w:val="both"/>
        <w:rPr>
          <w:rFonts w:ascii="Times New Roman" w:hAnsi="Times New Roman"/>
          <w:bCs/>
          <w:szCs w:val="24"/>
        </w:rPr>
      </w:pPr>
      <w:r w:rsidRPr="002E55DE">
        <w:rPr>
          <w:rFonts w:ascii="Times New Roman" w:hAnsi="Times New Roman"/>
          <w:bCs/>
          <w:szCs w:val="24"/>
        </w:rPr>
        <w:t xml:space="preserve">In the </w:t>
      </w:r>
      <w:r w:rsidR="00596FC9" w:rsidRPr="002E55DE">
        <w:rPr>
          <w:rFonts w:ascii="Times New Roman" w:hAnsi="Times New Roman"/>
          <w:bCs/>
          <w:szCs w:val="24"/>
        </w:rPr>
        <w:t>research space focusing on</w:t>
      </w:r>
      <w:r w:rsidRPr="002E55DE">
        <w:rPr>
          <w:rFonts w:ascii="Times New Roman" w:hAnsi="Times New Roman"/>
          <w:bCs/>
          <w:szCs w:val="24"/>
        </w:rPr>
        <w:t xml:space="preserve"> walking frequency among older adults</w:t>
      </w:r>
      <w:r w:rsidR="000F17D6" w:rsidRPr="002E55DE">
        <w:rPr>
          <w:rFonts w:ascii="Times New Roman" w:hAnsi="Times New Roman"/>
          <w:bCs/>
          <w:szCs w:val="24"/>
        </w:rPr>
        <w:t>,</w:t>
      </w:r>
      <w:r w:rsidR="00F01DE4" w:rsidRPr="002E55DE">
        <w:rPr>
          <w:rFonts w:ascii="Times New Roman" w:hAnsi="Times New Roman"/>
          <w:bCs/>
          <w:szCs w:val="24"/>
        </w:rPr>
        <w:t xml:space="preserve"> studies have</w:t>
      </w:r>
      <w:r w:rsidR="000A67BD" w:rsidRPr="002E55DE">
        <w:rPr>
          <w:rFonts w:ascii="Times New Roman" w:hAnsi="Times New Roman"/>
          <w:bCs/>
          <w:szCs w:val="24"/>
        </w:rPr>
        <w:t xml:space="preserve"> </w:t>
      </w:r>
      <w:r w:rsidR="00D456D3" w:rsidRPr="002E55DE">
        <w:rPr>
          <w:rFonts w:ascii="Times New Roman" w:hAnsi="Times New Roman"/>
          <w:bCs/>
          <w:szCs w:val="24"/>
        </w:rPr>
        <w:t xml:space="preserve">identified many </w:t>
      </w:r>
      <w:r w:rsidR="00F01DE4" w:rsidRPr="002E55DE">
        <w:rPr>
          <w:rFonts w:ascii="Times New Roman" w:hAnsi="Times New Roman"/>
          <w:bCs/>
          <w:szCs w:val="24"/>
        </w:rPr>
        <w:t xml:space="preserve">sociodemographic and built environment </w:t>
      </w:r>
      <w:r w:rsidR="00663DF1" w:rsidRPr="002E55DE">
        <w:rPr>
          <w:rFonts w:ascii="Times New Roman" w:hAnsi="Times New Roman"/>
          <w:bCs/>
          <w:szCs w:val="24"/>
        </w:rPr>
        <w:t xml:space="preserve">(BE) </w:t>
      </w:r>
      <w:r w:rsidR="00DB17AD" w:rsidRPr="002E55DE">
        <w:rPr>
          <w:rFonts w:ascii="Times New Roman" w:hAnsi="Times New Roman"/>
          <w:bCs/>
          <w:szCs w:val="24"/>
        </w:rPr>
        <w:t xml:space="preserve">determinants </w:t>
      </w:r>
      <w:r w:rsidR="00D456D3" w:rsidRPr="002E55DE">
        <w:rPr>
          <w:rFonts w:ascii="Times New Roman" w:hAnsi="Times New Roman"/>
          <w:bCs/>
          <w:szCs w:val="24"/>
        </w:rPr>
        <w:t xml:space="preserve">of </w:t>
      </w:r>
      <w:r w:rsidR="00DB17AD" w:rsidRPr="002E55DE">
        <w:rPr>
          <w:rFonts w:ascii="Times New Roman" w:hAnsi="Times New Roman"/>
          <w:bCs/>
          <w:szCs w:val="24"/>
        </w:rPr>
        <w:t xml:space="preserve">utilitarian </w:t>
      </w:r>
      <w:r w:rsidR="00D456D3" w:rsidRPr="002E55DE">
        <w:rPr>
          <w:rFonts w:ascii="Times New Roman" w:hAnsi="Times New Roman"/>
          <w:bCs/>
          <w:szCs w:val="24"/>
        </w:rPr>
        <w:t>and</w:t>
      </w:r>
      <w:r w:rsidR="00DB17AD" w:rsidRPr="002E55DE">
        <w:rPr>
          <w:rFonts w:ascii="Times New Roman" w:hAnsi="Times New Roman"/>
          <w:bCs/>
          <w:szCs w:val="24"/>
        </w:rPr>
        <w:t xml:space="preserve"> recreational walking</w:t>
      </w:r>
      <w:r w:rsidR="00977495" w:rsidRPr="002E55DE">
        <w:rPr>
          <w:rFonts w:ascii="Times New Roman" w:hAnsi="Times New Roman"/>
          <w:bCs/>
          <w:szCs w:val="24"/>
        </w:rPr>
        <w:t xml:space="preserve"> trips</w:t>
      </w:r>
      <w:r w:rsidR="00DA3A60" w:rsidRPr="002E55DE">
        <w:rPr>
          <w:rFonts w:ascii="Times New Roman" w:hAnsi="Times New Roman"/>
          <w:bCs/>
          <w:szCs w:val="24"/>
        </w:rPr>
        <w:t xml:space="preserve">. </w:t>
      </w:r>
      <w:bookmarkStart w:id="19" w:name="_Hlk169960360"/>
      <w:r w:rsidR="000F17D6"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{"citationID":"PlYeLAhy","properties":{"formattedCitation":"(Giehl et al., 2016)","plainCitation":"(Giehl et al., 2016)","dontUpdate":true,"noteIndex":0},"citationItems":[{"id":"4nY7bDZH/HJUHfZWO","uris":["http://zotero.org/users/10132210/items/T2XKCXQU"],"itemData":{"id":927,"type":"article-journal","abstract":"Background: Understanding the built environment influence on specific domains of walking is important for public health interventions to increase physical activity levels among older adults. Purpose: The purpose was to investigate the association between built environment characteristics and walking among older adults. Methods: A population-based study was performed in 80 census tracts in Florianópolis, Brazil, including 1,705 older adults (60+ years old). Walking was measured using the International Physical Activity Questionnaire. Built environment characteristics were assessed through a geographic information system. All analyses were conducted through a multilevel logistic regression. Results: Individuals living in neighborhoods with a higher population density (odds ratio [OR]: 2.19; 95% confidence interval [CI], 1.40–3.42), with a higher street connectivity (OR: 1.85; 95% CI, 1.16–2.94), a higher sidewalk proportion (OR: 1.77; 95% CI, 1.11–2.83), and paved streets (medium tertile: OR: 1.61, 95% CI, 1.04–2.49; highest tertile: OR: 2.11; 95% CI, 1.36–3.27) were more likely to walk for transportation. Regarding walking for leisure, only 2 predictors were associated, area income (OR: 1.48; 95% CI, 1.04–2.12) and street density (OR: 1.47; 95% CI, 1.02–2.10). Conclusions: Improving the neighborhood built environment is an important step for achieving higher levels of walking in the elderly population in a middle-income country.","container-title":"Journal of Physical Activity and Health","DOI":"10.1123/jpah.2015-0355","ISSN":"1543-3080, 1543-5474","issue":"6","language":"en","page":"617-624","source":"DOI.org (Crossref)","title":"Built Environment and Walking Behavior Among Brazilian Older Adults: A Population-Based Study","title-short":"Built Environment and Walking Behavior Among Brazilian Older Adults","volume":"13","author":[{"family":"Giehl","given":"Marui Weber Corseuil"},{"family":"Hallal","given":"Pedro Curi"},{"family":"Corseuil","given":"Claudia Weber"},{"family":"Schneider","given":"Ione J. Ceola"},{"family":"Orsi","given":"Eleonora","non-dropping-particle":"d’"}],"issued":{"date-parts":[["2016",6]]}}}],"schema":"https://github.com/citation-style-language/schema/raw/master/csl-citation.json"} </w:instrText>
      </w:r>
      <w:r w:rsidR="000F17D6" w:rsidRPr="002E55DE">
        <w:rPr>
          <w:rFonts w:ascii="Times New Roman" w:hAnsi="Times New Roman"/>
          <w:bCs/>
          <w:szCs w:val="24"/>
        </w:rPr>
        <w:fldChar w:fldCharType="separate"/>
      </w:r>
      <w:r w:rsidR="000F17D6" w:rsidRPr="002E55DE">
        <w:rPr>
          <w:rFonts w:ascii="Times New Roman" w:hAnsi="Times New Roman"/>
          <w:szCs w:val="24"/>
        </w:rPr>
        <w:t>Giehl et al. (2016)</w:t>
      </w:r>
      <w:r w:rsidR="000F17D6" w:rsidRPr="002E55DE">
        <w:rPr>
          <w:rFonts w:ascii="Times New Roman" w:hAnsi="Times New Roman"/>
          <w:bCs/>
          <w:szCs w:val="24"/>
        </w:rPr>
        <w:fldChar w:fldCharType="end"/>
      </w:r>
      <w:bookmarkEnd w:id="19"/>
      <w:r w:rsidR="00FB052D" w:rsidRPr="002E55DE">
        <w:rPr>
          <w:rFonts w:ascii="Times New Roman" w:hAnsi="Times New Roman"/>
          <w:bCs/>
          <w:szCs w:val="24"/>
        </w:rPr>
        <w:t>, from a study in Brazil,</w:t>
      </w:r>
      <w:r w:rsidR="000F17D6" w:rsidRPr="002E55DE">
        <w:rPr>
          <w:rFonts w:ascii="Times New Roman" w:hAnsi="Times New Roman"/>
          <w:bCs/>
          <w:szCs w:val="24"/>
        </w:rPr>
        <w:t xml:space="preserve"> </w:t>
      </w:r>
      <w:r w:rsidR="00ED0877" w:rsidRPr="002E55DE">
        <w:rPr>
          <w:rFonts w:ascii="Times New Roman" w:hAnsi="Times New Roman"/>
          <w:bCs/>
          <w:szCs w:val="24"/>
        </w:rPr>
        <w:t xml:space="preserve">reported </w:t>
      </w:r>
      <w:r w:rsidR="00D456D3" w:rsidRPr="002E55DE">
        <w:rPr>
          <w:rFonts w:ascii="Times New Roman" w:hAnsi="Times New Roman"/>
          <w:bCs/>
          <w:szCs w:val="24"/>
        </w:rPr>
        <w:t xml:space="preserve">higher participation in </w:t>
      </w:r>
      <w:r w:rsidR="0091212F" w:rsidRPr="002E55DE">
        <w:rPr>
          <w:rFonts w:ascii="Times New Roman" w:hAnsi="Times New Roman"/>
          <w:bCs/>
          <w:szCs w:val="24"/>
        </w:rPr>
        <w:t xml:space="preserve">one or more </w:t>
      </w:r>
      <w:r w:rsidR="00ED0877" w:rsidRPr="002E55DE">
        <w:rPr>
          <w:rFonts w:ascii="Times New Roman" w:hAnsi="Times New Roman"/>
          <w:bCs/>
          <w:szCs w:val="24"/>
        </w:rPr>
        <w:t>utilitarian</w:t>
      </w:r>
      <w:r w:rsidR="0091212F" w:rsidRPr="002E55DE">
        <w:rPr>
          <w:rFonts w:ascii="Times New Roman" w:hAnsi="Times New Roman"/>
          <w:bCs/>
          <w:szCs w:val="24"/>
        </w:rPr>
        <w:t xml:space="preserve"> bouts (of 10 minutes or more</w:t>
      </w:r>
      <w:r w:rsidR="00847C71" w:rsidRPr="002E55DE">
        <w:rPr>
          <w:rFonts w:ascii="Times New Roman" w:hAnsi="Times New Roman"/>
          <w:bCs/>
          <w:szCs w:val="24"/>
        </w:rPr>
        <w:t>)</w:t>
      </w:r>
      <w:r w:rsidR="0091212F" w:rsidRPr="002E55DE">
        <w:rPr>
          <w:rFonts w:ascii="Times New Roman" w:hAnsi="Times New Roman"/>
          <w:bCs/>
          <w:szCs w:val="24"/>
        </w:rPr>
        <w:t xml:space="preserve"> per week </w:t>
      </w:r>
      <w:r w:rsidR="00D456D3" w:rsidRPr="002E55DE">
        <w:rPr>
          <w:rFonts w:ascii="Times New Roman" w:hAnsi="Times New Roman"/>
          <w:bCs/>
          <w:szCs w:val="24"/>
        </w:rPr>
        <w:t xml:space="preserve">among individuals living </w:t>
      </w:r>
      <w:r w:rsidR="00ED0877" w:rsidRPr="002E55DE">
        <w:rPr>
          <w:rFonts w:ascii="Times New Roman" w:hAnsi="Times New Roman"/>
          <w:bCs/>
          <w:szCs w:val="24"/>
        </w:rPr>
        <w:t xml:space="preserve">in </w:t>
      </w:r>
      <w:r w:rsidR="00A16F8A" w:rsidRPr="002E55DE">
        <w:rPr>
          <w:rFonts w:ascii="Times New Roman" w:hAnsi="Times New Roman"/>
          <w:bCs/>
          <w:szCs w:val="24"/>
        </w:rPr>
        <w:t>high-</w:t>
      </w:r>
      <w:r w:rsidR="00D456D3" w:rsidRPr="002E55DE">
        <w:rPr>
          <w:rFonts w:ascii="Times New Roman" w:hAnsi="Times New Roman"/>
          <w:bCs/>
          <w:szCs w:val="24"/>
        </w:rPr>
        <w:t xml:space="preserve">population density </w:t>
      </w:r>
      <w:r w:rsidR="00ED0877" w:rsidRPr="002E55DE">
        <w:rPr>
          <w:rFonts w:ascii="Times New Roman" w:hAnsi="Times New Roman"/>
          <w:bCs/>
          <w:szCs w:val="24"/>
        </w:rPr>
        <w:t xml:space="preserve">neighborhoods with good </w:t>
      </w:r>
      <w:r w:rsidR="00DB17AD" w:rsidRPr="002E55DE">
        <w:rPr>
          <w:rFonts w:ascii="Times New Roman" w:hAnsi="Times New Roman"/>
          <w:bCs/>
          <w:szCs w:val="24"/>
        </w:rPr>
        <w:t>street connectivity</w:t>
      </w:r>
      <w:r w:rsidR="00D456D3" w:rsidRPr="002E55DE">
        <w:rPr>
          <w:rFonts w:ascii="Times New Roman" w:hAnsi="Times New Roman"/>
          <w:bCs/>
          <w:szCs w:val="24"/>
        </w:rPr>
        <w:t xml:space="preserve"> and </w:t>
      </w:r>
      <w:r w:rsidR="00DB17AD" w:rsidRPr="002E55DE">
        <w:rPr>
          <w:rFonts w:ascii="Times New Roman" w:hAnsi="Times New Roman"/>
          <w:bCs/>
          <w:szCs w:val="24"/>
        </w:rPr>
        <w:t>sidewalk availability</w:t>
      </w:r>
      <w:r w:rsidR="00ED0877" w:rsidRPr="002E55DE">
        <w:rPr>
          <w:rFonts w:ascii="Times New Roman" w:hAnsi="Times New Roman"/>
          <w:bCs/>
          <w:szCs w:val="24"/>
        </w:rPr>
        <w:t>, but</w:t>
      </w:r>
      <w:r w:rsidR="000F17D6" w:rsidRPr="002E55DE">
        <w:rPr>
          <w:rFonts w:ascii="Times New Roman" w:hAnsi="Times New Roman"/>
          <w:bCs/>
          <w:szCs w:val="24"/>
        </w:rPr>
        <w:t xml:space="preserve"> </w:t>
      </w:r>
      <w:r w:rsidR="00847C71" w:rsidRPr="002E55DE">
        <w:rPr>
          <w:rFonts w:ascii="Times New Roman" w:hAnsi="Times New Roman"/>
          <w:bCs/>
          <w:szCs w:val="24"/>
        </w:rPr>
        <w:t xml:space="preserve">observed that participation in </w:t>
      </w:r>
      <w:r w:rsidR="0091212F" w:rsidRPr="002E55DE">
        <w:rPr>
          <w:rFonts w:ascii="Times New Roman" w:hAnsi="Times New Roman"/>
          <w:bCs/>
          <w:szCs w:val="24"/>
        </w:rPr>
        <w:t xml:space="preserve">one or more </w:t>
      </w:r>
      <w:r w:rsidR="00DB17AD" w:rsidRPr="002E55DE">
        <w:rPr>
          <w:rFonts w:ascii="Times New Roman" w:hAnsi="Times New Roman"/>
          <w:bCs/>
          <w:szCs w:val="24"/>
        </w:rPr>
        <w:t xml:space="preserve">recreational walking </w:t>
      </w:r>
      <w:r w:rsidR="0091212F" w:rsidRPr="002E55DE">
        <w:rPr>
          <w:rFonts w:ascii="Times New Roman" w:hAnsi="Times New Roman"/>
          <w:bCs/>
          <w:szCs w:val="24"/>
        </w:rPr>
        <w:t>bouts (of 10 minutes or more</w:t>
      </w:r>
      <w:r w:rsidR="00847C71" w:rsidRPr="002E55DE">
        <w:rPr>
          <w:rFonts w:ascii="Times New Roman" w:hAnsi="Times New Roman"/>
          <w:bCs/>
          <w:szCs w:val="24"/>
        </w:rPr>
        <w:t>)</w:t>
      </w:r>
      <w:r w:rsidR="0091212F" w:rsidRPr="002E55DE">
        <w:rPr>
          <w:rFonts w:ascii="Times New Roman" w:hAnsi="Times New Roman"/>
          <w:bCs/>
          <w:szCs w:val="24"/>
        </w:rPr>
        <w:t xml:space="preserve"> per week </w:t>
      </w:r>
      <w:r w:rsidR="00DB17AD" w:rsidRPr="002E55DE">
        <w:rPr>
          <w:rFonts w:ascii="Times New Roman" w:hAnsi="Times New Roman"/>
          <w:bCs/>
          <w:szCs w:val="24"/>
        </w:rPr>
        <w:t xml:space="preserve">to be </w:t>
      </w:r>
      <w:r w:rsidR="00ED0877" w:rsidRPr="002E55DE">
        <w:rPr>
          <w:rFonts w:ascii="Times New Roman" w:hAnsi="Times New Roman"/>
          <w:bCs/>
          <w:szCs w:val="24"/>
        </w:rPr>
        <w:t xml:space="preserve">primarily (positively) related to the neighborhood </w:t>
      </w:r>
      <w:r w:rsidR="00DB17AD" w:rsidRPr="002E55DE">
        <w:rPr>
          <w:rFonts w:ascii="Times New Roman" w:hAnsi="Times New Roman"/>
          <w:bCs/>
          <w:szCs w:val="24"/>
        </w:rPr>
        <w:t>income level</w:t>
      </w:r>
      <w:r w:rsidR="006138FE" w:rsidRPr="002E55DE">
        <w:rPr>
          <w:rFonts w:ascii="Times New Roman" w:hAnsi="Times New Roman"/>
          <w:bCs/>
          <w:szCs w:val="24"/>
        </w:rPr>
        <w:t xml:space="preserve"> (“neighborhood” was defined in the Giehl et al. study as corresponding to the census tract of the individual’s residence).</w:t>
      </w:r>
      <w:r w:rsidR="00FB052D" w:rsidRPr="002E55DE">
        <w:rPr>
          <w:rFonts w:ascii="Times New Roman" w:hAnsi="Times New Roman"/>
          <w:bCs/>
          <w:szCs w:val="24"/>
        </w:rPr>
        <w:t xml:space="preserve"> </w:t>
      </w:r>
      <w:r w:rsidR="00DB17AD" w:rsidRPr="002E55DE">
        <w:rPr>
          <w:rFonts w:ascii="Times New Roman" w:hAnsi="Times New Roman"/>
          <w:bCs/>
          <w:szCs w:val="24"/>
        </w:rPr>
        <w:t xml:space="preserve">Complementing these findings, </w:t>
      </w:r>
      <w:bookmarkStart w:id="20" w:name="_Hlk169960397"/>
      <w:r w:rsidR="00F93255"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{"citationID":"sLr79yZy","properties":{"formattedCitation":"(Yun, 2019)","plainCitation":"(Yun, 2019)","dontUpdate":true,"noteIndex":0},"citationItems":[{"id":"4nY7bDZH/umnNXekA","uris":["http://zotero.org/users/10132210/items/EPQERRNH"],"itemData":{"id":929,"type":"article-journal","abstract":"The aim of this study is to systematically review the relationship between neighborhood environments and all types of walking behaviors among older adults. Seventy peer-reviewed journal articles which met the selection criteria were examined. Research designs were summarized by geographical location and the associations of environmental characteristics and walking were calculated. Interactions between moderators and environmental characteristics for all types of walking were also categorized. Results have shown that transport walking is the most supported by neighborhood environmental characteristics. The positively related environmental characteristics are walkability, urbanization, land use mix-diversity and accessibility, walking amenities, and bicycle lanes. Total walking was positively associated with walkability and urbanization. Recreational walking was associated with neighborhood employment/income level, nearness to public transport/bus stops, and social cohesion. The most commonly used moderators were age and gender, but inconsistent moderating eﬀects between neighborhood environments and walking were also found. In densely populated environments such as Hong Kong, older adults walked mostly for both transport and recreation. In contrast, American older adults in low density areas walked less for transport and more for recreation. Findings support a strong relationship between neighborhood environments and older adults’ walking. Future research should focus on longitudinal studies and comparison studies by geographic location.","container-title":"Sustainability","DOI":"10.3390/su11123253","ISSN":"2071-1050","issue":"12","journalAbbreviation":"Sustainability","language":"en","page":"3253","source":"DOI.org (Crossref)","title":"Environmental Factors Associated with Older Adult’s Walking Behaviors: A Systematic Review of Quantitative Studies","title-short":"Environmental Factors Associated with Older Adult’s Walking Behaviors","volume":"11","author":[{"family":"Yun","given":"Hae Young"}],"issued":{"date-parts":[["2019",6,12]]}}}],"schema":"https://github.com/citation-style-language/schema/raw/master/csl-citation.json"} </w:instrText>
      </w:r>
      <w:r w:rsidR="00F93255" w:rsidRPr="002E55DE">
        <w:rPr>
          <w:rFonts w:ascii="Times New Roman" w:hAnsi="Times New Roman"/>
          <w:bCs/>
          <w:szCs w:val="24"/>
        </w:rPr>
        <w:fldChar w:fldCharType="separate"/>
      </w:r>
      <w:r w:rsidR="00F93255" w:rsidRPr="002E55DE">
        <w:rPr>
          <w:rFonts w:ascii="Times New Roman" w:hAnsi="Times New Roman"/>
          <w:szCs w:val="24"/>
        </w:rPr>
        <w:t>Yun (2019)</w:t>
      </w:r>
      <w:r w:rsidR="00F93255" w:rsidRPr="002E55DE">
        <w:rPr>
          <w:rFonts w:ascii="Times New Roman" w:hAnsi="Times New Roman"/>
          <w:bCs/>
          <w:szCs w:val="24"/>
        </w:rPr>
        <w:fldChar w:fldCharType="end"/>
      </w:r>
      <w:r w:rsidR="00F93255" w:rsidRPr="002E55DE">
        <w:rPr>
          <w:rFonts w:ascii="Times New Roman" w:hAnsi="Times New Roman"/>
          <w:bCs/>
          <w:szCs w:val="24"/>
        </w:rPr>
        <w:t xml:space="preserve"> </w:t>
      </w:r>
      <w:bookmarkEnd w:id="20"/>
      <w:r w:rsidR="000F17D6" w:rsidRPr="002E55DE">
        <w:rPr>
          <w:rFonts w:ascii="Times New Roman" w:hAnsi="Times New Roman"/>
          <w:bCs/>
          <w:szCs w:val="24"/>
        </w:rPr>
        <w:t xml:space="preserve">conducted a systematic review </w:t>
      </w:r>
      <w:r w:rsidR="000E0D83" w:rsidRPr="002E55DE">
        <w:rPr>
          <w:rFonts w:ascii="Times New Roman" w:hAnsi="Times New Roman"/>
          <w:bCs/>
          <w:szCs w:val="24"/>
        </w:rPr>
        <w:t xml:space="preserve">of </w:t>
      </w:r>
      <w:r w:rsidR="000F17D6" w:rsidRPr="002E55DE">
        <w:rPr>
          <w:rFonts w:ascii="Times New Roman" w:hAnsi="Times New Roman"/>
          <w:bCs/>
          <w:szCs w:val="24"/>
        </w:rPr>
        <w:t>studies</w:t>
      </w:r>
      <w:r w:rsidR="00847C71" w:rsidRPr="002E55DE">
        <w:rPr>
          <w:rFonts w:ascii="Times New Roman" w:hAnsi="Times New Roman"/>
          <w:bCs/>
          <w:szCs w:val="24"/>
        </w:rPr>
        <w:t xml:space="preserve"> </w:t>
      </w:r>
      <w:r w:rsidR="000F17D6" w:rsidRPr="002E55DE">
        <w:rPr>
          <w:rFonts w:ascii="Times New Roman" w:hAnsi="Times New Roman"/>
          <w:bCs/>
          <w:szCs w:val="24"/>
        </w:rPr>
        <w:t xml:space="preserve">on the </w:t>
      </w:r>
      <w:r w:rsidR="00C55421" w:rsidRPr="002E55DE">
        <w:rPr>
          <w:rFonts w:ascii="Times New Roman" w:hAnsi="Times New Roman"/>
          <w:bCs/>
          <w:szCs w:val="24"/>
        </w:rPr>
        <w:t>BE</w:t>
      </w:r>
      <w:r w:rsidR="000F17D6" w:rsidRPr="002E55DE">
        <w:rPr>
          <w:rFonts w:ascii="Times New Roman" w:hAnsi="Times New Roman"/>
          <w:bCs/>
          <w:szCs w:val="24"/>
        </w:rPr>
        <w:t xml:space="preserve"> factors associated with older adults</w:t>
      </w:r>
      <w:r w:rsidR="00137F85" w:rsidRPr="002E55DE">
        <w:rPr>
          <w:rFonts w:ascii="Times New Roman" w:hAnsi="Times New Roman"/>
          <w:bCs/>
          <w:szCs w:val="24"/>
        </w:rPr>
        <w:t>’</w:t>
      </w:r>
      <w:r w:rsidR="000F17D6" w:rsidRPr="002E55DE">
        <w:rPr>
          <w:rFonts w:ascii="Times New Roman" w:hAnsi="Times New Roman"/>
          <w:bCs/>
          <w:szCs w:val="24"/>
        </w:rPr>
        <w:t xml:space="preserve"> walking </w:t>
      </w:r>
      <w:r w:rsidR="00C55421" w:rsidRPr="002E55DE">
        <w:rPr>
          <w:rFonts w:ascii="Times New Roman" w:hAnsi="Times New Roman"/>
          <w:bCs/>
          <w:szCs w:val="24"/>
        </w:rPr>
        <w:t xml:space="preserve">behaviors </w:t>
      </w:r>
      <w:r w:rsidR="000F17D6" w:rsidRPr="002E55DE">
        <w:rPr>
          <w:rFonts w:ascii="Times New Roman" w:hAnsi="Times New Roman"/>
          <w:bCs/>
          <w:szCs w:val="24"/>
        </w:rPr>
        <w:t xml:space="preserve">and </w:t>
      </w:r>
      <w:r w:rsidR="00A325EE" w:rsidRPr="002E55DE">
        <w:rPr>
          <w:rFonts w:ascii="Times New Roman" w:hAnsi="Times New Roman"/>
          <w:bCs/>
          <w:szCs w:val="24"/>
        </w:rPr>
        <w:t>reported that utilitarian walking frequency is associated with the physical attributes of the built environment, wh</w:t>
      </w:r>
      <w:r w:rsidR="00C55421" w:rsidRPr="002E55DE">
        <w:rPr>
          <w:rFonts w:ascii="Times New Roman" w:hAnsi="Times New Roman"/>
          <w:bCs/>
          <w:szCs w:val="24"/>
        </w:rPr>
        <w:t>ile</w:t>
      </w:r>
      <w:r w:rsidR="00A325EE" w:rsidRPr="002E55DE">
        <w:rPr>
          <w:rFonts w:ascii="Times New Roman" w:hAnsi="Times New Roman"/>
          <w:bCs/>
          <w:szCs w:val="24"/>
        </w:rPr>
        <w:t xml:space="preserve"> recreational walking frequency is more closely linked to the neighborhood</w:t>
      </w:r>
      <w:r w:rsidR="00137F85" w:rsidRPr="002E55DE">
        <w:rPr>
          <w:rFonts w:ascii="Times New Roman" w:hAnsi="Times New Roman"/>
          <w:bCs/>
          <w:szCs w:val="24"/>
        </w:rPr>
        <w:t>’</w:t>
      </w:r>
      <w:r w:rsidR="00A325EE" w:rsidRPr="002E55DE">
        <w:rPr>
          <w:rFonts w:ascii="Times New Roman" w:hAnsi="Times New Roman"/>
          <w:bCs/>
          <w:szCs w:val="24"/>
        </w:rPr>
        <w:t xml:space="preserve">s social status. Additionally, </w:t>
      </w:r>
      <w:bookmarkStart w:id="21" w:name="_Hlk169960413"/>
      <w:r w:rsidR="006F4D05"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{"citationID":"atoeJi0h","properties":{"formattedCitation":"(Wu et al., 2021)","plainCitation":"(Wu et al., 2021)","dontUpdate":true,"noteIndex":0},"citationItems":[{"id":"4nY7bDZH/TB9dVWR3","uris":["http://zotero.org/users/10132210/items/9D6LJVGL"],"itemData":{"id":935,"type":"article-journal","abstract":"Methods: The walking frequency of old adults was derived from the Zhongshan Household Travel Survey (ZHTS) in 2012. The sample size of old adults aged 60 or over was 4784 from 274 urban and rural neighborhoods. A semi-parametric generalized additive model (GAMM) is used to analyze the non-linear or non-monotonic relationships between the built environment and the walking frequency among older adults.\nResults: We found that non-linear relationships exist among ﬁve out of the six built environment characteristics. Within certain thresholds, the population density, sidewalk density, bus stop density, land use mixture, and the percentage of green space are positively related to older adults’ walking trips. Furthermore, the land use mixture and the percentage of green space show an inverse “V”-shaped relationship.\nConclusions: Built environment features can either support or hinder the walking frequency among older adults. The ﬁndings in the current study contribute to effective land use and transport policies for promoting active travel among older adults.","container-title":"Frontiers in Public Health","DOI":"10.3389/fpubh.2021.686144","ISSN":"2296-2565","journalAbbreviation":"Front. Public Health","language":"en","page":"686144","source":"DOI.org (Crossref)","title":"Non-linear Relationships Between the Built Environment and Walking Frequency Among Older Adults in Zhongshan, China","volume":"9","author":[{"family":"Wu","given":"Jiani"},{"family":"Zhao","given":"Chunli"},{"family":"Li","given":"Chaoyang"},{"family":"Wang","given":"Tao"},{"family":"Wang","given":"Lanjing"},{"family":"Zhang","given":"Yi"}],"issued":{"date-parts":[["2021",8,5]]}}}],"schema":"https://github.com/citation-style-language/schema/raw/master/csl-citation.json"} </w:instrText>
      </w:r>
      <w:r w:rsidR="006F4D05" w:rsidRPr="002E55DE">
        <w:rPr>
          <w:rFonts w:ascii="Times New Roman" w:hAnsi="Times New Roman"/>
          <w:bCs/>
          <w:szCs w:val="24"/>
        </w:rPr>
        <w:fldChar w:fldCharType="separate"/>
      </w:r>
      <w:r w:rsidR="006F4D05" w:rsidRPr="002E55DE">
        <w:rPr>
          <w:rFonts w:ascii="Times New Roman" w:hAnsi="Times New Roman"/>
          <w:szCs w:val="24"/>
        </w:rPr>
        <w:t>Wu et al. (2021)</w:t>
      </w:r>
      <w:r w:rsidR="006F4D05" w:rsidRPr="002E55DE">
        <w:rPr>
          <w:rFonts w:ascii="Times New Roman" w:hAnsi="Times New Roman"/>
          <w:bCs/>
          <w:szCs w:val="24"/>
        </w:rPr>
        <w:fldChar w:fldCharType="end"/>
      </w:r>
      <w:bookmarkEnd w:id="21"/>
      <w:r w:rsidR="00847C71" w:rsidRPr="002E55DE">
        <w:rPr>
          <w:rFonts w:ascii="Times New Roman" w:hAnsi="Times New Roman"/>
          <w:bCs/>
          <w:szCs w:val="24"/>
        </w:rPr>
        <w:t xml:space="preserve"> </w:t>
      </w:r>
      <w:r w:rsidR="00C55421" w:rsidRPr="002E55DE">
        <w:rPr>
          <w:rFonts w:ascii="Times New Roman" w:hAnsi="Times New Roman"/>
          <w:bCs/>
          <w:szCs w:val="24"/>
        </w:rPr>
        <w:t>test</w:t>
      </w:r>
      <w:r w:rsidR="00847C71" w:rsidRPr="002E55DE">
        <w:rPr>
          <w:rFonts w:ascii="Times New Roman" w:hAnsi="Times New Roman"/>
          <w:bCs/>
          <w:szCs w:val="24"/>
        </w:rPr>
        <w:t>ed</w:t>
      </w:r>
      <w:r w:rsidR="005A4C43" w:rsidRPr="002E55DE">
        <w:rPr>
          <w:rFonts w:ascii="Times New Roman" w:hAnsi="Times New Roman"/>
          <w:bCs/>
          <w:szCs w:val="24"/>
        </w:rPr>
        <w:t xml:space="preserve"> non-linear relationships between </w:t>
      </w:r>
      <w:r w:rsidR="006138FE" w:rsidRPr="002E55DE">
        <w:rPr>
          <w:rFonts w:ascii="Times New Roman" w:hAnsi="Times New Roman"/>
          <w:bCs/>
          <w:szCs w:val="24"/>
        </w:rPr>
        <w:t xml:space="preserve">neighborhood </w:t>
      </w:r>
      <w:r w:rsidR="00C55421" w:rsidRPr="002E55DE">
        <w:rPr>
          <w:rFonts w:ascii="Times New Roman" w:hAnsi="Times New Roman"/>
          <w:bCs/>
          <w:szCs w:val="24"/>
        </w:rPr>
        <w:t xml:space="preserve">BE </w:t>
      </w:r>
      <w:r w:rsidR="005A4C43" w:rsidRPr="002E55DE">
        <w:rPr>
          <w:rFonts w:ascii="Times New Roman" w:hAnsi="Times New Roman"/>
          <w:bCs/>
          <w:szCs w:val="24"/>
        </w:rPr>
        <w:t xml:space="preserve">variables </w:t>
      </w:r>
      <w:r w:rsidR="006138FE" w:rsidRPr="002E55DE">
        <w:rPr>
          <w:rFonts w:ascii="Times New Roman" w:hAnsi="Times New Roman"/>
          <w:bCs/>
          <w:szCs w:val="24"/>
        </w:rPr>
        <w:t xml:space="preserve">(a neighborhood was defined as the traffic analysis zone (TAZ) of the individual’s residence) </w:t>
      </w:r>
      <w:r w:rsidR="005A4C43" w:rsidRPr="002E55DE">
        <w:rPr>
          <w:rFonts w:ascii="Times New Roman" w:hAnsi="Times New Roman"/>
          <w:bCs/>
          <w:szCs w:val="24"/>
        </w:rPr>
        <w:t xml:space="preserve">and </w:t>
      </w:r>
      <w:r w:rsidR="00C55421" w:rsidRPr="002E55DE">
        <w:rPr>
          <w:rFonts w:ascii="Times New Roman" w:hAnsi="Times New Roman"/>
          <w:bCs/>
          <w:szCs w:val="24"/>
        </w:rPr>
        <w:t xml:space="preserve">daily </w:t>
      </w:r>
      <w:r w:rsidR="005A4C43" w:rsidRPr="002E55DE">
        <w:rPr>
          <w:rFonts w:ascii="Times New Roman" w:hAnsi="Times New Roman"/>
          <w:bCs/>
          <w:szCs w:val="24"/>
        </w:rPr>
        <w:t xml:space="preserve">walking frequency among older adults in Zhongshan, China. </w:t>
      </w:r>
      <w:r w:rsidR="006138FE" w:rsidRPr="002E55DE">
        <w:rPr>
          <w:rFonts w:ascii="Times New Roman" w:hAnsi="Times New Roman"/>
          <w:bCs/>
          <w:szCs w:val="24"/>
        </w:rPr>
        <w:t>They f</w:t>
      </w:r>
      <w:r w:rsidR="005A4C43" w:rsidRPr="002E55DE">
        <w:rPr>
          <w:rFonts w:ascii="Times New Roman" w:hAnsi="Times New Roman"/>
          <w:bCs/>
          <w:szCs w:val="24"/>
        </w:rPr>
        <w:t xml:space="preserve">ound </w:t>
      </w:r>
      <w:r w:rsidR="00847C71" w:rsidRPr="002E55DE">
        <w:rPr>
          <w:rFonts w:ascii="Times New Roman" w:hAnsi="Times New Roman"/>
          <w:bCs/>
          <w:szCs w:val="24"/>
        </w:rPr>
        <w:t xml:space="preserve">significant non-linear effects of </w:t>
      </w:r>
      <w:r w:rsidR="005A4C43" w:rsidRPr="002E55DE">
        <w:rPr>
          <w:rFonts w:ascii="Times New Roman" w:hAnsi="Times New Roman"/>
          <w:bCs/>
          <w:szCs w:val="24"/>
        </w:rPr>
        <w:t>population density</w:t>
      </w:r>
      <w:r w:rsidR="00847C71" w:rsidRPr="002E55DE">
        <w:rPr>
          <w:rFonts w:ascii="Times New Roman" w:hAnsi="Times New Roman"/>
          <w:bCs/>
          <w:szCs w:val="24"/>
        </w:rPr>
        <w:t xml:space="preserve">, </w:t>
      </w:r>
      <w:r w:rsidR="005A4C43" w:rsidRPr="002E55DE">
        <w:rPr>
          <w:rFonts w:ascii="Times New Roman" w:hAnsi="Times New Roman"/>
          <w:bCs/>
          <w:szCs w:val="24"/>
        </w:rPr>
        <w:t>bus stop density</w:t>
      </w:r>
      <w:r w:rsidR="00847C71" w:rsidRPr="002E55DE">
        <w:rPr>
          <w:rFonts w:ascii="Times New Roman" w:hAnsi="Times New Roman"/>
          <w:bCs/>
          <w:szCs w:val="24"/>
        </w:rPr>
        <w:t>, land-use mix, and s</w:t>
      </w:r>
      <w:r w:rsidR="005A4C43" w:rsidRPr="002E55DE">
        <w:rPr>
          <w:rFonts w:ascii="Times New Roman" w:hAnsi="Times New Roman"/>
          <w:bCs/>
          <w:szCs w:val="24"/>
        </w:rPr>
        <w:t xml:space="preserve">idewalk density </w:t>
      </w:r>
      <w:r w:rsidR="00847C71" w:rsidRPr="002E55DE">
        <w:rPr>
          <w:rFonts w:ascii="Times New Roman" w:hAnsi="Times New Roman"/>
          <w:bCs/>
          <w:szCs w:val="24"/>
        </w:rPr>
        <w:t>on</w:t>
      </w:r>
      <w:r w:rsidR="005A4C43" w:rsidRPr="002E55DE">
        <w:rPr>
          <w:rFonts w:ascii="Times New Roman" w:hAnsi="Times New Roman"/>
          <w:bCs/>
          <w:szCs w:val="24"/>
        </w:rPr>
        <w:t xml:space="preserve"> walking frequency</w:t>
      </w:r>
      <w:r w:rsidR="00847C71" w:rsidRPr="002E55DE">
        <w:rPr>
          <w:rFonts w:ascii="Times New Roman" w:hAnsi="Times New Roman"/>
          <w:bCs/>
          <w:szCs w:val="24"/>
        </w:rPr>
        <w:t>.</w:t>
      </w:r>
      <w:r w:rsidR="005A4C43" w:rsidRPr="002E55DE">
        <w:rPr>
          <w:rFonts w:ascii="Times New Roman" w:hAnsi="Times New Roman"/>
          <w:bCs/>
          <w:szCs w:val="24"/>
        </w:rPr>
        <w:t xml:space="preserve"> </w:t>
      </w:r>
      <w:r w:rsidR="00D570A8"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{"citationID":"49SPgnVc","properties":{"formattedCitation":"(Wu et al., 2021)","plainCitation":"(Wu et al., 2021)","dontUpdate":true,"noteIndex":0},"citationItems":[{"id":"4nY7bDZH/TB9dVWR3","uris":["http://zotero.org/users/10132210/items/9D6LJVGL"],"itemData":{"id":935,"type":"article-journal","abstract":"Methods: The walking frequency of old adults was derived from the Zhongshan Household Travel Survey (ZHTS) in 2012. The sample size of old adults aged 60 or over was 4784 from 274 urban and rural neighborhoods. A semi-parametric generalized additive model (GAMM) is used to analyze the non-linear or non-monotonic relationships between the built environment and the walking frequency among older adults.\nResults: We found that non-linear relationships exist among ﬁve out of the six built environment characteristics. Within certain thresholds, the population density, sidewalk density, bus stop density, land use mixture, and the percentage of green space are positively related to older adults’ walking trips. Furthermore, the land use mixture and the percentage of green space show an inverse “V”-shaped relationship.\nConclusions: Built environment features can either support or hinder the walking frequency among older adults. The ﬁndings in the current study contribute to effective land use and transport policies for promoting active travel among older adults.","container-title":"Frontiers in Public Health","DOI":"10.3389/fpubh.2021.686144","ISSN":"2296-2565","journalAbbreviation":"Front. Public Health","language":"en","page":"686144","source":"DOI.org (Crossref)","title":"Non-linear Relationships Between the Built Environment and Walking Frequency Among Older Adults in Zhongshan, China","volume":"9","author":[{"family":"Wu","given":"Jiani"},{"family":"Zhao","given":"Chunli"},{"family":"Li","given":"Chaoyang"},{"family":"Wang","given":"Tao"},{"family":"Wang","given":"Lanjing"},{"family":"Zhang","given":"Yi"}],"issued":{"date-parts":[["2021",8,5]]}}}],"schema":"https://github.com/citation-style-language/schema/raw/master/csl-citation.json"} </w:instrText>
      </w:r>
      <w:r w:rsidR="00D570A8" w:rsidRPr="002E55DE">
        <w:rPr>
          <w:rFonts w:ascii="Times New Roman" w:hAnsi="Times New Roman"/>
          <w:bCs/>
          <w:szCs w:val="24"/>
        </w:rPr>
        <w:fldChar w:fldCharType="separate"/>
      </w:r>
      <w:r w:rsidR="00D570A8" w:rsidRPr="002E55DE">
        <w:rPr>
          <w:rFonts w:ascii="Times New Roman" w:hAnsi="Times New Roman"/>
          <w:szCs w:val="24"/>
        </w:rPr>
        <w:t>Wu et al. (2021)</w:t>
      </w:r>
      <w:r w:rsidR="00D570A8" w:rsidRPr="002E55DE">
        <w:rPr>
          <w:rFonts w:ascii="Times New Roman" w:hAnsi="Times New Roman"/>
          <w:bCs/>
          <w:szCs w:val="24"/>
        </w:rPr>
        <w:fldChar w:fldCharType="end"/>
      </w:r>
      <w:r w:rsidR="00D570A8" w:rsidRPr="002E55DE">
        <w:rPr>
          <w:rFonts w:ascii="Times New Roman" w:hAnsi="Times New Roman"/>
          <w:bCs/>
          <w:szCs w:val="24"/>
        </w:rPr>
        <w:t xml:space="preserve"> also presented associations between personal and household sociodemographic</w:t>
      </w:r>
      <w:r w:rsidR="00D83AA1" w:rsidRPr="002E55DE">
        <w:rPr>
          <w:rFonts w:ascii="Times New Roman" w:eastAsiaTheme="minorEastAsia" w:hAnsi="Times New Roman"/>
          <w:bCs/>
          <w:szCs w:val="24"/>
          <w:lang w:eastAsia="ko-KR"/>
        </w:rPr>
        <w:t xml:space="preserve"> factors</w:t>
      </w:r>
      <w:r w:rsidR="00D570A8" w:rsidRPr="002E55DE">
        <w:rPr>
          <w:rFonts w:ascii="Times New Roman" w:hAnsi="Times New Roman"/>
          <w:bCs/>
          <w:szCs w:val="24"/>
        </w:rPr>
        <w:t xml:space="preserve"> and walking frequency among older adults</w:t>
      </w:r>
      <w:r w:rsidR="005A4C43" w:rsidRPr="002E55DE">
        <w:rPr>
          <w:rFonts w:ascii="Times New Roman" w:hAnsi="Times New Roman"/>
          <w:bCs/>
          <w:szCs w:val="24"/>
        </w:rPr>
        <w:t>. The results showed that women, those aged 60 to 70 years, and those with a positive attitude toward walking exhibited higher walking frequency, while employed individuals walked</w:t>
      </w:r>
      <w:r w:rsidR="00BF4EDE" w:rsidRPr="002E55DE">
        <w:rPr>
          <w:rFonts w:ascii="Times New Roman" w:hAnsi="Times New Roman"/>
          <w:bCs/>
          <w:szCs w:val="24"/>
        </w:rPr>
        <w:t xml:space="preserve"> significantly</w:t>
      </w:r>
      <w:r w:rsidR="005A4C43" w:rsidRPr="002E55DE">
        <w:rPr>
          <w:rFonts w:ascii="Times New Roman" w:hAnsi="Times New Roman"/>
          <w:bCs/>
          <w:szCs w:val="24"/>
        </w:rPr>
        <w:t xml:space="preserve"> less.</w:t>
      </w:r>
    </w:p>
    <w:p w14:paraId="38BD9776" w14:textId="7B65C297" w:rsidR="003518AB" w:rsidRPr="002E55DE" w:rsidRDefault="00627C3A" w:rsidP="003518AB">
      <w:pPr>
        <w:ind w:firstLine="720"/>
        <w:jc w:val="both"/>
        <w:rPr>
          <w:rFonts w:ascii="Times New Roman" w:hAnsi="Times New Roman"/>
          <w:bCs/>
          <w:szCs w:val="24"/>
        </w:rPr>
      </w:pPr>
      <w:r w:rsidRPr="002E55DE">
        <w:rPr>
          <w:rFonts w:ascii="Times New Roman" w:hAnsi="Times New Roman"/>
          <w:bCs/>
          <w:szCs w:val="24"/>
        </w:rPr>
        <w:t>During the COVID-19 pandemic, there has been an observable sh</w:t>
      </w:r>
      <w:r w:rsidR="00596FC9" w:rsidRPr="002E55DE">
        <w:rPr>
          <w:rFonts w:ascii="Times New Roman" w:hAnsi="Times New Roman"/>
          <w:bCs/>
          <w:szCs w:val="24"/>
        </w:rPr>
        <w:t>ift</w:t>
      </w:r>
      <w:r w:rsidRPr="002E55DE">
        <w:rPr>
          <w:rFonts w:ascii="Times New Roman" w:hAnsi="Times New Roman"/>
          <w:bCs/>
          <w:szCs w:val="24"/>
        </w:rPr>
        <w:t xml:space="preserve"> in travel behavior, including walking. </w:t>
      </w:r>
      <w:bookmarkStart w:id="22" w:name="_Hlk195706865"/>
      <w:r w:rsidRPr="002E55DE">
        <w:rPr>
          <w:rFonts w:ascii="Times New Roman" w:hAnsi="Times New Roman"/>
          <w:bCs/>
          <w:szCs w:val="24"/>
        </w:rPr>
        <w:t xml:space="preserve">The long-term effect of </w:t>
      </w:r>
      <w:r w:rsidR="00596FC9" w:rsidRPr="002E55DE">
        <w:rPr>
          <w:rFonts w:ascii="Times New Roman" w:hAnsi="Times New Roman"/>
          <w:bCs/>
          <w:szCs w:val="24"/>
        </w:rPr>
        <w:t xml:space="preserve">the pandemic on walking behavior </w:t>
      </w:r>
      <w:r w:rsidR="00C55421" w:rsidRPr="002E55DE">
        <w:rPr>
          <w:rFonts w:ascii="Times New Roman" w:hAnsi="Times New Roman"/>
          <w:bCs/>
          <w:szCs w:val="24"/>
        </w:rPr>
        <w:t>is</w:t>
      </w:r>
      <w:r w:rsidR="005A4C43" w:rsidRPr="002E55DE">
        <w:rPr>
          <w:rFonts w:ascii="Times New Roman" w:hAnsi="Times New Roman"/>
          <w:bCs/>
          <w:szCs w:val="24"/>
        </w:rPr>
        <w:t xml:space="preserve"> </w:t>
      </w:r>
      <w:r w:rsidRPr="002E55DE">
        <w:rPr>
          <w:rFonts w:ascii="Times New Roman" w:hAnsi="Times New Roman"/>
          <w:bCs/>
          <w:szCs w:val="24"/>
        </w:rPr>
        <w:t xml:space="preserve">the subject of emerging research, though the number of </w:t>
      </w:r>
      <w:r w:rsidR="000E0D83" w:rsidRPr="002E55DE">
        <w:rPr>
          <w:rFonts w:ascii="Times New Roman" w:hAnsi="Times New Roman"/>
          <w:bCs/>
          <w:szCs w:val="24"/>
        </w:rPr>
        <w:t>studies</w:t>
      </w:r>
      <w:r w:rsidRPr="002E55DE">
        <w:rPr>
          <w:rFonts w:ascii="Times New Roman" w:hAnsi="Times New Roman"/>
          <w:bCs/>
          <w:szCs w:val="24"/>
        </w:rPr>
        <w:t xml:space="preserve"> on this topic is limited due to the relatively short period available for assessing long-term behavioral changes</w:t>
      </w:r>
      <w:bookmarkEnd w:id="22"/>
      <w:r w:rsidRPr="002E55DE">
        <w:rPr>
          <w:rFonts w:ascii="Times New Roman" w:hAnsi="Times New Roman"/>
          <w:bCs/>
          <w:szCs w:val="24"/>
        </w:rPr>
        <w:t xml:space="preserve">. </w:t>
      </w:r>
      <w:r w:rsidR="00596FC9" w:rsidRPr="002E55DE">
        <w:rPr>
          <w:rFonts w:ascii="Times New Roman" w:hAnsi="Times New Roman"/>
          <w:bCs/>
          <w:szCs w:val="24"/>
        </w:rPr>
        <w:t xml:space="preserve">However, research conducted by </w:t>
      </w:r>
      <w:bookmarkStart w:id="23" w:name="_Hlk169960456"/>
      <w:r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{"citationID":"mgn4H5Ht","properties":{"formattedCitation":"(Hwang et al., 2023; Younes et al., 2023)","plainCitation":"(Hwang et al., 2023; Younes et al., 2023)","dontUpdate":true,"noteIndex":0},"citationItems":[{"id":"4nY7bDZH/uZyx0luw","uris":["http://zotero.org/users/10132210/items/ZARTVWR5"],"itemData":{"id":968,"type":"article-journal","container-title":"Technical paper, Department of Civil, Architectural and Environmental Engineering, The University of Texas at Austin","title":"An analysis of walking frequency before and after the pandemic","author":[{"family":"Hwang","given":"Hyunjun"},{"family":"Haddad","given":"Angela"},{"family":"Batur","given":"Irfan"},{"family":"Saxena","given":"Shobhit"},{"family":"Pendyala","given":"Ram M"},{"family":"Bhat","given":"Chandra R"}],"issued":{"date-parts":[["2023"]]}}},{"id":"4nY7bDZH/ZzAGFUq0","uris":["http://zotero.org/users/10132210/items/YYD86KPV"],"itemData":{"id":1072,"type":"article-journal","abstract":"We investigate the relationship between people who worked from home during the pandemic and how often they walked before, during, and after COVID. We find that people who worked from home during the pandemic had the largest increases in walking frequency compared to people who did not work from home and people who were unemployed. Similarly, people who work from home also expect to walk more after the pandemic subsides compared to others. After controlling for socio-economic, demographic, and transportation factors, we found that working from home and having a high income are associated with a higher propensity of walking during and after the pandemic.","container-title":"Findings","DOI":"10.32866/001c.78110","ISSN":"2652-8800","language":"en","license":"https://creativecommons.org/licenses/by-sa/4.0","source":"DOI.org (Crossref)","title":"Working from Home and Walking during and after COVID","URL":"https://findingspress.org/article/78110-working-from-home-and-walking-during-and-after-covid","author":[{"family":"Younes","given":"Hannah"},{"family":"Noland","given":"Robert B."},{"family":"Von Hagen","given":"Leigh Ann"},{"family":"Sinclair","given":"James"}],"accessed":{"date-parts":[["2024",4,3]]},"issued":{"date-parts":[["2023",6,27]]}}}],"schema":"https://github.com/citation-style-language/schema/raw/master/csl-citation.json"} </w:instrText>
      </w:r>
      <w:r w:rsidRPr="002E55DE">
        <w:rPr>
          <w:rFonts w:ascii="Times New Roman" w:hAnsi="Times New Roman"/>
          <w:bCs/>
          <w:szCs w:val="24"/>
        </w:rPr>
        <w:fldChar w:fldCharType="separate"/>
      </w:r>
      <w:r w:rsidRPr="002E55DE">
        <w:rPr>
          <w:rFonts w:ascii="Times New Roman" w:hAnsi="Times New Roman"/>
          <w:szCs w:val="24"/>
        </w:rPr>
        <w:t>Hwang et al. (2023)</w:t>
      </w:r>
      <w:r w:rsidR="00AB3EAC" w:rsidRPr="002E55DE">
        <w:rPr>
          <w:rFonts w:ascii="Times New Roman" w:hAnsi="Times New Roman"/>
          <w:szCs w:val="24"/>
        </w:rPr>
        <w:t xml:space="preserve"> </w:t>
      </w:r>
      <w:r w:rsidRPr="002E55DE">
        <w:rPr>
          <w:rFonts w:ascii="Times New Roman" w:hAnsi="Times New Roman"/>
          <w:szCs w:val="24"/>
        </w:rPr>
        <w:t>and Younes et al. (2023)</w:t>
      </w:r>
      <w:r w:rsidRPr="002E55DE">
        <w:rPr>
          <w:rFonts w:ascii="Times New Roman" w:hAnsi="Times New Roman"/>
          <w:bCs/>
          <w:szCs w:val="24"/>
        </w:rPr>
        <w:fldChar w:fldCharType="end"/>
      </w:r>
      <w:r w:rsidRPr="002E55DE">
        <w:rPr>
          <w:rFonts w:ascii="Times New Roman" w:hAnsi="Times New Roman"/>
          <w:bCs/>
          <w:szCs w:val="24"/>
        </w:rPr>
        <w:t xml:space="preserve"> </w:t>
      </w:r>
      <w:bookmarkEnd w:id="23"/>
      <w:r w:rsidRPr="002E55DE">
        <w:rPr>
          <w:rFonts w:ascii="Times New Roman" w:hAnsi="Times New Roman"/>
          <w:bCs/>
          <w:szCs w:val="24"/>
        </w:rPr>
        <w:t>us</w:t>
      </w:r>
      <w:r w:rsidR="00596FC9" w:rsidRPr="002E55DE">
        <w:rPr>
          <w:rFonts w:ascii="Times New Roman" w:hAnsi="Times New Roman"/>
          <w:bCs/>
          <w:szCs w:val="24"/>
        </w:rPr>
        <w:t>ed</w:t>
      </w:r>
      <w:r w:rsidRPr="002E55DE">
        <w:rPr>
          <w:rFonts w:ascii="Times New Roman" w:hAnsi="Times New Roman"/>
          <w:bCs/>
          <w:szCs w:val="24"/>
        </w:rPr>
        <w:t xml:space="preserve"> </w:t>
      </w:r>
      <w:r w:rsidR="009D33FC" w:rsidRPr="002E55DE">
        <w:rPr>
          <w:rFonts w:ascii="Times New Roman" w:hAnsi="Times New Roman"/>
          <w:bCs/>
          <w:szCs w:val="24"/>
        </w:rPr>
        <w:t>reported walking frequency</w:t>
      </w:r>
      <w:r w:rsidRPr="002E55DE">
        <w:rPr>
          <w:rFonts w:ascii="Times New Roman" w:hAnsi="Times New Roman"/>
          <w:bCs/>
          <w:szCs w:val="24"/>
        </w:rPr>
        <w:t xml:space="preserve"> </w:t>
      </w:r>
      <w:r w:rsidR="009D33FC" w:rsidRPr="002E55DE">
        <w:rPr>
          <w:rFonts w:ascii="Times New Roman" w:hAnsi="Times New Roman"/>
          <w:bCs/>
          <w:szCs w:val="24"/>
        </w:rPr>
        <w:t>and/</w:t>
      </w:r>
      <w:r w:rsidRPr="002E55DE">
        <w:rPr>
          <w:rFonts w:ascii="Times New Roman" w:hAnsi="Times New Roman"/>
          <w:bCs/>
          <w:szCs w:val="24"/>
        </w:rPr>
        <w:t>or</w:t>
      </w:r>
      <w:r w:rsidR="00596FC9" w:rsidRPr="002E55DE">
        <w:rPr>
          <w:rFonts w:ascii="Times New Roman" w:hAnsi="Times New Roman"/>
          <w:bCs/>
          <w:szCs w:val="24"/>
        </w:rPr>
        <w:t xml:space="preserve"> intentions </w:t>
      </w:r>
      <w:r w:rsidR="009D33FC" w:rsidRPr="002E55DE">
        <w:rPr>
          <w:rFonts w:ascii="Times New Roman" w:hAnsi="Times New Roman"/>
          <w:bCs/>
          <w:szCs w:val="24"/>
        </w:rPr>
        <w:t>regarding walking frequency</w:t>
      </w:r>
      <w:r w:rsidR="00847C71" w:rsidRPr="002E55DE">
        <w:rPr>
          <w:rFonts w:ascii="Times New Roman" w:hAnsi="Times New Roman"/>
          <w:bCs/>
          <w:szCs w:val="24"/>
        </w:rPr>
        <w:t xml:space="preserve"> to study post-pandemic walking behavior</w:t>
      </w:r>
      <w:r w:rsidRPr="002E55DE">
        <w:rPr>
          <w:rFonts w:ascii="Times New Roman" w:hAnsi="Times New Roman"/>
          <w:bCs/>
          <w:szCs w:val="24"/>
        </w:rPr>
        <w:t xml:space="preserve">. </w:t>
      </w:r>
      <w:r w:rsidR="00AB3EAC" w:rsidRPr="002E55DE">
        <w:rPr>
          <w:rFonts w:ascii="Times New Roman" w:hAnsi="Times New Roman"/>
          <w:bCs/>
          <w:szCs w:val="24"/>
        </w:rPr>
        <w:t xml:space="preserve">Hwang used a national U.S. sample, while Younes used a sample collected in New Jersey, U.S. </w:t>
      </w:r>
      <w:r w:rsidR="00596FC9" w:rsidRPr="002E55DE">
        <w:rPr>
          <w:rFonts w:ascii="Times New Roman" w:hAnsi="Times New Roman"/>
          <w:bCs/>
          <w:szCs w:val="24"/>
        </w:rPr>
        <w:t xml:space="preserve">Although both studies did not specifically </w:t>
      </w:r>
      <w:r w:rsidRPr="002E55DE">
        <w:rPr>
          <w:rFonts w:ascii="Times New Roman" w:hAnsi="Times New Roman"/>
          <w:bCs/>
          <w:szCs w:val="24"/>
        </w:rPr>
        <w:t>focus on</w:t>
      </w:r>
      <w:r w:rsidR="00847C71" w:rsidRPr="002E55DE">
        <w:rPr>
          <w:rFonts w:ascii="Times New Roman" w:hAnsi="Times New Roman"/>
          <w:bCs/>
          <w:szCs w:val="24"/>
        </w:rPr>
        <w:t xml:space="preserve"> </w:t>
      </w:r>
      <w:r w:rsidRPr="002E55DE">
        <w:rPr>
          <w:rFonts w:ascii="Times New Roman" w:hAnsi="Times New Roman"/>
          <w:bCs/>
          <w:szCs w:val="24"/>
        </w:rPr>
        <w:t xml:space="preserve">adults aged over 50 years, their findings suggest that </w:t>
      </w:r>
      <w:r w:rsidR="00596FC9" w:rsidRPr="002E55DE">
        <w:rPr>
          <w:rFonts w:ascii="Times New Roman" w:hAnsi="Times New Roman"/>
          <w:bCs/>
          <w:szCs w:val="24"/>
        </w:rPr>
        <w:t>individuals</w:t>
      </w:r>
      <w:r w:rsidRPr="002E55DE">
        <w:rPr>
          <w:rFonts w:ascii="Times New Roman" w:hAnsi="Times New Roman"/>
          <w:bCs/>
          <w:szCs w:val="24"/>
        </w:rPr>
        <w:t xml:space="preserve"> with</w:t>
      </w:r>
      <w:r w:rsidR="00596FC9" w:rsidRPr="002E55DE">
        <w:rPr>
          <w:rFonts w:ascii="Times New Roman" w:hAnsi="Times New Roman"/>
          <w:bCs/>
          <w:szCs w:val="24"/>
        </w:rPr>
        <w:t xml:space="preserve"> greater flexibility</w:t>
      </w:r>
      <w:r w:rsidRPr="002E55DE">
        <w:rPr>
          <w:rFonts w:ascii="Times New Roman" w:hAnsi="Times New Roman"/>
          <w:bCs/>
          <w:szCs w:val="24"/>
        </w:rPr>
        <w:t xml:space="preserve"> </w:t>
      </w:r>
      <w:r w:rsidR="000E0D83" w:rsidRPr="002E55DE">
        <w:rPr>
          <w:rFonts w:ascii="Times New Roman" w:hAnsi="Times New Roman"/>
          <w:bCs/>
          <w:szCs w:val="24"/>
        </w:rPr>
        <w:t xml:space="preserve">and </w:t>
      </w:r>
      <w:r w:rsidRPr="002E55DE">
        <w:rPr>
          <w:rFonts w:ascii="Times New Roman" w:hAnsi="Times New Roman"/>
          <w:bCs/>
          <w:szCs w:val="24"/>
        </w:rPr>
        <w:t>resource</w:t>
      </w:r>
      <w:r w:rsidR="00596FC9" w:rsidRPr="002E55DE">
        <w:rPr>
          <w:rFonts w:ascii="Times New Roman" w:hAnsi="Times New Roman"/>
          <w:bCs/>
          <w:szCs w:val="24"/>
        </w:rPr>
        <w:t>s</w:t>
      </w:r>
      <w:r w:rsidRPr="002E55DE">
        <w:rPr>
          <w:rFonts w:ascii="Times New Roman" w:hAnsi="Times New Roman"/>
          <w:bCs/>
          <w:szCs w:val="24"/>
        </w:rPr>
        <w:t xml:space="preserve">, such as </w:t>
      </w:r>
      <w:r w:rsidR="00596FC9" w:rsidRPr="002E55DE">
        <w:rPr>
          <w:rFonts w:ascii="Times New Roman" w:hAnsi="Times New Roman"/>
          <w:bCs/>
          <w:szCs w:val="24"/>
        </w:rPr>
        <w:t xml:space="preserve">the ability </w:t>
      </w:r>
      <w:r w:rsidRPr="002E55DE">
        <w:rPr>
          <w:rFonts w:ascii="Times New Roman" w:hAnsi="Times New Roman"/>
          <w:bCs/>
          <w:szCs w:val="24"/>
        </w:rPr>
        <w:t>to work from home</w:t>
      </w:r>
      <w:r w:rsidR="00596FC9" w:rsidRPr="002E55DE">
        <w:rPr>
          <w:rFonts w:ascii="Times New Roman" w:hAnsi="Times New Roman"/>
          <w:bCs/>
          <w:szCs w:val="24"/>
        </w:rPr>
        <w:t xml:space="preserve"> </w:t>
      </w:r>
      <w:r w:rsidR="00847C71" w:rsidRPr="002E55DE">
        <w:rPr>
          <w:rFonts w:ascii="Times New Roman" w:hAnsi="Times New Roman"/>
          <w:bCs/>
          <w:szCs w:val="24"/>
        </w:rPr>
        <w:t>and</w:t>
      </w:r>
      <w:r w:rsidRPr="002E55DE">
        <w:rPr>
          <w:rFonts w:ascii="Times New Roman" w:hAnsi="Times New Roman"/>
          <w:bCs/>
          <w:szCs w:val="24"/>
        </w:rPr>
        <w:t xml:space="preserve"> higher income levels</w:t>
      </w:r>
      <w:r w:rsidR="00596FC9" w:rsidRPr="002E55DE">
        <w:rPr>
          <w:rFonts w:ascii="Times New Roman" w:hAnsi="Times New Roman"/>
          <w:bCs/>
          <w:szCs w:val="24"/>
        </w:rPr>
        <w:t>,</w:t>
      </w:r>
      <w:r w:rsidRPr="002E55DE">
        <w:rPr>
          <w:rFonts w:ascii="Times New Roman" w:hAnsi="Times New Roman"/>
          <w:bCs/>
          <w:szCs w:val="24"/>
        </w:rPr>
        <w:t xml:space="preserve"> </w:t>
      </w:r>
      <w:r w:rsidR="00847C71" w:rsidRPr="002E55DE">
        <w:rPr>
          <w:rFonts w:ascii="Times New Roman" w:hAnsi="Times New Roman"/>
          <w:bCs/>
          <w:szCs w:val="24"/>
        </w:rPr>
        <w:lastRenderedPageBreak/>
        <w:t>walked more frequently than their peers</w:t>
      </w:r>
      <w:r w:rsidRPr="002E55DE">
        <w:rPr>
          <w:rFonts w:ascii="Times New Roman" w:hAnsi="Times New Roman"/>
          <w:bCs/>
          <w:szCs w:val="24"/>
        </w:rPr>
        <w:t>. Hwang et al. (2023)</w:t>
      </w:r>
      <w:r w:rsidR="00596FC9" w:rsidRPr="002E55DE">
        <w:rPr>
          <w:rFonts w:ascii="Times New Roman" w:hAnsi="Times New Roman"/>
          <w:bCs/>
          <w:szCs w:val="24"/>
        </w:rPr>
        <w:t xml:space="preserve"> further</w:t>
      </w:r>
      <w:r w:rsidRPr="002E55DE">
        <w:rPr>
          <w:rFonts w:ascii="Times New Roman" w:hAnsi="Times New Roman"/>
          <w:bCs/>
          <w:szCs w:val="24"/>
        </w:rPr>
        <w:t xml:space="preserve"> provide</w:t>
      </w:r>
      <w:r w:rsidR="005A4C43" w:rsidRPr="002E55DE">
        <w:rPr>
          <w:rFonts w:ascii="Times New Roman" w:hAnsi="Times New Roman"/>
          <w:bCs/>
          <w:szCs w:val="24"/>
        </w:rPr>
        <w:t>d</w:t>
      </w:r>
      <w:r w:rsidRPr="002E55DE">
        <w:rPr>
          <w:rFonts w:ascii="Times New Roman" w:hAnsi="Times New Roman"/>
          <w:bCs/>
          <w:szCs w:val="24"/>
        </w:rPr>
        <w:t xml:space="preserve"> a comparative analysis of walking frequency before and after the pandemic</w:t>
      </w:r>
      <w:r w:rsidR="00847C71" w:rsidRPr="002E55DE">
        <w:rPr>
          <w:rFonts w:ascii="Times New Roman" w:hAnsi="Times New Roman"/>
          <w:bCs/>
          <w:szCs w:val="24"/>
        </w:rPr>
        <w:t xml:space="preserve">, noting a </w:t>
      </w:r>
      <w:r w:rsidRPr="002E55DE">
        <w:rPr>
          <w:rFonts w:ascii="Times New Roman" w:hAnsi="Times New Roman"/>
          <w:bCs/>
          <w:szCs w:val="24"/>
        </w:rPr>
        <w:t>dec</w:t>
      </w:r>
      <w:r w:rsidR="00847C71" w:rsidRPr="002E55DE">
        <w:rPr>
          <w:rFonts w:ascii="Times New Roman" w:hAnsi="Times New Roman"/>
          <w:bCs/>
          <w:szCs w:val="24"/>
        </w:rPr>
        <w:t xml:space="preserve">line </w:t>
      </w:r>
      <w:r w:rsidR="00596FC9" w:rsidRPr="002E55DE">
        <w:rPr>
          <w:rFonts w:ascii="Times New Roman" w:hAnsi="Times New Roman"/>
          <w:bCs/>
          <w:szCs w:val="24"/>
        </w:rPr>
        <w:t>in</w:t>
      </w:r>
      <w:r w:rsidRPr="002E55DE">
        <w:rPr>
          <w:rFonts w:ascii="Times New Roman" w:hAnsi="Times New Roman"/>
          <w:bCs/>
          <w:szCs w:val="24"/>
        </w:rPr>
        <w:t xml:space="preserve"> walking activity among individuals over 65</w:t>
      </w:r>
      <w:r w:rsidR="006B4E66" w:rsidRPr="002E55DE">
        <w:rPr>
          <w:rFonts w:ascii="Times New Roman" w:hAnsi="Times New Roman"/>
          <w:bCs/>
          <w:szCs w:val="24"/>
        </w:rPr>
        <w:t xml:space="preserve"> years of age</w:t>
      </w:r>
      <w:r w:rsidR="00156C80" w:rsidRPr="002E55DE">
        <w:rPr>
          <w:rFonts w:ascii="Times New Roman" w:hAnsi="Times New Roman"/>
          <w:bCs/>
          <w:szCs w:val="24"/>
        </w:rPr>
        <w:t>.</w:t>
      </w:r>
      <w:r w:rsidR="006B4E66" w:rsidRPr="002E55DE">
        <w:rPr>
          <w:rFonts w:ascii="Times New Roman" w:hAnsi="Times New Roman"/>
          <w:bCs/>
          <w:szCs w:val="24"/>
        </w:rPr>
        <w:t xml:space="preserve"> Similar to</w:t>
      </w:r>
      <w:r w:rsidR="00BF497C" w:rsidRPr="002E55DE">
        <w:rPr>
          <w:rFonts w:ascii="Times New Roman" w:eastAsiaTheme="minorEastAsia" w:hAnsi="Times New Roman" w:hint="eastAsia"/>
          <w:bCs/>
          <w:szCs w:val="24"/>
          <w:lang w:eastAsia="ko-KR"/>
        </w:rPr>
        <w:t xml:space="preserve"> </w:t>
      </w:r>
      <w:r w:rsidR="006B4E66" w:rsidRPr="002E55DE">
        <w:rPr>
          <w:rFonts w:ascii="Times New Roman" w:hAnsi="Times New Roman"/>
          <w:bCs/>
          <w:szCs w:val="24"/>
        </w:rPr>
        <w:t>Giehl et al. (2016), high neighborhood (based on zip-code) population density, good neighborhood walk and bicycle infrastructure, and proximity to the nearest bus stop also turned out to be positive determinants of walk frequency</w:t>
      </w:r>
      <w:r w:rsidR="006F2489" w:rsidRPr="002E55DE">
        <w:rPr>
          <w:rFonts w:ascii="Times New Roman" w:hAnsi="Times New Roman"/>
          <w:bCs/>
          <w:szCs w:val="24"/>
        </w:rPr>
        <w:t xml:space="preserve">. </w:t>
      </w:r>
      <w:r w:rsidR="00156C80" w:rsidRPr="002E55DE">
        <w:rPr>
          <w:rFonts w:ascii="Times New Roman" w:hAnsi="Times New Roman"/>
          <w:bCs/>
          <w:szCs w:val="24"/>
        </w:rPr>
        <w:t xml:space="preserve">Additionally, </w:t>
      </w:r>
      <w:r w:rsidR="00847C71" w:rsidRPr="002E55DE">
        <w:rPr>
          <w:rFonts w:ascii="Times New Roman" w:hAnsi="Times New Roman"/>
          <w:bCs/>
          <w:szCs w:val="24"/>
        </w:rPr>
        <w:t>Hwang et al.</w:t>
      </w:r>
      <w:r w:rsidR="00156C80" w:rsidRPr="002E55DE">
        <w:rPr>
          <w:rFonts w:ascii="Times New Roman" w:hAnsi="Times New Roman"/>
          <w:bCs/>
          <w:szCs w:val="24"/>
        </w:rPr>
        <w:t xml:space="preserve"> </w:t>
      </w:r>
      <w:r w:rsidRPr="002E55DE">
        <w:rPr>
          <w:rFonts w:ascii="Times New Roman" w:hAnsi="Times New Roman"/>
          <w:bCs/>
          <w:szCs w:val="24"/>
        </w:rPr>
        <w:t>explor</w:t>
      </w:r>
      <w:r w:rsidR="00156C80" w:rsidRPr="002E55DE">
        <w:rPr>
          <w:rFonts w:ascii="Times New Roman" w:hAnsi="Times New Roman"/>
          <w:bCs/>
          <w:szCs w:val="24"/>
        </w:rPr>
        <w:t>e</w:t>
      </w:r>
      <w:r w:rsidR="005A4C43" w:rsidRPr="002E55DE">
        <w:rPr>
          <w:rFonts w:ascii="Times New Roman" w:hAnsi="Times New Roman"/>
          <w:bCs/>
          <w:szCs w:val="24"/>
        </w:rPr>
        <w:t>d</w:t>
      </w:r>
      <w:r w:rsidRPr="002E55DE">
        <w:rPr>
          <w:rFonts w:ascii="Times New Roman" w:hAnsi="Times New Roman"/>
          <w:bCs/>
          <w:szCs w:val="24"/>
        </w:rPr>
        <w:t xml:space="preserve"> reasons affecting the decisions to walk </w:t>
      </w:r>
      <w:r w:rsidR="00697C9E" w:rsidRPr="002E55DE">
        <w:rPr>
          <w:rFonts w:ascii="Times New Roman" w:hAnsi="Times New Roman"/>
          <w:bCs/>
          <w:szCs w:val="24"/>
        </w:rPr>
        <w:t xml:space="preserve">and </w:t>
      </w:r>
      <w:r w:rsidR="005A4C43" w:rsidRPr="002E55DE">
        <w:rPr>
          <w:rFonts w:ascii="Times New Roman" w:hAnsi="Times New Roman"/>
          <w:bCs/>
          <w:szCs w:val="24"/>
        </w:rPr>
        <w:t xml:space="preserve">found </w:t>
      </w:r>
      <w:r w:rsidR="00847C71" w:rsidRPr="002E55DE">
        <w:rPr>
          <w:rFonts w:ascii="Times New Roman" w:hAnsi="Times New Roman"/>
          <w:bCs/>
          <w:szCs w:val="24"/>
        </w:rPr>
        <w:t xml:space="preserve">walking to be </w:t>
      </w:r>
      <w:r w:rsidR="005A4C43" w:rsidRPr="002E55DE">
        <w:rPr>
          <w:rFonts w:ascii="Times New Roman" w:hAnsi="Times New Roman"/>
          <w:bCs/>
          <w:szCs w:val="24"/>
        </w:rPr>
        <w:t xml:space="preserve">more </w:t>
      </w:r>
      <w:r w:rsidR="00BB2FEE" w:rsidRPr="002E55DE">
        <w:rPr>
          <w:rFonts w:ascii="Times New Roman" w:hAnsi="Times New Roman"/>
          <w:bCs/>
          <w:szCs w:val="24"/>
        </w:rPr>
        <w:t>motivated</w:t>
      </w:r>
      <w:r w:rsidR="000266E0" w:rsidRPr="002E55DE">
        <w:rPr>
          <w:rFonts w:ascii="Times New Roman" w:hAnsi="Times New Roman"/>
          <w:bCs/>
          <w:szCs w:val="24"/>
        </w:rPr>
        <w:t xml:space="preserve"> </w:t>
      </w:r>
      <w:r w:rsidR="00BB2FEE" w:rsidRPr="002E55DE">
        <w:rPr>
          <w:rFonts w:ascii="Times New Roman" w:hAnsi="Times New Roman"/>
          <w:bCs/>
          <w:szCs w:val="24"/>
        </w:rPr>
        <w:t xml:space="preserve">by </w:t>
      </w:r>
      <w:r w:rsidR="00847C71" w:rsidRPr="002E55DE">
        <w:rPr>
          <w:rFonts w:ascii="Times New Roman" w:hAnsi="Times New Roman"/>
          <w:bCs/>
          <w:szCs w:val="24"/>
        </w:rPr>
        <w:t>recreation desires than utilitarian pursuits</w:t>
      </w:r>
      <w:r w:rsidR="001F36DB" w:rsidRPr="002E55DE">
        <w:rPr>
          <w:rFonts w:ascii="Times New Roman" w:hAnsi="Times New Roman"/>
          <w:bCs/>
          <w:szCs w:val="24"/>
        </w:rPr>
        <w:t>.</w:t>
      </w:r>
      <w:r w:rsidRPr="002E55DE">
        <w:rPr>
          <w:rFonts w:ascii="Times New Roman" w:hAnsi="Times New Roman"/>
          <w:bCs/>
          <w:szCs w:val="24"/>
        </w:rPr>
        <w:t xml:space="preserve"> Yo</w:t>
      </w:r>
      <w:r w:rsidR="004F19C4" w:rsidRPr="002E55DE">
        <w:rPr>
          <w:rFonts w:ascii="Times New Roman" w:hAnsi="Times New Roman"/>
          <w:bCs/>
          <w:szCs w:val="24"/>
        </w:rPr>
        <w:t>u</w:t>
      </w:r>
      <w:r w:rsidRPr="002E55DE">
        <w:rPr>
          <w:rFonts w:ascii="Times New Roman" w:hAnsi="Times New Roman"/>
          <w:bCs/>
          <w:szCs w:val="24"/>
        </w:rPr>
        <w:t xml:space="preserve">nes et al. (2023) </w:t>
      </w:r>
      <w:r w:rsidR="009D33FC" w:rsidRPr="002E55DE">
        <w:rPr>
          <w:rFonts w:ascii="Times New Roman" w:hAnsi="Times New Roman"/>
          <w:bCs/>
          <w:szCs w:val="24"/>
        </w:rPr>
        <w:t xml:space="preserve">used both reported walk frequency during the pandemic (based on surveys conducted in the winters of 2020-2021 and 2021-2022), as well as walk frequency intent in the longer term future. </w:t>
      </w:r>
      <w:r w:rsidR="005A4C43" w:rsidRPr="002E55DE">
        <w:rPr>
          <w:rFonts w:ascii="Times New Roman" w:hAnsi="Times New Roman"/>
          <w:bCs/>
          <w:szCs w:val="24"/>
        </w:rPr>
        <w:t>They</w:t>
      </w:r>
      <w:r w:rsidR="00B610FC" w:rsidRPr="002E55DE">
        <w:rPr>
          <w:rFonts w:ascii="Times New Roman" w:hAnsi="Times New Roman"/>
          <w:bCs/>
          <w:szCs w:val="24"/>
        </w:rPr>
        <w:t xml:space="preserve"> found that</w:t>
      </w:r>
      <w:r w:rsidR="000B6BA2" w:rsidRPr="002E55DE">
        <w:rPr>
          <w:rFonts w:ascii="Times New Roman" w:hAnsi="Times New Roman"/>
          <w:bCs/>
          <w:szCs w:val="24"/>
        </w:rPr>
        <w:t xml:space="preserve"> individuals aged over 50 years </w:t>
      </w:r>
      <w:r w:rsidR="005A4C43" w:rsidRPr="002E55DE">
        <w:rPr>
          <w:rFonts w:ascii="Times New Roman" w:hAnsi="Times New Roman"/>
          <w:bCs/>
          <w:szCs w:val="24"/>
        </w:rPr>
        <w:t>were</w:t>
      </w:r>
      <w:r w:rsidR="000B6BA2" w:rsidRPr="002E55DE">
        <w:rPr>
          <w:rFonts w:ascii="Times New Roman" w:hAnsi="Times New Roman"/>
          <w:bCs/>
          <w:szCs w:val="24"/>
        </w:rPr>
        <w:t xml:space="preserve"> less likely to increase walking during the pandemic</w:t>
      </w:r>
      <w:r w:rsidR="005A4C43" w:rsidRPr="002E55DE">
        <w:rPr>
          <w:rFonts w:ascii="Times New Roman" w:hAnsi="Times New Roman"/>
          <w:bCs/>
          <w:szCs w:val="24"/>
        </w:rPr>
        <w:t>.</w:t>
      </w:r>
      <w:r w:rsidR="005A4C43" w:rsidRPr="002E55DE">
        <w:rPr>
          <w:rFonts w:ascii="Times New Roman" w:hAnsi="Times New Roman"/>
          <w:szCs w:val="24"/>
        </w:rPr>
        <w:t xml:space="preserve"> </w:t>
      </w:r>
      <w:r w:rsidR="005A4C43" w:rsidRPr="002E55DE">
        <w:rPr>
          <w:rFonts w:ascii="Times New Roman" w:hAnsi="Times New Roman"/>
          <w:bCs/>
          <w:szCs w:val="24"/>
        </w:rPr>
        <w:t>However, when considering the desire to walk more after the pandemic</w:t>
      </w:r>
      <w:r w:rsidR="009D33FC" w:rsidRPr="002E55DE">
        <w:rPr>
          <w:rFonts w:ascii="Times New Roman" w:hAnsi="Times New Roman"/>
          <w:bCs/>
          <w:szCs w:val="24"/>
        </w:rPr>
        <w:t xml:space="preserve"> in the longer term future</w:t>
      </w:r>
      <w:r w:rsidR="005A4C43" w:rsidRPr="002E55DE">
        <w:rPr>
          <w:rFonts w:ascii="Times New Roman" w:hAnsi="Times New Roman"/>
          <w:bCs/>
          <w:szCs w:val="24"/>
        </w:rPr>
        <w:t>, there was no significant difference among age groups, suggesting that older adults may be more inclined to resume or increase their walking habits once</w:t>
      </w:r>
      <w:r w:rsidR="009D33FC" w:rsidRPr="002E55DE">
        <w:rPr>
          <w:rFonts w:ascii="Times New Roman" w:hAnsi="Times New Roman"/>
          <w:bCs/>
          <w:szCs w:val="24"/>
        </w:rPr>
        <w:t xml:space="preserve"> </w:t>
      </w:r>
      <w:r w:rsidR="005A4C43" w:rsidRPr="002E55DE">
        <w:rPr>
          <w:rFonts w:ascii="Times New Roman" w:hAnsi="Times New Roman"/>
          <w:bCs/>
          <w:szCs w:val="24"/>
        </w:rPr>
        <w:t>pandemic-relate</w:t>
      </w:r>
      <w:r w:rsidR="009D33FC" w:rsidRPr="002E55DE">
        <w:rPr>
          <w:rFonts w:ascii="Times New Roman" w:hAnsi="Times New Roman"/>
          <w:bCs/>
          <w:szCs w:val="24"/>
        </w:rPr>
        <w:t>d health concerns lessen</w:t>
      </w:r>
      <w:r w:rsidR="005A4C43" w:rsidRPr="002E55DE">
        <w:rPr>
          <w:rFonts w:ascii="Times New Roman" w:hAnsi="Times New Roman"/>
          <w:bCs/>
          <w:szCs w:val="24"/>
        </w:rPr>
        <w:t>.</w:t>
      </w:r>
      <w:r w:rsidR="007E3446" w:rsidRPr="002E55DE">
        <w:rPr>
          <w:rFonts w:ascii="Times New Roman" w:hAnsi="Times New Roman"/>
          <w:bCs/>
          <w:szCs w:val="24"/>
        </w:rPr>
        <w:t xml:space="preserve"> Work frequency from home </w:t>
      </w:r>
      <w:r w:rsidR="009D33FC" w:rsidRPr="002E55DE">
        <w:rPr>
          <w:rFonts w:ascii="Times New Roman" w:hAnsi="Times New Roman"/>
          <w:bCs/>
          <w:szCs w:val="24"/>
        </w:rPr>
        <w:t xml:space="preserve">(the main exogenous variable of interest) </w:t>
      </w:r>
      <w:r w:rsidR="007E3446" w:rsidRPr="002E55DE">
        <w:rPr>
          <w:rFonts w:ascii="Times New Roman" w:hAnsi="Times New Roman"/>
          <w:bCs/>
          <w:szCs w:val="24"/>
        </w:rPr>
        <w:t xml:space="preserve">and high incomes also had a positive effect on walking frequency in the immediate aftermath of the pandemic as well as </w:t>
      </w:r>
      <w:r w:rsidR="009D33FC" w:rsidRPr="002E55DE">
        <w:rPr>
          <w:rFonts w:ascii="Times New Roman" w:hAnsi="Times New Roman"/>
          <w:bCs/>
          <w:szCs w:val="24"/>
        </w:rPr>
        <w:t xml:space="preserve">in the context of </w:t>
      </w:r>
      <w:r w:rsidR="007E3446" w:rsidRPr="002E55DE">
        <w:rPr>
          <w:rFonts w:ascii="Times New Roman" w:hAnsi="Times New Roman"/>
          <w:bCs/>
          <w:szCs w:val="24"/>
        </w:rPr>
        <w:t>future walk frequency intentions.</w:t>
      </w:r>
    </w:p>
    <w:p w14:paraId="37B58FFA" w14:textId="609B1691" w:rsidR="00A325EE" w:rsidRPr="002E55DE" w:rsidRDefault="007E3446" w:rsidP="003518AB">
      <w:pPr>
        <w:ind w:firstLine="720"/>
        <w:jc w:val="both"/>
        <w:rPr>
          <w:lang w:eastAsia="ko-KR"/>
        </w:rPr>
      </w:pPr>
      <w:r w:rsidRPr="002E55DE">
        <w:rPr>
          <w:rFonts w:ascii="Times New Roman" w:hAnsi="Times New Roman"/>
          <w:bCs/>
          <w:szCs w:val="24"/>
        </w:rPr>
        <w:t xml:space="preserve"> </w:t>
      </w:r>
    </w:p>
    <w:p w14:paraId="5755FF04" w14:textId="5F28B2BD" w:rsidR="005E296D" w:rsidRPr="002E55DE" w:rsidRDefault="005E296D" w:rsidP="003518AB">
      <w:pPr>
        <w:pStyle w:val="Heading2"/>
        <w:spacing w:line="240" w:lineRule="auto"/>
        <w:ind w:hanging="540"/>
        <w:contextualSpacing w:val="0"/>
        <w:jc w:val="both"/>
        <w:rPr>
          <w:lang w:eastAsia="ko-KR"/>
        </w:rPr>
      </w:pPr>
      <w:r w:rsidRPr="002E55DE">
        <w:rPr>
          <w:lang w:eastAsia="ko-KR"/>
        </w:rPr>
        <w:t>Duration as Measure of Walking Habit</w:t>
      </w:r>
      <w:r w:rsidR="00BF4EDE" w:rsidRPr="002E55DE">
        <w:rPr>
          <w:lang w:eastAsia="ko-KR"/>
        </w:rPr>
        <w:t>s</w:t>
      </w:r>
    </w:p>
    <w:p w14:paraId="3DC96466" w14:textId="298EF6C5" w:rsidR="004F19C4" w:rsidRPr="002E55DE" w:rsidRDefault="004F19C4" w:rsidP="003518AB">
      <w:pPr>
        <w:autoSpaceDE w:val="0"/>
        <w:autoSpaceDN w:val="0"/>
        <w:adjustRightInd w:val="0"/>
        <w:jc w:val="both"/>
        <w:rPr>
          <w:sz w:val="22"/>
          <w:szCs w:val="22"/>
          <w:bdr w:val="none" w:sz="0" w:space="0" w:color="auto" w:frame="1"/>
          <w:shd w:val="clear" w:color="auto" w:fill="FFFFFF"/>
        </w:rPr>
      </w:pPr>
      <w:r w:rsidRPr="002E55DE">
        <w:rPr>
          <w:rFonts w:ascii="Times New Roman" w:hAnsi="Times New Roman"/>
          <w:bCs/>
          <w:szCs w:val="24"/>
        </w:rPr>
        <w:t>T</w:t>
      </w:r>
      <w:r w:rsidR="005F6152" w:rsidRPr="002E55DE">
        <w:rPr>
          <w:rFonts w:ascii="Times New Roman" w:hAnsi="Times New Roman"/>
          <w:bCs/>
          <w:szCs w:val="24"/>
        </w:rPr>
        <w:t>he emphasis placed by the USH</w:t>
      </w:r>
      <w:r w:rsidR="007F24B9" w:rsidRPr="002E55DE">
        <w:rPr>
          <w:rFonts w:ascii="Times New Roman" w:hAnsi="Times New Roman"/>
          <w:bCs/>
          <w:szCs w:val="24"/>
        </w:rPr>
        <w:t>H</w:t>
      </w:r>
      <w:r w:rsidRPr="002E55DE">
        <w:rPr>
          <w:rFonts w:ascii="Times New Roman" w:hAnsi="Times New Roman"/>
          <w:bCs/>
          <w:szCs w:val="24"/>
        </w:rPr>
        <w:t>S</w:t>
      </w:r>
      <w:r w:rsidR="005F6152" w:rsidRPr="002E55DE">
        <w:rPr>
          <w:rFonts w:ascii="Times New Roman" w:hAnsi="Times New Roman"/>
          <w:bCs/>
          <w:szCs w:val="24"/>
        </w:rPr>
        <w:t xml:space="preserve"> and other health organizations on total weekly physical activity duration</w:t>
      </w:r>
      <w:r w:rsidRPr="002E55DE">
        <w:rPr>
          <w:rFonts w:ascii="Times New Roman" w:hAnsi="Times New Roman"/>
          <w:bCs/>
          <w:szCs w:val="24"/>
        </w:rPr>
        <w:t xml:space="preserve"> has led to many studies </w:t>
      </w:r>
      <w:r w:rsidR="005F6152" w:rsidRPr="002E55DE">
        <w:rPr>
          <w:rFonts w:ascii="Times New Roman" w:hAnsi="Times New Roman"/>
          <w:bCs/>
          <w:szCs w:val="24"/>
        </w:rPr>
        <w:t xml:space="preserve">on weekly </w:t>
      </w:r>
      <w:r w:rsidRPr="002E55DE">
        <w:rPr>
          <w:rFonts w:ascii="Times New Roman" w:hAnsi="Times New Roman"/>
          <w:bCs/>
          <w:szCs w:val="24"/>
        </w:rPr>
        <w:t xml:space="preserve">walk </w:t>
      </w:r>
      <w:r w:rsidR="005F6152" w:rsidRPr="002E55DE">
        <w:rPr>
          <w:rFonts w:ascii="Times New Roman" w:hAnsi="Times New Roman"/>
          <w:bCs/>
          <w:szCs w:val="24"/>
        </w:rPr>
        <w:t>duration</w:t>
      </w:r>
      <w:r w:rsidRPr="002E55DE">
        <w:rPr>
          <w:rFonts w:ascii="Times New Roman" w:hAnsi="Times New Roman"/>
          <w:bCs/>
          <w:szCs w:val="24"/>
        </w:rPr>
        <w:t xml:space="preserve">. </w:t>
      </w:r>
      <w:bookmarkStart w:id="24" w:name="_Hlk169960587"/>
      <w:r w:rsidR="00F32872"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{"citationID":"yMuPfrQL","properties":{"formattedCitation":"(Nagel et al., 2008)","plainCitation":"(Nagel et al., 2008)","dontUpdate":true,"noteIndex":0},"citationItems":[{"id":"4nY7bDZH/OB5Nf5Wk","uris":["http://zotero.org/users/10132210/items/ARMZ93DP"],"itemData":{"id":919,"type":"article-journal","container-title":"American Journal of Epidemiology","DOI":"10.1093/aje/kwn158","ISSN":"0002-9262, 1476-6256","issue":"4","journalAbbreviation":"American Journal of Epidemiology","language":"en","page":"461-468","source":"DOI.org (Crossref)","title":"The Relation between Neighborhood Built Environment and Walking Activity among Older Adults","volume":"168","author":[{"family":"Nagel","given":"C. L."},{"family":"Carlson","given":"N. E."},{"family":"Bosworth","given":"M."},{"family":"Michael","given":"Y. L."}],"issued":{"date-parts":[["2008",6,30]]}}}],"schema":"https://github.com/citation-style-language/schema/raw/master/csl-citation.json"} </w:instrText>
      </w:r>
      <w:r w:rsidR="00F32872" w:rsidRPr="002E55DE">
        <w:rPr>
          <w:rFonts w:ascii="Times New Roman" w:hAnsi="Times New Roman"/>
          <w:bCs/>
          <w:szCs w:val="24"/>
        </w:rPr>
        <w:fldChar w:fldCharType="separate"/>
      </w:r>
      <w:r w:rsidR="00F32872" w:rsidRPr="002E55DE">
        <w:rPr>
          <w:rFonts w:ascii="Times New Roman" w:hAnsi="Times New Roman"/>
          <w:szCs w:val="24"/>
        </w:rPr>
        <w:t>Nagel et al. (2008)</w:t>
      </w:r>
      <w:r w:rsidR="00F32872" w:rsidRPr="002E55DE">
        <w:rPr>
          <w:rFonts w:ascii="Times New Roman" w:hAnsi="Times New Roman"/>
          <w:bCs/>
          <w:szCs w:val="24"/>
        </w:rPr>
        <w:fldChar w:fldCharType="end"/>
      </w:r>
      <w:bookmarkEnd w:id="24"/>
      <w:r w:rsidR="00D6795E" w:rsidRPr="002E55DE">
        <w:rPr>
          <w:rFonts w:ascii="Times New Roman" w:hAnsi="Times New Roman"/>
          <w:bCs/>
          <w:szCs w:val="24"/>
        </w:rPr>
        <w:t xml:space="preserve">, based on their study in Portland in the U.S., </w:t>
      </w:r>
      <w:r w:rsidR="00F32872" w:rsidRPr="002E55DE">
        <w:rPr>
          <w:rFonts w:ascii="Times New Roman" w:hAnsi="Times New Roman"/>
          <w:bCs/>
          <w:szCs w:val="24"/>
        </w:rPr>
        <w:t xml:space="preserve">found that certain environment factors, such as </w:t>
      </w:r>
      <w:r w:rsidR="00FF4CD9" w:rsidRPr="002E55DE">
        <w:rPr>
          <w:rFonts w:ascii="Times New Roman" w:hAnsi="Times New Roman"/>
          <w:bCs/>
          <w:szCs w:val="24"/>
        </w:rPr>
        <w:t>neighborhood poverty</w:t>
      </w:r>
      <w:r w:rsidR="00D6795E" w:rsidRPr="002E55DE">
        <w:rPr>
          <w:rFonts w:ascii="Times New Roman" w:hAnsi="Times New Roman"/>
          <w:bCs/>
          <w:szCs w:val="24"/>
        </w:rPr>
        <w:t>, high volume streets,</w:t>
      </w:r>
      <w:r w:rsidR="00FF4CD9" w:rsidRPr="002E55DE">
        <w:rPr>
          <w:rFonts w:ascii="Times New Roman" w:hAnsi="Times New Roman"/>
          <w:bCs/>
          <w:szCs w:val="24"/>
        </w:rPr>
        <w:t xml:space="preserve"> and </w:t>
      </w:r>
      <w:r w:rsidR="00D6795E" w:rsidRPr="002E55DE">
        <w:rPr>
          <w:rFonts w:ascii="Times New Roman" w:hAnsi="Times New Roman"/>
          <w:bCs/>
          <w:szCs w:val="24"/>
        </w:rPr>
        <w:t xml:space="preserve">good </w:t>
      </w:r>
      <w:r w:rsidR="00F32872" w:rsidRPr="002E55DE">
        <w:rPr>
          <w:rFonts w:ascii="Times New Roman" w:hAnsi="Times New Roman"/>
          <w:bCs/>
          <w:szCs w:val="24"/>
        </w:rPr>
        <w:t>land use mix</w:t>
      </w:r>
      <w:r w:rsidR="007E3446" w:rsidRPr="002E55DE">
        <w:rPr>
          <w:rFonts w:ascii="Times New Roman" w:hAnsi="Times New Roman"/>
          <w:bCs/>
          <w:szCs w:val="24"/>
        </w:rPr>
        <w:t xml:space="preserve"> (based on </w:t>
      </w:r>
      <w:r w:rsidR="00D6795E" w:rsidRPr="002E55DE">
        <w:rPr>
          <w:rFonts w:ascii="Times New Roman" w:hAnsi="Times New Roman"/>
          <w:bCs/>
          <w:szCs w:val="24"/>
        </w:rPr>
        <w:t>quarter</w:t>
      </w:r>
      <w:r w:rsidR="007E3446" w:rsidRPr="002E55DE">
        <w:rPr>
          <w:rFonts w:ascii="Times New Roman" w:hAnsi="Times New Roman"/>
          <w:bCs/>
          <w:szCs w:val="24"/>
        </w:rPr>
        <w:t xml:space="preserve">-mile </w:t>
      </w:r>
      <w:r w:rsidR="00D6795E" w:rsidRPr="002E55DE">
        <w:rPr>
          <w:rFonts w:ascii="Times New Roman" w:hAnsi="Times New Roman"/>
          <w:bCs/>
          <w:szCs w:val="24"/>
        </w:rPr>
        <w:t xml:space="preserve">and half-mile </w:t>
      </w:r>
      <w:r w:rsidR="007E3446" w:rsidRPr="002E55DE">
        <w:rPr>
          <w:rFonts w:ascii="Times New Roman" w:hAnsi="Times New Roman"/>
          <w:bCs/>
          <w:szCs w:val="24"/>
        </w:rPr>
        <w:t>buffer</w:t>
      </w:r>
      <w:r w:rsidR="00D6795E" w:rsidRPr="002E55DE">
        <w:rPr>
          <w:rFonts w:ascii="Times New Roman" w:hAnsi="Times New Roman"/>
          <w:bCs/>
          <w:szCs w:val="24"/>
        </w:rPr>
        <w:t>s</w:t>
      </w:r>
      <w:r w:rsidR="007E3446" w:rsidRPr="002E55DE">
        <w:rPr>
          <w:rFonts w:ascii="Times New Roman" w:hAnsi="Times New Roman"/>
          <w:bCs/>
          <w:szCs w:val="24"/>
        </w:rPr>
        <w:t xml:space="preserve"> around participants’ residences)</w:t>
      </w:r>
      <w:r w:rsidR="00F32872" w:rsidRPr="002E55DE">
        <w:rPr>
          <w:rFonts w:ascii="Times New Roman" w:hAnsi="Times New Roman"/>
          <w:bCs/>
          <w:szCs w:val="24"/>
        </w:rPr>
        <w:t xml:space="preserve">, significantly influenced </w:t>
      </w:r>
      <w:r w:rsidRPr="002E55DE">
        <w:rPr>
          <w:rFonts w:ascii="Times New Roman" w:hAnsi="Times New Roman"/>
          <w:bCs/>
          <w:szCs w:val="24"/>
        </w:rPr>
        <w:t xml:space="preserve">the </w:t>
      </w:r>
      <w:r w:rsidR="00F32872" w:rsidRPr="002E55DE">
        <w:rPr>
          <w:rFonts w:ascii="Times New Roman" w:hAnsi="Times New Roman"/>
          <w:bCs/>
          <w:szCs w:val="24"/>
        </w:rPr>
        <w:t>walking duration</w:t>
      </w:r>
      <w:r w:rsidRPr="002E55DE">
        <w:rPr>
          <w:rFonts w:ascii="Times New Roman" w:hAnsi="Times New Roman"/>
          <w:bCs/>
          <w:szCs w:val="24"/>
        </w:rPr>
        <w:t xml:space="preserve"> of older adults</w:t>
      </w:r>
      <w:r w:rsidR="00F32872" w:rsidRPr="002E55DE">
        <w:rPr>
          <w:rFonts w:ascii="Times New Roman" w:hAnsi="Times New Roman"/>
          <w:bCs/>
          <w:szCs w:val="24"/>
        </w:rPr>
        <w:t xml:space="preserve">, although Nagel et al. did not find a significant relationship between </w:t>
      </w:r>
      <w:r w:rsidR="00D6795E" w:rsidRPr="002E55DE">
        <w:rPr>
          <w:rFonts w:ascii="Times New Roman" w:hAnsi="Times New Roman"/>
          <w:bCs/>
          <w:szCs w:val="24"/>
        </w:rPr>
        <w:t xml:space="preserve">BE </w:t>
      </w:r>
      <w:r w:rsidR="007E3446" w:rsidRPr="002E55DE">
        <w:rPr>
          <w:rFonts w:ascii="Times New Roman" w:hAnsi="Times New Roman"/>
          <w:bCs/>
          <w:szCs w:val="24"/>
        </w:rPr>
        <w:t xml:space="preserve">factors </w:t>
      </w:r>
      <w:r w:rsidR="00F32872" w:rsidRPr="002E55DE">
        <w:rPr>
          <w:rFonts w:ascii="Times New Roman" w:hAnsi="Times New Roman"/>
          <w:bCs/>
          <w:szCs w:val="24"/>
        </w:rPr>
        <w:t>and the decision to engage in walking.</w:t>
      </w:r>
      <w:r w:rsidR="00BD5161" w:rsidRPr="002E55DE">
        <w:rPr>
          <w:rFonts w:ascii="Times New Roman" w:hAnsi="Times New Roman"/>
          <w:bCs/>
          <w:szCs w:val="24"/>
        </w:rPr>
        <w:t xml:space="preserve"> </w:t>
      </w:r>
      <w:r w:rsidR="00D6795E" w:rsidRPr="002E55DE">
        <w:rPr>
          <w:rFonts w:ascii="Times New Roman" w:hAnsi="Times New Roman"/>
          <w:bCs/>
          <w:szCs w:val="24"/>
        </w:rPr>
        <w:t>They proceed to conjecture that “</w:t>
      </w:r>
      <w:r w:rsidR="00D6795E" w:rsidRPr="002E55DE">
        <w:rPr>
          <w:rFonts w:ascii="Times New Roman" w:eastAsia="Malgun Gothic" w:hAnsi="Times New Roman"/>
          <w:szCs w:val="24"/>
        </w:rPr>
        <w:t>modifications to the built environment may</w:t>
      </w:r>
      <w:r w:rsidR="002C2F15" w:rsidRPr="002E55DE">
        <w:rPr>
          <w:rFonts w:ascii="Times New Roman" w:eastAsia="Malgun Gothic" w:hAnsi="Times New Roman"/>
          <w:szCs w:val="24"/>
        </w:rPr>
        <w:t xml:space="preserve"> </w:t>
      </w:r>
      <w:r w:rsidR="00D6795E" w:rsidRPr="002E55DE">
        <w:rPr>
          <w:rFonts w:ascii="Times New Roman" w:eastAsia="Malgun Gothic" w:hAnsi="Times New Roman"/>
          <w:szCs w:val="24"/>
        </w:rPr>
        <w:t>have little benefit in promoting walking behavior among sedentary older adults.” Older age, being white, and having a higher self-efficacy score also increased walking duration.</w:t>
      </w:r>
      <w:r w:rsidR="002949CC" w:rsidRPr="002E55DE">
        <w:rPr>
          <w:rFonts w:ascii="Times New Roman" w:eastAsia="Malgun Gothic" w:hAnsi="Times New Roman" w:hint="eastAsia"/>
          <w:szCs w:val="24"/>
          <w:lang w:eastAsia="ko-KR"/>
        </w:rPr>
        <w:t xml:space="preserve"> </w:t>
      </w:r>
      <w:r w:rsidR="002949CC" w:rsidRPr="002E55DE">
        <w:rPr>
          <w:rFonts w:ascii="Times New Roman" w:eastAsia="Malgun Gothic" w:hAnsi="Times New Roman"/>
          <w:szCs w:val="24"/>
          <w:lang w:eastAsia="ko-KR"/>
        </w:rPr>
        <w:fldChar w:fldCharType="begin"/>
      </w:r>
      <w:r w:rsidR="00A254CC" w:rsidRPr="002E55DE">
        <w:rPr>
          <w:rFonts w:ascii="Times New Roman" w:eastAsia="Malgun Gothic" w:hAnsi="Times New Roman"/>
          <w:szCs w:val="24"/>
          <w:lang w:eastAsia="ko-KR"/>
        </w:rPr>
        <w:instrText xml:space="preserve"> ADDIN ZOTERO_ITEM CSL_CITATION {"citationID":"DBPRxSe4","properties":{"formattedCitation":"(Cerin et al., 2013)","plainCitation":"(Cerin et al., 2013)","dontUpdate":true,"noteIndex":0},"citationItems":[{"id":"4nY7bDZH/Ms28BV3B","uris":["http://zotero.org/users/10132210/items/JWFL7EC2"],"itemData":{"id":1603,"type":"article-journal","abstract":"Engagement in walking for recreation can contribute to healthy aging. Although there is growing evidence that the neighborhood environment can influence walking for recreation, the amount of such evidence in relation to older adults is scarce and limited to Western low-density urban locations. Asian urban environments are typified by distinctive environmental and cultural characteristics that may yield different patterns to those observed in Western countries. Therefore, the main aim of this study was to examine associations of perceived environmental attributes with overall and within-neighborhood walking for recreation in Chinese elders (65+ years) residing in Hong Kong, an ultradense Asian metropolis. A sample of 484 elders was recruited from 32 neighborhoods stratified by socio-economic status and walkability (dwelling and intersection densities). Validated questionnaires measuring perceived neighborhood environment and weekly minutes of overall and within-neighborhood walking for recreation were interviewer administered. Results showed that the level of recreational walking was twice to four times higher than that reported in Western adults and elders. While overall walking for recreation showed a general lack of associations with perceived environmental attributes, within-neighborhood recreational walking was positively related with proximity of recreational facilities, infrastructure for walking, indoor places for walking, and presence of bridge/overpasses connecting to services. Age and educational attainment moderated the associations with several perceived environmental attributes with older and less-educated participants showing stronger associations. Traditional cultural views on the benefits of physical activity and the high accessibility of facilities and pedestrian infrastructure of Hong Kong may explain the high levels of walking. Although specific neighborhood attributes, or their perception, may influence recreational walking within the neighborhood, the compactness and public transport affordability of ultradense metropolises such as Hong Kong may make it easy for elders to compensate for the lack of favorable neighborhood attributes by walking outside the neighborhood.","container-title":"Journal of Urban Health","DOI":"10.1007/s11524-012-9704-8","ISSN":"1099-3460, 1468-2869","issue":"1","journalAbbreviation":"J Urban Health","language":"en","license":"http://www.springer.com/tdm","page":"56-66","source":"DOI.org (Crossref)","title":"Walking for Recreation and Perceptions of the Neighborhood Environment in Older Chinese Urban Dwellers","volume":"90","author":[{"family":"Cerin","given":"Ester"},{"family":"Sit","given":"Cindy H. P."},{"family":"Barnett","given":"Anthony"},{"family":"Cheung","given":"Man-chin"},{"family":"Chan","given":"Wai-man"}],"issued":{"date-parts":[["2013",2]]}}}],"schema":"https://github.com/citation-style-language/schema/raw/master/csl-citation.json"} </w:instrText>
      </w:r>
      <w:r w:rsidR="002949CC" w:rsidRPr="002E55DE">
        <w:rPr>
          <w:rFonts w:ascii="Times New Roman" w:eastAsia="Malgun Gothic" w:hAnsi="Times New Roman"/>
          <w:szCs w:val="24"/>
          <w:lang w:eastAsia="ko-KR"/>
        </w:rPr>
        <w:fldChar w:fldCharType="separate"/>
      </w:r>
      <w:r w:rsidR="002949CC" w:rsidRPr="002E55DE">
        <w:rPr>
          <w:rFonts w:ascii="Times New Roman" w:hAnsi="Times New Roman"/>
        </w:rPr>
        <w:t xml:space="preserve">Cerin et al. </w:t>
      </w:r>
      <w:r w:rsidR="00E53CF3" w:rsidRPr="002E55DE">
        <w:rPr>
          <w:rFonts w:ascii="Times New Roman" w:eastAsiaTheme="minorEastAsia" w:hAnsi="Times New Roman"/>
          <w:lang w:eastAsia="ko-KR"/>
        </w:rPr>
        <w:t>(</w:t>
      </w:r>
      <w:r w:rsidR="002949CC" w:rsidRPr="002E55DE">
        <w:rPr>
          <w:rFonts w:ascii="Times New Roman" w:hAnsi="Times New Roman"/>
        </w:rPr>
        <w:t>2013)</w:t>
      </w:r>
      <w:r w:rsidR="002949CC" w:rsidRPr="002E55DE">
        <w:rPr>
          <w:rFonts w:ascii="Times New Roman" w:eastAsia="Malgun Gothic" w:hAnsi="Times New Roman"/>
          <w:szCs w:val="24"/>
          <w:lang w:eastAsia="ko-KR"/>
        </w:rPr>
        <w:fldChar w:fldCharType="end"/>
      </w:r>
      <w:r w:rsidR="007D27E2" w:rsidRPr="002E55DE">
        <w:rPr>
          <w:rFonts w:ascii="Times New Roman" w:eastAsia="Malgun Gothic" w:hAnsi="Times New Roman"/>
          <w:szCs w:val="24"/>
        </w:rPr>
        <w:t xml:space="preserve"> investigated the effect of perceived neighborhood BE factors (rather than objective BE measures) on weekly walk duration within the</w:t>
      </w:r>
      <w:r w:rsidRPr="002E55DE">
        <w:rPr>
          <w:rFonts w:ascii="Times New Roman" w:eastAsia="Malgun Gothic" w:hAnsi="Times New Roman"/>
          <w:szCs w:val="24"/>
        </w:rPr>
        <w:t>ir</w:t>
      </w:r>
      <w:r w:rsidR="007D27E2" w:rsidRPr="002E55DE">
        <w:rPr>
          <w:rFonts w:ascii="Times New Roman" w:eastAsia="Malgun Gothic" w:hAnsi="Times New Roman"/>
          <w:szCs w:val="24"/>
        </w:rPr>
        <w:t xml:space="preserve"> residential neighborhood</w:t>
      </w:r>
      <w:r w:rsidRPr="002E55DE">
        <w:rPr>
          <w:rFonts w:ascii="Times New Roman" w:eastAsia="Malgun Gothic" w:hAnsi="Times New Roman"/>
          <w:szCs w:val="24"/>
        </w:rPr>
        <w:t>s</w:t>
      </w:r>
      <w:r w:rsidR="007D27E2" w:rsidRPr="002E55DE">
        <w:rPr>
          <w:rFonts w:ascii="Times New Roman" w:eastAsia="Malgun Gothic" w:hAnsi="Times New Roman"/>
          <w:szCs w:val="24"/>
        </w:rPr>
        <w:t xml:space="preserve"> (defined as within 15 minutes of walk</w:t>
      </w:r>
      <w:r w:rsidR="008276AF" w:rsidRPr="002E55DE">
        <w:rPr>
          <w:rFonts w:ascii="Times New Roman" w:eastAsia="Malgun Gothic" w:hAnsi="Times New Roman"/>
          <w:szCs w:val="24"/>
        </w:rPr>
        <w:t>ing</w:t>
      </w:r>
      <w:r w:rsidR="007D27E2" w:rsidRPr="002E55DE">
        <w:rPr>
          <w:rFonts w:ascii="Times New Roman" w:eastAsia="Malgun Gothic" w:hAnsi="Times New Roman"/>
          <w:szCs w:val="24"/>
        </w:rPr>
        <w:t xml:space="preserve"> from the residence). They used data collected from older individuals residing in Hong Kong, and observed that, in general, recreational walking duration within the neighborhood had little association with perceived neighborhood BE factors (including perceptions of pedestrian infrastructure and proximity of recreational facilities</w:t>
      </w:r>
      <w:r w:rsidR="007D27E2" w:rsidRPr="002E55DE">
        <w:rPr>
          <w:sz w:val="22"/>
          <w:szCs w:val="22"/>
          <w:bdr w:val="none" w:sz="0" w:space="0" w:color="auto" w:frame="1"/>
          <w:shd w:val="clear" w:color="auto" w:fill="FFFFFF"/>
        </w:rPr>
        <w:t xml:space="preserve">). </w:t>
      </w:r>
      <w:bookmarkStart w:id="25" w:name="_Hlk169960643"/>
      <w:r w:rsidR="007D27E2"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{"citationID":"tLhp1IiB","properties":{"formattedCitation":"(Maisel, 2016)","plainCitation":"(Maisel, 2016)","dontUpdate":true,"noteIndex":0},"citationItems":[{"id":"4nY7bDZH/sHIJtYWP","uris":["http://zotero.org/users/10132210/items/QW9BN4DR"],"itemData":{"id":925,"type":"article-journal","abstract":"Built environment features can have varying impacts on user behavior depending on the perceptions of the opportunities and obstacles that the environments create. This study systematically evaluated the relationship between neighborhood perceptions and the specific types of self-reported walking behavior for 121 older adults who resided in urban, suburban, or rural neighborhoods. Perceptions of street connectivity, crime and traffic safety, and overall satisfaction were associated with specific types of walking behaviors, and the strength of the relationships differed by neighborhood type. Sociodemographic variables such as age and sex were associated with certain types and amounts of older adults’ walking behaviors both across and within each neighborhood type. The results of this study support the importance of perceived street connectivity regardless of neighborhood type and perceived crime safety in rural neighborhoods to impact the walking behavior among older adults.","container-title":"Journal of Aging and Physical Activity","DOI":"10.1123/japa.2014-0278","ISSN":"1063-8652, 1543-267X","issue":"2","language":"en","page":"247-255","source":"DOI.org (Crossref)","title":"Impact of Older Adults’ Neighborhood Perceptions on Walking Behavior","volume":"24","author":[{"family":"Maisel","given":"Jordana L."}],"issued":{"date-parts":[["2016",4]]}}}],"schema":"https://github.com/citation-style-language/schema/raw/master/csl-citation.json"} </w:instrText>
      </w:r>
      <w:r w:rsidR="007D27E2" w:rsidRPr="002E55DE">
        <w:rPr>
          <w:rFonts w:ascii="Times New Roman" w:hAnsi="Times New Roman"/>
          <w:bCs/>
          <w:szCs w:val="24"/>
        </w:rPr>
        <w:fldChar w:fldCharType="separate"/>
      </w:r>
      <w:r w:rsidR="00DC4FAA" w:rsidRPr="002E55DE">
        <w:rPr>
          <w:rFonts w:ascii="Times New Roman" w:hAnsi="Times New Roman"/>
        </w:rPr>
        <w:t xml:space="preserve">Maisel </w:t>
      </w:r>
      <w:r w:rsidR="00DC4FAA" w:rsidRPr="002E55DE">
        <w:rPr>
          <w:rFonts w:ascii="Times New Roman" w:eastAsiaTheme="minorEastAsia" w:hAnsi="Times New Roman"/>
          <w:lang w:eastAsia="ko-KR"/>
        </w:rPr>
        <w:t>(</w:t>
      </w:r>
      <w:r w:rsidR="00DC4FAA" w:rsidRPr="002E55DE">
        <w:rPr>
          <w:rFonts w:ascii="Times New Roman" w:hAnsi="Times New Roman"/>
        </w:rPr>
        <w:t>2016)</w:t>
      </w:r>
      <w:r w:rsidR="007D27E2" w:rsidRPr="002E55DE">
        <w:rPr>
          <w:rFonts w:ascii="Times New Roman" w:hAnsi="Times New Roman"/>
          <w:bCs/>
          <w:szCs w:val="24"/>
        </w:rPr>
        <w:fldChar w:fldCharType="end"/>
      </w:r>
      <w:bookmarkEnd w:id="25"/>
      <w:r w:rsidR="007D27E2" w:rsidRPr="002E55DE">
        <w:rPr>
          <w:rFonts w:ascii="Times New Roman" w:hAnsi="Times New Roman"/>
          <w:bCs/>
          <w:szCs w:val="24"/>
        </w:rPr>
        <w:t xml:space="preserve"> also focused on neighborhood BE perception (rather than objective BE measure) effects, but</w:t>
      </w:r>
      <w:r w:rsidRPr="002E55DE">
        <w:rPr>
          <w:rFonts w:ascii="Times New Roman" w:hAnsi="Times New Roman"/>
          <w:bCs/>
          <w:szCs w:val="24"/>
        </w:rPr>
        <w:t xml:space="preserve"> </w:t>
      </w:r>
      <w:r w:rsidR="007D27E2" w:rsidRPr="002E55DE">
        <w:rPr>
          <w:rFonts w:ascii="Times New Roman" w:hAnsi="Times New Roman"/>
          <w:bCs/>
          <w:szCs w:val="24"/>
        </w:rPr>
        <w:t>controll</w:t>
      </w:r>
      <w:r w:rsidR="008276AF" w:rsidRPr="002E55DE">
        <w:rPr>
          <w:rFonts w:ascii="Times New Roman" w:hAnsi="Times New Roman"/>
          <w:bCs/>
          <w:szCs w:val="24"/>
        </w:rPr>
        <w:t>ed</w:t>
      </w:r>
      <w:r w:rsidR="007D27E2" w:rsidRPr="002E55DE">
        <w:rPr>
          <w:rFonts w:ascii="Times New Roman" w:hAnsi="Times New Roman"/>
          <w:bCs/>
          <w:szCs w:val="24"/>
        </w:rPr>
        <w:t xml:space="preserve"> for neighborhood type (classified based on population density into urban, suburban, or rural)</w:t>
      </w:r>
      <w:r w:rsidRPr="002E55DE">
        <w:rPr>
          <w:rFonts w:ascii="Times New Roman" w:hAnsi="Times New Roman"/>
          <w:bCs/>
          <w:szCs w:val="24"/>
        </w:rPr>
        <w:t xml:space="preserve">. They </w:t>
      </w:r>
      <w:r w:rsidR="007D27E2" w:rsidRPr="002E55DE">
        <w:rPr>
          <w:rFonts w:ascii="Times New Roman" w:hAnsi="Times New Roman"/>
          <w:bCs/>
          <w:szCs w:val="24"/>
        </w:rPr>
        <w:t xml:space="preserve">undertook the analysis using univariate Spearman’s rank correlations based on surveys of individuals living in senior centers in New York, </w:t>
      </w:r>
      <w:r w:rsidR="006F2489" w:rsidRPr="002E55DE">
        <w:rPr>
          <w:rFonts w:ascii="Times New Roman" w:hAnsi="Times New Roman"/>
          <w:bCs/>
          <w:szCs w:val="24"/>
        </w:rPr>
        <w:t xml:space="preserve">U.S. </w:t>
      </w:r>
      <w:r w:rsidR="007D27E2" w:rsidRPr="002E55DE">
        <w:rPr>
          <w:rFonts w:ascii="Times New Roman" w:eastAsia="Malgun Gothic" w:hAnsi="Times New Roman"/>
          <w:szCs w:val="24"/>
        </w:rPr>
        <w:t>Unlike the results from Cerin et al. (2013), Maisel observed that perceptions of low neighborhood crime, good walking/cycling infrastructure, and good traffic safety increased walking duration regardless of neighborhood type, with land-use mix particularly influencing walking duration in suburban neighborhoods and street connectivity particularly impacting walking duration in urban neighborhoods.</w:t>
      </w:r>
      <w:r w:rsidR="007D27E2" w:rsidRPr="002E55DE">
        <w:rPr>
          <w:sz w:val="22"/>
          <w:szCs w:val="22"/>
          <w:bdr w:val="none" w:sz="0" w:space="0" w:color="auto" w:frame="1"/>
          <w:shd w:val="clear" w:color="auto" w:fill="FFFFFF"/>
        </w:rPr>
        <w:t xml:space="preserve"> </w:t>
      </w:r>
    </w:p>
    <w:p w14:paraId="0E5E8B1E" w14:textId="7F7667D8" w:rsidR="0072019B" w:rsidRPr="002E55DE" w:rsidRDefault="00B56988" w:rsidP="003518AB">
      <w:pPr>
        <w:autoSpaceDE w:val="0"/>
        <w:autoSpaceDN w:val="0"/>
        <w:adjustRightInd w:val="0"/>
        <w:ind w:firstLine="720"/>
        <w:jc w:val="both"/>
        <w:rPr>
          <w:rFonts w:ascii="Times New Roman" w:eastAsiaTheme="minorEastAsia" w:hAnsi="Times New Roman"/>
          <w:bCs/>
          <w:szCs w:val="24"/>
          <w:lang w:eastAsia="ko-KR"/>
        </w:rPr>
      </w:pPr>
      <w:r w:rsidRPr="002E55DE">
        <w:rPr>
          <w:rFonts w:ascii="Times New Roman" w:hAnsi="Times New Roman"/>
          <w:bCs/>
          <w:szCs w:val="24"/>
        </w:rPr>
        <w:t>Thornton et al. (2017), based on a study in Seattle and Baltimore in the U.S</w:t>
      </w:r>
      <w:r w:rsidR="004F19C4" w:rsidRPr="002E55DE">
        <w:rPr>
          <w:rFonts w:ascii="Times New Roman" w:hAnsi="Times New Roman"/>
          <w:bCs/>
          <w:szCs w:val="24"/>
        </w:rPr>
        <w:t xml:space="preserve">., </w:t>
      </w:r>
      <w:r w:rsidRPr="002E55DE">
        <w:rPr>
          <w:rFonts w:ascii="Times New Roman" w:hAnsi="Times New Roman"/>
          <w:bCs/>
          <w:szCs w:val="24"/>
        </w:rPr>
        <w:t>employ</w:t>
      </w:r>
      <w:r w:rsidR="004F19C4" w:rsidRPr="002E55DE">
        <w:rPr>
          <w:rFonts w:ascii="Times New Roman" w:hAnsi="Times New Roman"/>
          <w:bCs/>
          <w:szCs w:val="24"/>
        </w:rPr>
        <w:t>ed</w:t>
      </w:r>
      <w:r w:rsidRPr="002E55DE">
        <w:rPr>
          <w:rFonts w:ascii="Times New Roman" w:hAnsi="Times New Roman"/>
          <w:bCs/>
          <w:szCs w:val="24"/>
        </w:rPr>
        <w:t xml:space="preserve"> one-mile buffer</w:t>
      </w:r>
      <w:r w:rsidR="004F19C4" w:rsidRPr="002E55DE">
        <w:rPr>
          <w:rFonts w:ascii="Times New Roman" w:hAnsi="Times New Roman"/>
          <w:bCs/>
          <w:szCs w:val="24"/>
        </w:rPr>
        <w:t>s</w:t>
      </w:r>
      <w:r w:rsidRPr="002E55DE">
        <w:rPr>
          <w:rFonts w:ascii="Times New Roman" w:hAnsi="Times New Roman"/>
          <w:bCs/>
          <w:szCs w:val="24"/>
        </w:rPr>
        <w:t xml:space="preserve"> around participants’ homes</w:t>
      </w:r>
      <w:r w:rsidR="004F19C4" w:rsidRPr="002E55DE">
        <w:rPr>
          <w:rFonts w:ascii="Times New Roman" w:hAnsi="Times New Roman"/>
          <w:bCs/>
          <w:szCs w:val="24"/>
        </w:rPr>
        <w:t xml:space="preserve"> to construct BE measures. They </w:t>
      </w:r>
      <w:r w:rsidRPr="002E55DE">
        <w:rPr>
          <w:rFonts w:ascii="Times New Roman" w:hAnsi="Times New Roman"/>
          <w:bCs/>
          <w:szCs w:val="24"/>
        </w:rPr>
        <w:t>identified high intersection density, good</w:t>
      </w:r>
      <w:r w:rsidR="004F19C4" w:rsidRPr="002E55DE">
        <w:rPr>
          <w:rFonts w:ascii="Times New Roman" w:hAnsi="Times New Roman"/>
          <w:bCs/>
          <w:szCs w:val="24"/>
        </w:rPr>
        <w:t xml:space="preserve"> </w:t>
      </w:r>
      <w:r w:rsidRPr="002E55DE">
        <w:rPr>
          <w:rFonts w:ascii="Times New Roman" w:hAnsi="Times New Roman"/>
          <w:bCs/>
          <w:szCs w:val="24"/>
        </w:rPr>
        <w:t>land-use</w:t>
      </w:r>
      <w:r w:rsidR="004F19C4" w:rsidRPr="002E55DE">
        <w:rPr>
          <w:rFonts w:ascii="Times New Roman" w:hAnsi="Times New Roman"/>
          <w:bCs/>
          <w:szCs w:val="24"/>
        </w:rPr>
        <w:t xml:space="preserve"> mixing</w:t>
      </w:r>
      <w:r w:rsidRPr="002E55DE">
        <w:rPr>
          <w:rFonts w:ascii="Times New Roman" w:hAnsi="Times New Roman"/>
          <w:bCs/>
          <w:szCs w:val="24"/>
        </w:rPr>
        <w:t xml:space="preserve">, and number of recreation centers </w:t>
      </w:r>
      <w:r w:rsidR="004F19C4" w:rsidRPr="002E55DE">
        <w:rPr>
          <w:rFonts w:ascii="Times New Roman" w:hAnsi="Times New Roman"/>
          <w:bCs/>
          <w:szCs w:val="24"/>
        </w:rPr>
        <w:t xml:space="preserve">within the buffer </w:t>
      </w:r>
      <w:r w:rsidRPr="002E55DE">
        <w:rPr>
          <w:rFonts w:ascii="Times New Roman" w:hAnsi="Times New Roman"/>
          <w:bCs/>
          <w:szCs w:val="24"/>
        </w:rPr>
        <w:t>as positive determinants of weekly utilitarian walking duration, but only mixed land-use as a negative determinant of weekly recreational walking duration. Perception of neighborhood walk</w:t>
      </w:r>
      <w:r w:rsidR="008276AF" w:rsidRPr="002E55DE">
        <w:rPr>
          <w:rFonts w:ascii="Times New Roman" w:hAnsi="Times New Roman"/>
          <w:bCs/>
          <w:szCs w:val="24"/>
        </w:rPr>
        <w:t>ing</w:t>
      </w:r>
      <w:r w:rsidRPr="002E55DE">
        <w:rPr>
          <w:rFonts w:ascii="Times New Roman" w:hAnsi="Times New Roman"/>
          <w:bCs/>
          <w:szCs w:val="24"/>
        </w:rPr>
        <w:t xml:space="preserve">/cycling </w:t>
      </w:r>
      <w:r w:rsidRPr="002E55DE">
        <w:rPr>
          <w:rFonts w:ascii="Times New Roman" w:hAnsi="Times New Roman"/>
          <w:bCs/>
          <w:szCs w:val="24"/>
        </w:rPr>
        <w:lastRenderedPageBreak/>
        <w:t xml:space="preserve">facilities, self-efficacy (confidence to walk), positive social support (higher family companionship in walking and more family encouragement for walking), non-Hispanic white race, and not having a driving license were all also associated with an elevated utilitarian walk duration, while self-efficacy, positive social support, </w:t>
      </w:r>
      <w:r w:rsidR="00661771" w:rsidRPr="002E55DE">
        <w:rPr>
          <w:rFonts w:ascii="Times New Roman" w:hAnsi="Times New Roman"/>
          <w:bCs/>
          <w:szCs w:val="24"/>
        </w:rPr>
        <w:t xml:space="preserve">non-Hispanic white race/ethnicity, </w:t>
      </w:r>
      <w:r w:rsidRPr="002E55DE">
        <w:rPr>
          <w:rFonts w:ascii="Times New Roman" w:hAnsi="Times New Roman"/>
          <w:bCs/>
          <w:szCs w:val="24"/>
        </w:rPr>
        <w:t xml:space="preserve">and </w:t>
      </w:r>
      <w:r w:rsidR="00661771" w:rsidRPr="002E55DE">
        <w:rPr>
          <w:rFonts w:ascii="Times New Roman" w:hAnsi="Times New Roman"/>
          <w:bCs/>
          <w:szCs w:val="24"/>
        </w:rPr>
        <w:t xml:space="preserve">being on the younger side </w:t>
      </w:r>
      <w:r w:rsidRPr="002E55DE">
        <w:rPr>
          <w:rFonts w:ascii="Times New Roman" w:hAnsi="Times New Roman"/>
          <w:bCs/>
          <w:szCs w:val="24"/>
        </w:rPr>
        <w:t xml:space="preserve">were the psycho-social and demographic variables increasing recreational walking duration. </w:t>
      </w:r>
      <w:r w:rsidR="007D27E2"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{"citationID":"knHWhYQ2","properties":{"formattedCitation":"(Zang et al., 2022)","plainCitation":"(Zang et al., 2022)","dontUpdate":true,"noteIndex":0},"citationItems":[{"id":"4nY7bDZH/hA44m9kF","uris":["http://zotero.org/users/10132210/items/JVEPHI5E"],"itemData":{"id":1005,"type":"article-journal","abstract":"Studies have proved that activity and ﬁtness behaviors are closely related to the quality of life and health status of the elderly. However, different intensities of physical activity (PA)—walking, moderate PA, and vigorous PA—have different correlations with the built environment (BE). This study combines the high and low socioeconomic status (SES) of Guangzhou to establish two types of BE models. The physical activity time of 600 elderly people was collected from questionnaires. Through ArcGIS software, 300 m, 500 m, 800 m, and 1000 m buffer zones were identiﬁed, and the land use diversity, street design, population density, distance to destination, distance to public transportation—the ﬁve Ds of the BE—were measured. SPSS software was adopted to analyze the correlation between the BE and PA. Results: The PA of people living in low-SES areas was more dependent on the BE, whereas the correlation may be limited in high SES areas. Moreover, in low SES areas, walking was negatively correlated with street connectivity; moderate PA was positively correlated with street connectivity and the shortest distance to the subway station, but negatively correlated with the density of entertainment points of interest (POIs). Studying the relevant factors of the environment can propose better strategies to improve the initiative of the elderly to engage in PA.","container-title":"International Journal of Environmental Research and Public Health","DOI":"10.3390/ijerph19031894","ISSN":"1660-4601","issue":"3","journalAbbreviation":"IJERPH","language":"en","page":"1894","source":"DOI.org (Crossref)","title":"Differences in the Correlation between the Built Environment and Walking, Moderate, and Vigorous Physical Activity among the Elderly in Low- and High-Income Areas","volume":"19","author":[{"family":"Zang","given":"Peng"},{"family":"Xian","given":"Fei"},{"family":"Qiu","given":"Hualong"},{"family":"Ma","given":"Shifa"},{"family":"Guo","given":"Hongxu"},{"family":"Wang","given":"Mengrui"},{"family":"Yang","given":"Linchuan"}],"issued":{"date-parts":[["2022",2,8]]}}}],"schema":"https://github.com/citation-style-language/schema/raw/master/csl-citation.json"} </w:instrText>
      </w:r>
      <w:r w:rsidR="007D27E2" w:rsidRPr="002E55DE">
        <w:rPr>
          <w:rFonts w:ascii="Times New Roman" w:hAnsi="Times New Roman"/>
          <w:bCs/>
          <w:szCs w:val="24"/>
        </w:rPr>
        <w:fldChar w:fldCharType="separate"/>
      </w:r>
      <w:r w:rsidR="007D27E2" w:rsidRPr="002E55DE">
        <w:rPr>
          <w:rFonts w:ascii="Times New Roman" w:hAnsi="Times New Roman"/>
          <w:szCs w:val="24"/>
        </w:rPr>
        <w:t>Zang et al. (2022)</w:t>
      </w:r>
      <w:r w:rsidR="007D27E2" w:rsidRPr="002E55DE">
        <w:rPr>
          <w:rFonts w:ascii="Times New Roman" w:hAnsi="Times New Roman"/>
          <w:bCs/>
          <w:szCs w:val="24"/>
        </w:rPr>
        <w:fldChar w:fldCharType="end"/>
      </w:r>
      <w:r w:rsidR="007D27E2" w:rsidRPr="002E55DE">
        <w:rPr>
          <w:rFonts w:ascii="Times New Roman" w:hAnsi="Times New Roman"/>
          <w:bCs/>
          <w:szCs w:val="24"/>
        </w:rPr>
        <w:t>, like Maisel (2016), also investigated whether BE effects varied by neighborhood type, though using objective BE measures based on buffers around participants’ residences and considering socioeconomic status (SES) to characterize neighborhood type. In their study of Chinese neighborhoods in Guangzhou, they observed that street connectivity was negatively correlated with walking duration in areas with low socioeconomic status, while it ha</w:t>
      </w:r>
      <w:r w:rsidR="008276AF" w:rsidRPr="002E55DE">
        <w:rPr>
          <w:rFonts w:ascii="Times New Roman" w:hAnsi="Times New Roman"/>
          <w:bCs/>
          <w:szCs w:val="24"/>
        </w:rPr>
        <w:t>d</w:t>
      </w:r>
      <w:r w:rsidR="007D27E2" w:rsidRPr="002E55DE">
        <w:rPr>
          <w:rFonts w:ascii="Times New Roman" w:hAnsi="Times New Roman"/>
          <w:bCs/>
          <w:szCs w:val="24"/>
        </w:rPr>
        <w:t xml:space="preserve"> no significant effect on walking duration in high-status neighborhoods.</w:t>
      </w:r>
    </w:p>
    <w:p w14:paraId="39D12BA5" w14:textId="77777777" w:rsidR="00FA296A" w:rsidRPr="002E55DE" w:rsidRDefault="00FA296A" w:rsidP="003518AB">
      <w:pPr>
        <w:autoSpaceDE w:val="0"/>
        <w:autoSpaceDN w:val="0"/>
        <w:adjustRightInd w:val="0"/>
        <w:ind w:firstLine="720"/>
        <w:jc w:val="both"/>
        <w:rPr>
          <w:rFonts w:ascii="Times New Roman" w:hAnsi="Times New Roman"/>
          <w:bCs/>
          <w:szCs w:val="24"/>
        </w:rPr>
      </w:pPr>
    </w:p>
    <w:p w14:paraId="06590AF8" w14:textId="4536168C" w:rsidR="00A349A0" w:rsidRPr="002E55DE" w:rsidRDefault="005E296D" w:rsidP="003518AB">
      <w:pPr>
        <w:pStyle w:val="Heading2"/>
        <w:spacing w:line="240" w:lineRule="auto"/>
        <w:ind w:hanging="540"/>
        <w:contextualSpacing w:val="0"/>
        <w:jc w:val="both"/>
        <w:rPr>
          <w:lang w:eastAsia="ko-KR"/>
        </w:rPr>
      </w:pPr>
      <w:r w:rsidRPr="002E55DE">
        <w:rPr>
          <w:lang w:eastAsia="ko-KR"/>
        </w:rPr>
        <w:t xml:space="preserve">Companionship </w:t>
      </w:r>
      <w:r w:rsidR="00BF4EDE" w:rsidRPr="002E55DE">
        <w:rPr>
          <w:lang w:eastAsia="ko-KR"/>
        </w:rPr>
        <w:t>as a</w:t>
      </w:r>
      <w:r w:rsidR="00FD0357" w:rsidRPr="002E55DE">
        <w:rPr>
          <w:lang w:eastAsia="ko-KR"/>
        </w:rPr>
        <w:t>n Influencer</w:t>
      </w:r>
      <w:r w:rsidR="00BF4EDE" w:rsidRPr="002E55DE">
        <w:rPr>
          <w:lang w:eastAsia="ko-KR"/>
        </w:rPr>
        <w:t xml:space="preserve"> of Walking Habits</w:t>
      </w:r>
    </w:p>
    <w:p w14:paraId="6929E195" w14:textId="28A7FA1A" w:rsidR="008F73F9" w:rsidRPr="002E55DE" w:rsidRDefault="00596FC9" w:rsidP="003518AB">
      <w:pPr>
        <w:autoSpaceDE w:val="0"/>
        <w:autoSpaceDN w:val="0"/>
        <w:adjustRightInd w:val="0"/>
        <w:jc w:val="both"/>
        <w:rPr>
          <w:rFonts w:ascii="Times New Roman" w:eastAsia="Malgun Gothic" w:hAnsi="Times New Roman"/>
          <w:szCs w:val="24"/>
        </w:rPr>
      </w:pPr>
      <w:r w:rsidRPr="002E55DE">
        <w:rPr>
          <w:rFonts w:ascii="Times New Roman" w:eastAsiaTheme="minorEastAsia" w:hAnsi="Times New Roman"/>
          <w:bCs/>
          <w:szCs w:val="24"/>
          <w:lang w:eastAsia="ko-KR"/>
        </w:rPr>
        <w:t xml:space="preserve">Beyond walking frequency and duration, walking behavior </w:t>
      </w:r>
      <w:r w:rsidR="00A2419D" w:rsidRPr="002E55DE">
        <w:rPr>
          <w:rFonts w:ascii="Times New Roman" w:eastAsiaTheme="minorEastAsia" w:hAnsi="Times New Roman"/>
          <w:bCs/>
          <w:szCs w:val="24"/>
          <w:lang w:eastAsia="ko-KR"/>
        </w:rPr>
        <w:t xml:space="preserve">can </w:t>
      </w:r>
      <w:r w:rsidRPr="002E55DE">
        <w:rPr>
          <w:rFonts w:ascii="Times New Roman" w:eastAsiaTheme="minorEastAsia" w:hAnsi="Times New Roman"/>
          <w:bCs/>
          <w:szCs w:val="24"/>
          <w:lang w:eastAsia="ko-KR"/>
        </w:rPr>
        <w:t xml:space="preserve">also </w:t>
      </w:r>
      <w:r w:rsidR="00A2419D" w:rsidRPr="002E55DE">
        <w:rPr>
          <w:rFonts w:ascii="Times New Roman" w:eastAsiaTheme="minorEastAsia" w:hAnsi="Times New Roman"/>
          <w:bCs/>
          <w:szCs w:val="24"/>
          <w:lang w:eastAsia="ko-KR"/>
        </w:rPr>
        <w:t xml:space="preserve">be </w:t>
      </w:r>
      <w:r w:rsidRPr="002E55DE">
        <w:rPr>
          <w:rFonts w:ascii="Times New Roman" w:eastAsiaTheme="minorEastAsia" w:hAnsi="Times New Roman"/>
          <w:bCs/>
          <w:szCs w:val="24"/>
          <w:lang w:eastAsia="ko-KR"/>
        </w:rPr>
        <w:t xml:space="preserve">influenced by social </w:t>
      </w:r>
      <w:r w:rsidR="00A2419D" w:rsidRPr="002E55DE">
        <w:rPr>
          <w:rFonts w:ascii="Times New Roman" w:eastAsiaTheme="minorEastAsia" w:hAnsi="Times New Roman"/>
          <w:bCs/>
          <w:szCs w:val="24"/>
          <w:lang w:eastAsia="ko-KR"/>
        </w:rPr>
        <w:t>companionship</w:t>
      </w:r>
      <w:r w:rsidRPr="002E55DE">
        <w:rPr>
          <w:rFonts w:ascii="Times New Roman" w:eastAsiaTheme="minorEastAsia" w:hAnsi="Times New Roman"/>
          <w:bCs/>
          <w:szCs w:val="24"/>
          <w:lang w:eastAsia="ko-KR"/>
        </w:rPr>
        <w:t xml:space="preserve">. </w:t>
      </w:r>
      <w:r w:rsidR="00A2419D" w:rsidRPr="002E55DE">
        <w:rPr>
          <w:rFonts w:ascii="Times New Roman" w:eastAsiaTheme="minorEastAsia" w:hAnsi="Times New Roman"/>
          <w:bCs/>
          <w:szCs w:val="24"/>
          <w:lang w:eastAsia="ko-KR"/>
        </w:rPr>
        <w:t xml:space="preserve">In a study conducted in Ontario, Canada, </w:t>
      </w:r>
      <w:r w:rsidR="00A16F8A"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{"citationID":"m5dWUTQr","properties":{"formattedCitation":"(Clark &amp; Scott, 2016)","plainCitation":"(Clark &amp; Scott, 2016)","dontUpdate":true,"noteIndex":0},"citationItems":[{"id":"4nY7bDZH/21AAThEm","uris":["http://zotero.org/users/10132210/items/PWX722IS"],"itemData":{"id":1069,"type":"article-journal","abstract":"This study investigates perceived barriers to walking using data collected from 179 randomly-selected adults between the ages of 18 and 92 in Hamilton, Ontario, Canada. A survey (Hamilton Active Living Study) asked questions about socio-demographics, walking, and barriers to walking. A series of binary logit models are estimated for twenty potential barriers to walking. The results demonstrate that different barriers are associated with different sub-groups of the population. Females, senior citizens, and those with a higher body mass index identify the most barriers to walking, while young adults, parents, driver’s license owners, and bus pass owners identify the fewest barriers. Understanding who is affected by perceived barriers can help policy makers and health promotion agencies target sub-groups of the population in an effort to increase walking.","container-title":"International Journal of Environmental Research and Public Health","DOI":"10.3390/ijerph13020179","ISSN":"1660-4601","issue":"2","journalAbbreviation":"IJERPH","language":"en","license":"https://creativecommons.org/licenses/by/4.0/","page":"179","source":"DOI.org (Crossref)","title":"Barriers to Walking: An Investigation of Adults in Hamilton (Ontario, Canada)","title-short":"Barriers to Walking","volume":"13","author":[{"family":"Clark","given":"Andrew"},{"family":"Scott","given":"Darren"}],"issued":{"date-parts":[["2016",1,30]]}}}],"schema":"https://github.com/citation-style-language/schema/raw/master/csl-citation.json"} </w:instrText>
      </w:r>
      <w:r w:rsidR="00A16F8A" w:rsidRPr="002E55DE">
        <w:rPr>
          <w:rFonts w:eastAsiaTheme="minorEastAsia"/>
          <w:lang w:eastAsia="ko-KR"/>
        </w:rPr>
        <w:fldChar w:fldCharType="separate"/>
      </w:r>
      <w:r w:rsidR="00A16F8A" w:rsidRPr="002E55DE">
        <w:rPr>
          <w:rFonts w:cs="Times"/>
        </w:rPr>
        <w:t xml:space="preserve">Clark </w:t>
      </w:r>
      <w:r w:rsidR="00A16F8A" w:rsidRPr="002E55DE">
        <w:rPr>
          <w:rFonts w:eastAsiaTheme="minorEastAsia" w:cs="Times"/>
          <w:lang w:eastAsia="ko-KR"/>
        </w:rPr>
        <w:t>and</w:t>
      </w:r>
      <w:r w:rsidR="00A16F8A" w:rsidRPr="002E55DE">
        <w:rPr>
          <w:rFonts w:cs="Times"/>
        </w:rPr>
        <w:t xml:space="preserve"> Scott </w:t>
      </w:r>
      <w:r w:rsidR="00A16F8A" w:rsidRPr="002E55DE">
        <w:rPr>
          <w:rFonts w:eastAsiaTheme="minorEastAsia" w:cs="Times"/>
          <w:lang w:eastAsia="ko-KR"/>
        </w:rPr>
        <w:t>(</w:t>
      </w:r>
      <w:r w:rsidR="00A16F8A" w:rsidRPr="002E55DE">
        <w:rPr>
          <w:rFonts w:cs="Times"/>
        </w:rPr>
        <w:t>2016)</w:t>
      </w:r>
      <w:r w:rsidR="00A16F8A" w:rsidRPr="002E55DE">
        <w:rPr>
          <w:rFonts w:eastAsiaTheme="minorEastAsia"/>
          <w:lang w:eastAsia="ko-KR"/>
        </w:rPr>
        <w:fldChar w:fldCharType="end"/>
      </w:r>
      <w:r w:rsidR="00A16F8A" w:rsidRPr="002E55DE">
        <w:rPr>
          <w:rFonts w:eastAsiaTheme="minorEastAsia"/>
          <w:lang w:eastAsia="ko-KR"/>
        </w:rPr>
        <w:t xml:space="preserve"> </w:t>
      </w:r>
      <w:r w:rsidR="008F76CE" w:rsidRPr="002E55DE">
        <w:rPr>
          <w:rFonts w:ascii="Times New Roman" w:eastAsiaTheme="minorEastAsia" w:hAnsi="Times New Roman"/>
          <w:bCs/>
          <w:szCs w:val="24"/>
          <w:lang w:eastAsia="ko-KR"/>
        </w:rPr>
        <w:t xml:space="preserve">examined the barriers to walking for a number of population subgroups, and found that “I have no one to walk with” is one of five important barriers for </w:t>
      </w:r>
      <w:r w:rsidR="006E415B" w:rsidRPr="002E55DE">
        <w:rPr>
          <w:rFonts w:ascii="Times New Roman" w:eastAsia="Malgun Gothic" w:hAnsi="Times New Roman"/>
          <w:szCs w:val="24"/>
        </w:rPr>
        <w:t>s</w:t>
      </w:r>
      <w:r w:rsidR="008F76CE" w:rsidRPr="002E55DE">
        <w:rPr>
          <w:rFonts w:ascii="Times New Roman" w:eastAsia="Malgun Gothic" w:hAnsi="Times New Roman"/>
          <w:szCs w:val="24"/>
        </w:rPr>
        <w:t>enior citizens (aged 65+ years) (the other barriers included a lack of motivation to walk, poor lighting, high traffic volumes, and dangerous crossings). The authors suggest that companionship offers both a sense of safety from traffic</w:t>
      </w:r>
      <w:r w:rsidR="004F19C4" w:rsidRPr="002E55DE">
        <w:rPr>
          <w:rFonts w:ascii="Times New Roman" w:eastAsia="Malgun Gothic" w:hAnsi="Times New Roman"/>
          <w:szCs w:val="24"/>
        </w:rPr>
        <w:t xml:space="preserve"> and</w:t>
      </w:r>
      <w:r w:rsidR="008F76CE" w:rsidRPr="002E55DE">
        <w:rPr>
          <w:rFonts w:ascii="Times New Roman" w:eastAsia="Malgun Gothic" w:hAnsi="Times New Roman"/>
          <w:szCs w:val="24"/>
        </w:rPr>
        <w:t xml:space="preserve"> crime, as well as </w:t>
      </w:r>
      <w:r w:rsidR="00766BF0" w:rsidRPr="002E55DE">
        <w:rPr>
          <w:rFonts w:ascii="Times New Roman" w:eastAsia="Malgun Gothic" w:hAnsi="Times New Roman"/>
          <w:szCs w:val="24"/>
        </w:rPr>
        <w:t xml:space="preserve">serves a social purpose. </w:t>
      </w:r>
      <w:r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{"citationID":"SnIqO8v7","properties":{"formattedCitation":"(Arroyo et al., 2020)","plainCitation":"(Arroyo et al., 2020)","dontUpdate":true,"noteIndex":0},"citationItems":[{"id":"4nY7bDZH/WC1cttoS","uris":["http://zotero.org/users/10132210/items/4839WU7U"],"itemData":{"id":1057,"type":"article-journal","abstract":"The design and implementation of transport policies to promote active transport requires a deep comprehension of the factors that inﬂuence travel behavior. In this context, psychological factors and social interactions play an important role in explaining travel-related decisions. Even though, the importance of psychosocial variables in travel behavior research has been widely recognized during recent years, there is a lack of understanding of how these factors interact. This paper aims to better understand the interrelationships between values, attitudes towards transport modes and a subset of the social network composed by habitual trips and activities companions. For this purpose, a theoretical framework is proposed which posits all the possible relationships among these factors. In order to test this conceptual framework, two Structural Equation Models are estimated considering attitudes towards active transport (bike and walking), using a dataset from a web-based survey developed for the MINERVA project in Valencia (Spain). The data is composed by 404 respondents who provided valid information regarding all the variables of the study. Results conﬁrm the hierarchical value-attitude-behavior structure while several effects are also found directly between values and attitudes. For instance, individuals who attach more importance to Stimulation and Achievement values are higher active transport user, while values traditionally associated with car use are no longer maintaining this relation. Besides that, positive attitudes towards walking and cycling are strongly associated with a higher use of active transport, and also seem to discourage the use of motorized modes. Several characteristics of companions affects personal values and active travel and less inﬂuence is found on attitudes. These ﬁndings are useful to develop transport policies and campaigns to promote sustainable transport, such as the design of strategies in the context of Travel Behavior Change Programs. Limitations of this research include several aspects related to online surveys, for instance, sample size and underrepresentation of individuals over 55 years.","container-title":"Transportation Research Part F: Traffic Psychology and Behaviour","DOI":"10.1016/j.trf.2020.04.002","ISSN":"13698478","journalAbbreviation":"Transportation Research Part F: Traffic Psychology and Behaviour","language":"en","page":"8-22","source":"DOI.org (Crossref)","title":"Influence of values, attitudes towards transport modes and companions on travel behavior","volume":"71","author":[{"family":"Arroyo","given":"Rosa"},{"family":"Ruiz","given":"Tomás"},{"family":"Mars","given":"Lidón"},{"family":"Rasouli","given":"Soora"},{"family":"Timmermans","given":"Harry"}],"issued":{"date-parts":[["2020",5]]}}}],"schema":"https://github.com/citation-style-language/schema/raw/master/csl-citation.json"} </w:instrText>
      </w:r>
      <w:r w:rsidRPr="002E55DE">
        <w:rPr>
          <w:rFonts w:ascii="Times New Roman" w:hAnsi="Times New Roman"/>
          <w:bCs/>
          <w:szCs w:val="24"/>
        </w:rPr>
        <w:fldChar w:fldCharType="separate"/>
      </w:r>
      <w:r w:rsidRPr="002E55DE">
        <w:rPr>
          <w:rFonts w:ascii="Times New Roman" w:hAnsi="Times New Roman"/>
          <w:szCs w:val="24"/>
        </w:rPr>
        <w:t xml:space="preserve">Arroyo et al. </w:t>
      </w:r>
      <w:r w:rsidRPr="002E55DE">
        <w:rPr>
          <w:rFonts w:ascii="Times New Roman" w:eastAsiaTheme="minorEastAsia" w:hAnsi="Times New Roman"/>
          <w:szCs w:val="24"/>
          <w:lang w:eastAsia="ko-KR"/>
        </w:rPr>
        <w:t>(</w:t>
      </w:r>
      <w:r w:rsidRPr="002E55DE">
        <w:rPr>
          <w:rFonts w:ascii="Times New Roman" w:hAnsi="Times New Roman"/>
          <w:szCs w:val="24"/>
        </w:rPr>
        <w:t>2020</w:t>
      </w:r>
      <w:r w:rsidRPr="002E55DE">
        <w:rPr>
          <w:rFonts w:ascii="Times New Roman" w:hAnsi="Times New Roman"/>
          <w:bCs/>
          <w:szCs w:val="24"/>
        </w:rPr>
        <w:fldChar w:fldCharType="end"/>
      </w:r>
      <w:r w:rsidRPr="002E55DE">
        <w:rPr>
          <w:rFonts w:ascii="Times New Roman" w:eastAsiaTheme="minorEastAsia" w:hAnsi="Times New Roman"/>
          <w:bCs/>
          <w:szCs w:val="24"/>
          <w:lang w:eastAsia="ko-KR"/>
        </w:rPr>
        <w:t>)</w:t>
      </w:r>
      <w:r w:rsidRPr="002E55DE">
        <w:rPr>
          <w:rFonts w:ascii="Times New Roman" w:hAnsi="Times New Roman"/>
          <w:bCs/>
          <w:szCs w:val="24"/>
        </w:rPr>
        <w:t xml:space="preserve"> </w:t>
      </w:r>
      <w:r w:rsidR="00766BF0" w:rsidRPr="002E55DE">
        <w:rPr>
          <w:rFonts w:ascii="Times New Roman" w:eastAsia="Malgun Gothic" w:hAnsi="Times New Roman"/>
          <w:szCs w:val="24"/>
        </w:rPr>
        <w:t>use</w:t>
      </w:r>
      <w:r w:rsidR="004F19C4" w:rsidRPr="002E55DE">
        <w:rPr>
          <w:rFonts w:ascii="Times New Roman" w:eastAsia="Malgun Gothic" w:hAnsi="Times New Roman"/>
          <w:szCs w:val="24"/>
        </w:rPr>
        <w:t>d</w:t>
      </w:r>
      <w:r w:rsidR="00766BF0" w:rsidRPr="002E55DE">
        <w:rPr>
          <w:rFonts w:ascii="Times New Roman" w:eastAsia="Malgun Gothic" w:hAnsi="Times New Roman"/>
          <w:szCs w:val="24"/>
        </w:rPr>
        <w:t xml:space="preserve"> a dataset from a web-based survey from Valencia, Spain, investigating the importance of companionship in active lifestyle (walking and cycling) behaviors. They found </w:t>
      </w:r>
      <w:r w:rsidR="00E609CE" w:rsidRPr="002E55DE">
        <w:rPr>
          <w:rFonts w:ascii="Times New Roman" w:eastAsia="Malgun Gothic" w:hAnsi="Times New Roman"/>
          <w:szCs w:val="24"/>
        </w:rPr>
        <w:t>more positive attitudes toward walking when a person ha</w:t>
      </w:r>
      <w:r w:rsidR="004F19C4" w:rsidRPr="002E55DE">
        <w:rPr>
          <w:rFonts w:ascii="Times New Roman" w:eastAsia="Malgun Gothic" w:hAnsi="Times New Roman"/>
          <w:szCs w:val="24"/>
        </w:rPr>
        <w:t>d</w:t>
      </w:r>
      <w:r w:rsidR="00E609CE" w:rsidRPr="002E55DE">
        <w:rPr>
          <w:rFonts w:ascii="Times New Roman" w:eastAsia="Malgun Gothic" w:hAnsi="Times New Roman"/>
          <w:szCs w:val="24"/>
        </w:rPr>
        <w:t xml:space="preserve"> a larger, geographically compact, and deeper (more frequent communications) social network, suggesting again a relationship between companionship and walking behavior.</w:t>
      </w:r>
      <w:r w:rsidR="00E609CE" w:rsidRPr="002E55DE">
        <w:rPr>
          <w:rFonts w:ascii="Times New Roman" w:hAnsi="Times New Roman"/>
          <w:bCs/>
          <w:szCs w:val="24"/>
        </w:rPr>
        <w:t xml:space="preserve"> In contrast, </w:t>
      </w:r>
      <w:bookmarkStart w:id="26" w:name="_Hlk169960991"/>
      <w:r w:rsidR="00E609CE"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{"citationID":"7bw4PIr2","properties":{"formattedCitation":"(Leung et al., 2018)","plainCitation":"(Leung et al., 2018)","dontUpdate":true,"noteIndex":0},"citationItems":[{"id":"4nY7bDZH/S6DkN586","uris":["http://zotero.org/users/10132210/items/RYUPRNEU"],"itemData":{"id":952,"type":"article-journal","abstract":"Introduction: This study examined the associations between physical environment (facilitators and barriers), social environment, and walking among older adults in Hong Kong. Methods: Between April and December 2016, a sample of 679 adults aged 65 years or above was recruited in Neighbourhood Elderly Centres from across the 18 council districts of Hong Kong. Participants were asked to complete validated questionnaires that were used to assess the above constructs; participants were asked to track their daily step counts over 7 days using an accelerometer. Structural Equation Modelling was performed to examine the studied relationships by using maximum likelihood estimation in LISREL 9.3.","container-title":"Journal of Transport &amp; Health","DOI":"10.1016/j.jth.2018.03.002","ISSN":"22141405","journalAbbreviation":"Journal of Transport &amp; Health","language":"en","page":"299-308","source":"DOI.org (Crossref)","title":"Impact of physical and social environments on the walking behaviour of Hong Kong's older adults","volume":"9","author":[{"family":"Leung","given":"Ka Man"},{"family":"Chung","given":"Pak-Kwong"},{"family":"Wang","given":"Donggen"},{"family":"Liu","given":"Jing Dong"}],"issued":{"date-parts":[["2018",6]]}}}],"schema":"https://github.com/citation-style-language/schema/raw/master/csl-citation.json"} </w:instrText>
      </w:r>
      <w:r w:rsidR="00E609CE" w:rsidRPr="002E55DE">
        <w:rPr>
          <w:rFonts w:ascii="Times New Roman" w:hAnsi="Times New Roman"/>
          <w:bCs/>
          <w:szCs w:val="24"/>
        </w:rPr>
        <w:fldChar w:fldCharType="separate"/>
      </w:r>
      <w:r w:rsidR="00E609CE" w:rsidRPr="002E55DE">
        <w:rPr>
          <w:rFonts w:ascii="Times New Roman" w:hAnsi="Times New Roman"/>
          <w:szCs w:val="24"/>
        </w:rPr>
        <w:t>Leung et al. (2018)</w:t>
      </w:r>
      <w:r w:rsidR="00E609CE" w:rsidRPr="002E55DE">
        <w:rPr>
          <w:rFonts w:ascii="Times New Roman" w:hAnsi="Times New Roman"/>
          <w:bCs/>
          <w:szCs w:val="24"/>
        </w:rPr>
        <w:fldChar w:fldCharType="end"/>
      </w:r>
      <w:bookmarkEnd w:id="26"/>
      <w:r w:rsidR="00E609CE" w:rsidRPr="002E55DE">
        <w:rPr>
          <w:rFonts w:ascii="Times New Roman" w:hAnsi="Times New Roman"/>
          <w:bCs/>
          <w:szCs w:val="24"/>
        </w:rPr>
        <w:t xml:space="preserve"> examined the impact of both physical and social environments on walking behavior and concluded that companionship does not significantly influence the daily step count of older adults. In a longitudinal study, </w:t>
      </w:r>
      <w:r w:rsidR="00E609CE" w:rsidRPr="002E55DE">
        <w:rPr>
          <w:rFonts w:ascii="Times New Roman" w:hAnsi="Times New Roman"/>
          <w:bCs/>
          <w:szCs w:val="24"/>
        </w:rPr>
        <w:fldChar w:fldCharType="begin"/>
      </w:r>
      <w:r w:rsidR="00A254CC" w:rsidRPr="002E55DE">
        <w:rPr>
          <w:rFonts w:ascii="Times New Roman" w:hAnsi="Times New Roman"/>
          <w:bCs/>
          <w:szCs w:val="24"/>
        </w:rPr>
        <w:instrText xml:space="preserve"> ADDIN ZOTERO_ITEM CSL_CITATION {"citationID":"Pvvs4chX","properties":{"formattedCitation":"(Kritz et al., 2021)","plainCitation":"(Kritz et al., 2021)","dontUpdate":true,"noteIndex":0},"citationItems":[{"id":"4nY7bDZH/Hbiv06zS","uris":["http://zotero.org/users/10132210/items/9F5FSKLX"],"itemData":{"id":947,"type":"article-journal","abstract":"The authors examined whether purposeful walking with peers at least once a week contributes to better behavioral and health outcomes in older adults than primarily walking alone. The authors used a longitudinal cohort design and recruited participants aged 60 years and older (N = 136) at the start of a 16-week walking intervention. Participants who walked on average at least once a week in the ﬁnal 8 weeks of the intervention were included in the analysis (N = 79; 66 females, Mage [SD] = 77.73 [6.91]). The authors found that autonomous motivation, walking self-efﬁcacy, functional capacity, body fat, and physical activity improved more in the walking with peers group compared with the walking alone group, after controlling for whether participants lived alone/with others and their health status. The results extend current literature by providing longitudinal evidence for the added beneﬁts of regular peer-accompanied walking in older adults and highlight the importance of investing in peer-supported interventions.","container-title":"Journal of Aging and Physical Activity","DOI":"10.1123/japa.2020-0091","ISSN":"1063-8652, 1543-267X","issue":"3","language":"en","page":"455-465","source":"DOI.org (Crossref)","title":"“It’s Better Together”: A Nested Longitudinal Study Examining the Benefits of Walking Regularly With Peers Versus Primarily Alone in Older Adults","title-short":"“It’s Better Together”","volume":"29","author":[{"family":"Kritz","given":"Marlene"},{"family":"Thøgersen-Ntoumani","given":"Cecilie"},{"family":"Mullan","given":"Barbara"},{"family":"Stathi","given":"Afroditi"},{"family":"Ntoumanis","given":"Nikos"}],"issued":{"date-parts":[["2021",6,1]]}}}],"schema":"https://github.com/citation-style-language/schema/raw/master/csl-citation.json"} </w:instrText>
      </w:r>
      <w:r w:rsidR="00E609CE" w:rsidRPr="002E55DE">
        <w:rPr>
          <w:rFonts w:ascii="Times New Roman" w:hAnsi="Times New Roman"/>
          <w:bCs/>
          <w:szCs w:val="24"/>
        </w:rPr>
        <w:fldChar w:fldCharType="separate"/>
      </w:r>
      <w:r w:rsidR="00E609CE" w:rsidRPr="002E55DE">
        <w:rPr>
          <w:rFonts w:ascii="Times New Roman" w:hAnsi="Times New Roman"/>
          <w:szCs w:val="24"/>
        </w:rPr>
        <w:t>Kritz et al. (2021)</w:t>
      </w:r>
      <w:r w:rsidR="00E609CE" w:rsidRPr="002E55DE">
        <w:rPr>
          <w:rFonts w:ascii="Times New Roman" w:hAnsi="Times New Roman"/>
          <w:bCs/>
          <w:szCs w:val="24"/>
        </w:rPr>
        <w:fldChar w:fldCharType="end"/>
      </w:r>
      <w:r w:rsidR="00E609CE" w:rsidRPr="002E55DE">
        <w:rPr>
          <w:rFonts w:ascii="Times New Roman" w:hAnsi="Times New Roman"/>
          <w:bCs/>
          <w:szCs w:val="24"/>
        </w:rPr>
        <w:t xml:space="preserve"> discovered that older adults walking with peers tended to walk more frequently than those walking alone, with corresponding improvements in their physical health.</w:t>
      </w:r>
      <w:r w:rsidR="00BC551D" w:rsidRPr="002E55DE">
        <w:rPr>
          <w:rFonts w:ascii="Times New Roman" w:hAnsi="Times New Roman"/>
          <w:bCs/>
          <w:szCs w:val="24"/>
        </w:rPr>
        <w:t xml:space="preserve"> </w:t>
      </w:r>
    </w:p>
    <w:p w14:paraId="62127D8D" w14:textId="7C6A88BE" w:rsidR="00BC551D" w:rsidRPr="002E55DE" w:rsidRDefault="00D83A6D" w:rsidP="00D3595E">
      <w:pPr>
        <w:autoSpaceDE w:val="0"/>
        <w:autoSpaceDN w:val="0"/>
        <w:adjustRightInd w:val="0"/>
        <w:ind w:firstLine="720"/>
        <w:jc w:val="both"/>
        <w:rPr>
          <w:rFonts w:ascii="Times New Roman" w:hAnsi="Times New Roman"/>
          <w:bCs/>
          <w:szCs w:val="24"/>
        </w:rPr>
      </w:pPr>
      <w:r w:rsidRPr="002E55DE">
        <w:rPr>
          <w:rFonts w:ascii="Times New Roman" w:eastAsiaTheme="minorEastAsia" w:hAnsi="Times New Roman" w:hint="eastAsia"/>
          <w:bCs/>
          <w:szCs w:val="24"/>
          <w:lang w:eastAsia="ko-KR"/>
        </w:rPr>
        <w:t xml:space="preserve">There are two studies that </w:t>
      </w:r>
      <w:r w:rsidR="007B62A7" w:rsidRPr="002E55DE">
        <w:rPr>
          <w:rFonts w:ascii="Times New Roman" w:eastAsiaTheme="minorEastAsia" w:hAnsi="Times New Roman" w:hint="eastAsia"/>
          <w:bCs/>
          <w:szCs w:val="24"/>
          <w:lang w:eastAsia="ko-KR"/>
        </w:rPr>
        <w:t>expressly consider</w:t>
      </w:r>
      <w:r w:rsidRPr="002E55DE">
        <w:rPr>
          <w:rFonts w:ascii="Times New Roman" w:eastAsiaTheme="minorEastAsia" w:hAnsi="Times New Roman" w:hint="eastAsia"/>
          <w:bCs/>
          <w:szCs w:val="24"/>
          <w:lang w:eastAsia="ko-KR"/>
        </w:rPr>
        <w:t xml:space="preserve"> companionship</w:t>
      </w:r>
      <w:r w:rsidR="007B62A7" w:rsidRPr="002E55DE">
        <w:rPr>
          <w:rFonts w:ascii="Times New Roman" w:eastAsiaTheme="minorEastAsia" w:hAnsi="Times New Roman" w:hint="eastAsia"/>
          <w:bCs/>
          <w:szCs w:val="24"/>
          <w:lang w:eastAsia="ko-KR"/>
        </w:rPr>
        <w:t xml:space="preserve"> effects and neighborhood BE perception effects on </w:t>
      </w:r>
      <w:r w:rsidR="007B62A7" w:rsidRPr="002E55DE">
        <w:rPr>
          <w:rFonts w:ascii="Times New Roman" w:eastAsiaTheme="minorEastAsia" w:hAnsi="Times New Roman"/>
          <w:bCs/>
          <w:szCs w:val="24"/>
          <w:lang w:eastAsia="ko-KR"/>
        </w:rPr>
        <w:t>other</w:t>
      </w:r>
      <w:r w:rsidR="007B62A7" w:rsidRPr="002E55DE">
        <w:rPr>
          <w:rFonts w:ascii="Times New Roman" w:eastAsiaTheme="minorEastAsia" w:hAnsi="Times New Roman" w:hint="eastAsia"/>
          <w:bCs/>
          <w:szCs w:val="24"/>
          <w:lang w:eastAsia="ko-KR"/>
        </w:rPr>
        <w:t xml:space="preserve"> walking dimensions. For the first one, </w:t>
      </w:r>
      <w:r w:rsidR="007B62A7" w:rsidRPr="002E55DE">
        <w:rPr>
          <w:rFonts w:ascii="Times New Roman" w:eastAsiaTheme="minorEastAsia" w:hAnsi="Times New Roman"/>
          <w:bCs/>
          <w:szCs w:val="24"/>
          <w:lang w:eastAsia="ko-KR"/>
        </w:rPr>
        <w:fldChar w:fldCharType="begin"/>
      </w:r>
      <w:r w:rsidR="00A254CC" w:rsidRPr="002E55DE">
        <w:rPr>
          <w:rFonts w:ascii="Times New Roman" w:eastAsiaTheme="minorEastAsia" w:hAnsi="Times New Roman"/>
          <w:bCs/>
          <w:szCs w:val="24"/>
          <w:lang w:eastAsia="ko-KR"/>
        </w:rPr>
        <w:instrText xml:space="preserve"> ADDIN ZOTERO_ITEM CSL_CITATION {"citationID":"Gody4TqG","properties":{"formattedCitation":"(Ory et al., 2016)","plainCitation":"(Ory et al., 2016)","dontUpdate":true,"noteIndex":0},"citationItems":[{"id":"4nY7bDZH/VSOJnPpx","uris":["http://zotero.org/users/10132210/items/VKEK5L2J"],"itemData":{"id":915,"type":"article-journal","abstract":"Background: Regular physical activity (PA) is a major factor in maintaining health in aging populations. This study examines the influences of sociodemographic, health,</w:instrText>
      </w:r>
      <w:r w:rsidR="00A254CC" w:rsidRPr="002E55DE">
        <w:rPr>
          <w:rFonts w:ascii="Times New Roman" w:eastAsiaTheme="minorEastAsia" w:hAnsi="Times New Roman" w:hint="eastAsia"/>
          <w:bCs/>
          <w:szCs w:val="24"/>
          <w:lang w:eastAsia="ko-KR"/>
        </w:rPr>
        <w:instrText xml:space="preserve"> and environmental characteristics on older adults</w:instrText>
      </w:r>
      <w:r w:rsidR="00A254CC" w:rsidRPr="002E55DE">
        <w:rPr>
          <w:rFonts w:ascii="Times New Roman" w:eastAsiaTheme="minorEastAsia" w:hAnsi="Times New Roman" w:hint="eastAsia"/>
          <w:bCs/>
          <w:szCs w:val="24"/>
          <w:lang w:eastAsia="ko-KR"/>
        </w:rPr>
        <w:instrText>’</w:instrText>
      </w:r>
      <w:r w:rsidR="00A254CC" w:rsidRPr="002E55DE">
        <w:rPr>
          <w:rFonts w:ascii="Times New Roman" w:eastAsiaTheme="minorEastAsia" w:hAnsi="Times New Roman" w:hint="eastAsia"/>
          <w:bCs/>
          <w:szCs w:val="24"/>
          <w:lang w:eastAsia="ko-KR"/>
        </w:rPr>
        <w:instrText xml:space="preserve"> walking behaviors, and the role physicians can play in promoting physical activity.\nMethods: Online and paper surveys (n = 272) were distributed to community-dwelling older (age </w:instrText>
      </w:r>
      <w:r w:rsidR="00A254CC" w:rsidRPr="002E55DE">
        <w:rPr>
          <w:rFonts w:ascii="Times New Roman" w:eastAsiaTheme="minorEastAsia" w:hAnsi="Times New Roman" w:hint="eastAsia"/>
          <w:bCs/>
          <w:szCs w:val="24"/>
          <w:lang w:eastAsia="ko-KR"/>
        </w:rPr>
        <w:instrText>≥</w:instrText>
      </w:r>
      <w:r w:rsidR="00A254CC" w:rsidRPr="002E55DE">
        <w:rPr>
          <w:rFonts w:ascii="Times New Roman" w:eastAsiaTheme="minorEastAsia" w:hAnsi="Times New Roman" w:hint="eastAsia"/>
          <w:bCs/>
          <w:szCs w:val="24"/>
          <w:lang w:eastAsia="ko-KR"/>
        </w:rPr>
        <w:instrText xml:space="preserve"> 60) adults from a larg</w:instrText>
      </w:r>
      <w:r w:rsidR="00A254CC" w:rsidRPr="002E55DE">
        <w:rPr>
          <w:rFonts w:ascii="Times New Roman" w:eastAsiaTheme="minorEastAsia" w:hAnsi="Times New Roman"/>
          <w:bCs/>
          <w:szCs w:val="24"/>
          <w:lang w:eastAsia="ko-KR"/>
        </w:rPr>
        <w:instrText>e integrated healthcare system in two counties in Central Texas. Descriptive statistics were utilized to characterize participant’s walking behaviors and places. Multivariate logistic regression was employed to predict being: 1) a frequent walker (i.e., w</w:instrText>
      </w:r>
      <w:r w:rsidR="00A254CC" w:rsidRPr="002E55DE">
        <w:rPr>
          <w:rFonts w:ascii="Times New Roman" w:eastAsiaTheme="minorEastAsia" w:hAnsi="Times New Roman" w:hint="eastAsia"/>
          <w:bCs/>
          <w:szCs w:val="24"/>
          <w:lang w:eastAsia="ko-KR"/>
        </w:rPr>
        <w:instrText xml:space="preserve">alking at least three times a week); and 2) meeting the Centers for Disease Control and Prevention (CDC) PA recommendation through walking (i.e., walking </w:instrText>
      </w:r>
      <w:r w:rsidR="00A254CC" w:rsidRPr="002E55DE">
        <w:rPr>
          <w:rFonts w:ascii="Times New Roman" w:eastAsiaTheme="minorEastAsia" w:hAnsi="Times New Roman" w:hint="eastAsia"/>
          <w:bCs/>
          <w:szCs w:val="24"/>
          <w:lang w:eastAsia="ko-KR"/>
        </w:rPr>
        <w:instrText>≥</w:instrText>
      </w:r>
      <w:r w:rsidR="00A254CC" w:rsidRPr="002E55DE">
        <w:rPr>
          <w:rFonts w:ascii="Times New Roman" w:eastAsiaTheme="minorEastAsia" w:hAnsi="Times New Roman" w:hint="eastAsia"/>
          <w:bCs/>
          <w:szCs w:val="24"/>
          <w:lang w:eastAsia="ko-KR"/>
        </w:rPr>
        <w:instrText xml:space="preserve">150 min per week), while considering sociodemographic, health, and environmental factors.\nResults: Individuals had a median age of 69 years, were of both genders (50.37 % female), and were primarily nonHispanic White (84.87 %). While the majority (59.55 %) walked at least three times a week, only 27.86 % walked </w:instrText>
      </w:r>
      <w:r w:rsidR="00A254CC" w:rsidRPr="002E55DE">
        <w:rPr>
          <w:rFonts w:ascii="Times New Roman" w:eastAsiaTheme="minorEastAsia" w:hAnsi="Times New Roman" w:hint="eastAsia"/>
          <w:bCs/>
          <w:szCs w:val="24"/>
          <w:lang w:eastAsia="ko-KR"/>
        </w:rPr>
        <w:instrText>≥</w:instrText>
      </w:r>
      <w:r w:rsidR="00A254CC" w:rsidRPr="002E55DE">
        <w:rPr>
          <w:rFonts w:ascii="Times New Roman" w:eastAsiaTheme="minorEastAsia" w:hAnsi="Times New Roman" w:hint="eastAsia"/>
          <w:bCs/>
          <w:szCs w:val="24"/>
          <w:lang w:eastAsia="ko-KR"/>
        </w:rPr>
        <w:instrText xml:space="preserve">150 min a week. Factors associated with </w:instrText>
      </w:r>
      <w:r w:rsidR="00A254CC" w:rsidRPr="002E55DE">
        <w:rPr>
          <w:rFonts w:ascii="Times New Roman" w:eastAsiaTheme="minorEastAsia" w:hAnsi="Times New Roman"/>
          <w:bCs/>
          <w:szCs w:val="24"/>
          <w:lang w:eastAsia="ko-KR"/>
        </w:rPr>
        <w:instrText xml:space="preserve">a lower likelihood of being frequent walkers included experiencing poor mental health in the past month (OR = 0.345, 95 % CI = 0.185–0.645) and residing in areas with low or moderate (versus high) perceived neighborhood cohesion (OR = 0.471, 95 % CI = 0.228–0.974), while those in Census Tracts reflecting populations with a lower median age were more likely to report frequent walking behavior (OR = 1.799, 95 % CI = 1.034–3.131). Factors associated with a lower likelihood of meeting the CDC PA recommendation included being 60–69 years (versus 70 years or older) (OR = 0.538, 95 % CI = 0.290–0.997), experiencing poor mental health in the past month (OR = 0.432, 95 % CI = 0. 198–0.944), and lacking social support for walking (OR = 0.383, 95 % CI = 0.154–0.957).\nConclusion: Given the health benefits, PA promotion must be seen as a national responsibility. In particular, physicians have a major role to play in communicating the importance of PA to their older patients and making discussions about strategies for overcoming barriers to walking an integral part of their clinical encounter with these patients.","container-title":"BMC Geriatrics","DOI":"10.1186/s12877-016-0327-x","ISSN":"1471-2318","issue":"1","journalAbbreviation":"BMC Geriatr","language":"en","page":"155","source":"DOI.org (Crossref)","title":"Social and environmental predictors of walking among older adults","volume":"16","author":[{"family":"Ory","given":"Marcia G."},{"family":"Towne","given":"Samuel D."},{"family":"Won","given":"Jaewoong"},{"family":"Forjuoh","given":"Samuel N."},{"family":"Lee","given":"Chanam"}],"issued":{"date-parts":[["2016",12]]}}}],"schema":"https://github.com/citation-style-language/schema/raw/master/csl-citation.json"} </w:instrText>
      </w:r>
      <w:r w:rsidR="007B62A7" w:rsidRPr="002E55DE">
        <w:rPr>
          <w:rFonts w:ascii="Times New Roman" w:eastAsiaTheme="minorEastAsia" w:hAnsi="Times New Roman"/>
          <w:bCs/>
          <w:szCs w:val="24"/>
          <w:lang w:eastAsia="ko-KR"/>
        </w:rPr>
        <w:fldChar w:fldCharType="separate"/>
      </w:r>
      <w:r w:rsidR="007B62A7" w:rsidRPr="002E55DE">
        <w:rPr>
          <w:rFonts w:ascii="Times New Roman" w:hAnsi="Times New Roman"/>
        </w:rPr>
        <w:t xml:space="preserve">Ory et al. </w:t>
      </w:r>
      <w:r w:rsidR="000C2125" w:rsidRPr="002E55DE">
        <w:rPr>
          <w:rFonts w:ascii="Times New Roman" w:eastAsiaTheme="minorEastAsia" w:hAnsi="Times New Roman" w:hint="eastAsia"/>
          <w:lang w:eastAsia="ko-KR"/>
        </w:rPr>
        <w:t>(</w:t>
      </w:r>
      <w:r w:rsidR="007B62A7" w:rsidRPr="002E55DE">
        <w:rPr>
          <w:rFonts w:ascii="Times New Roman" w:hAnsi="Times New Roman"/>
        </w:rPr>
        <w:t>2016)</w:t>
      </w:r>
      <w:r w:rsidR="007B62A7" w:rsidRPr="002E55DE">
        <w:rPr>
          <w:rFonts w:ascii="Times New Roman" w:eastAsiaTheme="minorEastAsia" w:hAnsi="Times New Roman"/>
          <w:bCs/>
          <w:szCs w:val="24"/>
          <w:lang w:eastAsia="ko-KR"/>
        </w:rPr>
        <w:fldChar w:fldCharType="end"/>
      </w:r>
      <w:r w:rsidRPr="002E55DE">
        <w:rPr>
          <w:rFonts w:ascii="Times New Roman" w:eastAsiaTheme="minorEastAsia" w:hAnsi="Times New Roman" w:hint="eastAsia"/>
          <w:bCs/>
          <w:szCs w:val="24"/>
          <w:lang w:eastAsia="ko-KR"/>
        </w:rPr>
        <w:t xml:space="preserve"> </w:t>
      </w:r>
      <w:r w:rsidR="000C2125" w:rsidRPr="002E55DE">
        <w:rPr>
          <w:rFonts w:ascii="Times New Roman" w:eastAsiaTheme="minorEastAsia" w:hAnsi="Times New Roman" w:hint="eastAsia"/>
          <w:bCs/>
          <w:szCs w:val="24"/>
          <w:lang w:eastAsia="ko-KR"/>
        </w:rPr>
        <w:t xml:space="preserve">utilized  survey data of </w:t>
      </w:r>
      <w:r w:rsidR="00D31C83" w:rsidRPr="002E55DE">
        <w:rPr>
          <w:rFonts w:ascii="Times New Roman" w:eastAsiaTheme="minorEastAsia" w:hAnsi="Times New Roman" w:hint="eastAsia"/>
          <w:bCs/>
          <w:szCs w:val="24"/>
          <w:lang w:eastAsia="ko-KR"/>
        </w:rPr>
        <w:t xml:space="preserve">adults aged </w:t>
      </w:r>
      <w:r w:rsidR="000C2125" w:rsidRPr="002E55DE">
        <w:rPr>
          <w:rFonts w:ascii="Times New Roman" w:eastAsiaTheme="minorEastAsia" w:hAnsi="Times New Roman" w:hint="eastAsia"/>
          <w:bCs/>
          <w:szCs w:val="24"/>
          <w:lang w:eastAsia="ko-KR"/>
        </w:rPr>
        <w:t xml:space="preserve">60 or </w:t>
      </w:r>
      <w:r w:rsidR="000C2125" w:rsidRPr="002E55DE">
        <w:rPr>
          <w:rFonts w:ascii="Times New Roman" w:hAnsi="Times New Roman" w:hint="eastAsia"/>
          <w:bCs/>
          <w:szCs w:val="24"/>
        </w:rPr>
        <w:t>older</w:t>
      </w:r>
      <w:r w:rsidR="00D31C83" w:rsidRPr="002E55DE">
        <w:rPr>
          <w:rFonts w:ascii="Times New Roman" w:eastAsiaTheme="minorEastAsia" w:hAnsi="Times New Roman" w:hint="eastAsia"/>
          <w:bCs/>
          <w:szCs w:val="24"/>
          <w:lang w:eastAsia="ko-KR"/>
        </w:rPr>
        <w:t xml:space="preserve"> from</w:t>
      </w:r>
      <w:r w:rsidR="000C2125" w:rsidRPr="002E55DE">
        <w:rPr>
          <w:rFonts w:ascii="Times New Roman" w:eastAsiaTheme="minorEastAsia" w:hAnsi="Times New Roman" w:hint="eastAsia"/>
          <w:bCs/>
          <w:szCs w:val="24"/>
          <w:lang w:eastAsia="ko-KR"/>
        </w:rPr>
        <w:t xml:space="preserve"> Texas, United States</w:t>
      </w:r>
      <w:r w:rsidR="0093218C" w:rsidRPr="002E55DE">
        <w:rPr>
          <w:rFonts w:ascii="Times New Roman" w:eastAsiaTheme="minorEastAsia" w:hAnsi="Times New Roman" w:hint="eastAsia"/>
          <w:bCs/>
          <w:szCs w:val="24"/>
          <w:lang w:eastAsia="ko-KR"/>
        </w:rPr>
        <w:t xml:space="preserve"> to reveal the impact of physical and mental health, social factors and </w:t>
      </w:r>
      <w:r w:rsidR="00652F24" w:rsidRPr="002E55DE">
        <w:rPr>
          <w:rFonts w:ascii="Times New Roman" w:eastAsiaTheme="minorEastAsia" w:hAnsi="Times New Roman" w:hint="eastAsia"/>
          <w:bCs/>
          <w:szCs w:val="24"/>
          <w:lang w:eastAsia="ko-KR"/>
        </w:rPr>
        <w:t xml:space="preserve">perceived neighborhood </w:t>
      </w:r>
      <w:r w:rsidR="00D31C83" w:rsidRPr="002E55DE">
        <w:rPr>
          <w:rFonts w:ascii="Times New Roman" w:eastAsiaTheme="minorEastAsia" w:hAnsi="Times New Roman" w:hint="eastAsia"/>
          <w:bCs/>
          <w:szCs w:val="24"/>
          <w:lang w:eastAsia="ko-KR"/>
        </w:rPr>
        <w:t xml:space="preserve">safety </w:t>
      </w:r>
      <w:r w:rsidR="00652F24" w:rsidRPr="002E55DE">
        <w:rPr>
          <w:rFonts w:ascii="Times New Roman" w:eastAsiaTheme="minorEastAsia" w:hAnsi="Times New Roman" w:hint="eastAsia"/>
          <w:bCs/>
          <w:szCs w:val="24"/>
          <w:lang w:eastAsia="ko-KR"/>
        </w:rPr>
        <w:t xml:space="preserve">on odds </w:t>
      </w:r>
      <w:r w:rsidR="00373CE6" w:rsidRPr="002E55DE">
        <w:rPr>
          <w:rFonts w:ascii="Times New Roman" w:eastAsiaTheme="minorEastAsia" w:hAnsi="Times New Roman" w:hint="eastAsia"/>
          <w:bCs/>
          <w:szCs w:val="24"/>
          <w:lang w:eastAsia="ko-KR"/>
        </w:rPr>
        <w:t>of</w:t>
      </w:r>
      <w:r w:rsidR="00652F24" w:rsidRPr="002E55DE">
        <w:rPr>
          <w:rFonts w:ascii="Times New Roman" w:eastAsiaTheme="minorEastAsia" w:hAnsi="Times New Roman" w:hint="eastAsia"/>
          <w:bCs/>
          <w:szCs w:val="24"/>
          <w:lang w:eastAsia="ko-KR"/>
        </w:rPr>
        <w:t xml:space="preserve"> be</w:t>
      </w:r>
      <w:r w:rsidR="00373CE6" w:rsidRPr="002E55DE">
        <w:rPr>
          <w:rFonts w:ascii="Times New Roman" w:eastAsiaTheme="minorEastAsia" w:hAnsi="Times New Roman" w:hint="eastAsia"/>
          <w:bCs/>
          <w:szCs w:val="24"/>
          <w:lang w:eastAsia="ko-KR"/>
        </w:rPr>
        <w:t>ing</w:t>
      </w:r>
      <w:r w:rsidR="00652F24" w:rsidRPr="002E55DE">
        <w:rPr>
          <w:rFonts w:ascii="Times New Roman" w:eastAsiaTheme="minorEastAsia" w:hAnsi="Times New Roman" w:hint="eastAsia"/>
          <w:bCs/>
          <w:szCs w:val="24"/>
          <w:lang w:eastAsia="ko-KR"/>
        </w:rPr>
        <w:t xml:space="preserve"> frequent walker or </w:t>
      </w:r>
      <w:r w:rsidR="00373CE6" w:rsidRPr="002E55DE">
        <w:rPr>
          <w:rFonts w:ascii="Times New Roman" w:eastAsiaTheme="minorEastAsia" w:hAnsi="Times New Roman" w:hint="eastAsia"/>
          <w:bCs/>
          <w:szCs w:val="24"/>
          <w:lang w:eastAsia="ko-KR"/>
        </w:rPr>
        <w:t>meet</w:t>
      </w:r>
      <w:r w:rsidR="00561015" w:rsidRPr="002E55DE">
        <w:rPr>
          <w:rFonts w:ascii="Times New Roman" w:eastAsiaTheme="minorEastAsia" w:hAnsi="Times New Roman" w:hint="eastAsia"/>
          <w:bCs/>
          <w:szCs w:val="24"/>
          <w:lang w:eastAsia="ko-KR"/>
        </w:rPr>
        <w:t xml:space="preserve"> the physical activity guideline</w:t>
      </w:r>
      <w:r w:rsidR="00373CE6" w:rsidRPr="002E55DE">
        <w:rPr>
          <w:rFonts w:ascii="Times New Roman" w:eastAsiaTheme="minorEastAsia" w:hAnsi="Times New Roman" w:hint="eastAsia"/>
          <w:bCs/>
          <w:szCs w:val="24"/>
          <w:lang w:eastAsia="ko-KR"/>
        </w:rPr>
        <w:t>s</w:t>
      </w:r>
      <w:r w:rsidR="00561015" w:rsidRPr="002E55DE">
        <w:rPr>
          <w:rFonts w:ascii="Times New Roman" w:eastAsiaTheme="minorEastAsia" w:hAnsi="Times New Roman" w:hint="eastAsia"/>
          <w:bCs/>
          <w:szCs w:val="24"/>
          <w:lang w:eastAsia="ko-KR"/>
        </w:rPr>
        <w:t xml:space="preserve"> with walking. </w:t>
      </w:r>
      <w:r w:rsidR="00D37931" w:rsidRPr="002E55DE">
        <w:rPr>
          <w:rFonts w:ascii="Times New Roman" w:eastAsiaTheme="minorEastAsia" w:hAnsi="Times New Roman"/>
          <w:bCs/>
          <w:szCs w:val="24"/>
          <w:lang w:eastAsia="ko-KR"/>
        </w:rPr>
        <w:t xml:space="preserve">They reported that older adults who </w:t>
      </w:r>
      <w:r w:rsidR="00D37931" w:rsidRPr="002E55DE">
        <w:rPr>
          <w:rFonts w:ascii="Times New Roman" w:eastAsiaTheme="minorEastAsia" w:hAnsi="Times New Roman" w:hint="eastAsia"/>
          <w:bCs/>
          <w:szCs w:val="24"/>
          <w:lang w:eastAsia="ko-KR"/>
        </w:rPr>
        <w:t>have</w:t>
      </w:r>
      <w:r w:rsidR="00D37931" w:rsidRPr="002E55DE">
        <w:rPr>
          <w:rFonts w:ascii="Times New Roman" w:eastAsiaTheme="minorEastAsia" w:hAnsi="Times New Roman"/>
          <w:bCs/>
          <w:szCs w:val="24"/>
          <w:lang w:eastAsia="ko-KR"/>
        </w:rPr>
        <w:t xml:space="preserve"> both a dog and </w:t>
      </w:r>
      <w:r w:rsidR="00D37931" w:rsidRPr="002E55DE">
        <w:rPr>
          <w:rFonts w:ascii="Times New Roman" w:eastAsiaTheme="minorEastAsia" w:hAnsi="Times New Roman" w:hint="eastAsia"/>
          <w:bCs/>
          <w:szCs w:val="24"/>
          <w:lang w:eastAsia="ko-KR"/>
        </w:rPr>
        <w:t>a</w:t>
      </w:r>
      <w:r w:rsidR="00D37931" w:rsidRPr="002E55DE">
        <w:rPr>
          <w:rFonts w:ascii="Times New Roman" w:eastAsiaTheme="minorEastAsia" w:hAnsi="Times New Roman"/>
          <w:bCs/>
          <w:szCs w:val="24"/>
          <w:lang w:eastAsia="ko-KR"/>
        </w:rPr>
        <w:t xml:space="preserve"> </w:t>
      </w:r>
      <w:r w:rsidR="00C24B1E" w:rsidRPr="002E55DE">
        <w:rPr>
          <w:rFonts w:ascii="Times New Roman" w:eastAsiaTheme="minorEastAsia" w:hAnsi="Times New Roman" w:hint="eastAsia"/>
          <w:bCs/>
          <w:szCs w:val="24"/>
          <w:lang w:eastAsia="ko-KR"/>
        </w:rPr>
        <w:t>human</w:t>
      </w:r>
      <w:r w:rsidR="00D37931" w:rsidRPr="002E55DE">
        <w:rPr>
          <w:rFonts w:ascii="Times New Roman" w:eastAsiaTheme="minorEastAsia" w:hAnsi="Times New Roman"/>
          <w:bCs/>
          <w:szCs w:val="24"/>
          <w:lang w:eastAsia="ko-KR"/>
        </w:rPr>
        <w:t xml:space="preserve"> </w:t>
      </w:r>
      <w:r w:rsidR="00D3595E" w:rsidRPr="002E55DE">
        <w:rPr>
          <w:rFonts w:ascii="Times New Roman" w:eastAsiaTheme="minorEastAsia" w:hAnsi="Times New Roman" w:hint="eastAsia"/>
          <w:bCs/>
          <w:szCs w:val="24"/>
          <w:lang w:eastAsia="ko-KR"/>
        </w:rPr>
        <w:t>companion</w:t>
      </w:r>
      <w:r w:rsidR="00D37931" w:rsidRPr="002E55DE">
        <w:rPr>
          <w:rFonts w:ascii="Times New Roman" w:eastAsiaTheme="minorEastAsia" w:hAnsi="Times New Roman" w:hint="eastAsia"/>
          <w:bCs/>
          <w:szCs w:val="24"/>
          <w:lang w:eastAsia="ko-KR"/>
        </w:rPr>
        <w:t xml:space="preserve"> </w:t>
      </w:r>
      <w:r w:rsidR="00D37931" w:rsidRPr="002E55DE">
        <w:rPr>
          <w:rFonts w:ascii="Times New Roman" w:eastAsiaTheme="minorEastAsia" w:hAnsi="Times New Roman"/>
          <w:bCs/>
          <w:szCs w:val="24"/>
          <w:lang w:eastAsia="ko-KR"/>
        </w:rPr>
        <w:t>simultaneously had significantly higher odds of walking more than 150 minutes per week, while perceived neighborhood safety did not have a significant effect on the frequency and duration of walking.</w:t>
      </w:r>
      <w:r w:rsidR="00922FA5" w:rsidRPr="002E55DE">
        <w:rPr>
          <w:rFonts w:ascii="Times New Roman" w:eastAsiaTheme="minorEastAsia" w:hAnsi="Times New Roman" w:hint="eastAsia"/>
          <w:bCs/>
          <w:szCs w:val="24"/>
          <w:lang w:eastAsia="ko-KR"/>
        </w:rPr>
        <w:t xml:space="preserve"> </w:t>
      </w:r>
      <w:r w:rsidRPr="002E55DE">
        <w:rPr>
          <w:rFonts w:ascii="Times New Roman" w:eastAsiaTheme="minorEastAsia" w:hAnsi="Times New Roman" w:hint="eastAsia"/>
          <w:bCs/>
          <w:szCs w:val="24"/>
          <w:lang w:eastAsia="ko-KR"/>
        </w:rPr>
        <w:t>In another</w:t>
      </w:r>
      <w:r w:rsidR="00DF28E4" w:rsidRPr="002E55DE">
        <w:rPr>
          <w:rFonts w:ascii="Times New Roman" w:eastAsiaTheme="minorEastAsia" w:hAnsi="Times New Roman" w:hint="eastAsia"/>
          <w:bCs/>
          <w:szCs w:val="24"/>
          <w:lang w:eastAsia="ko-KR"/>
        </w:rPr>
        <w:t xml:space="preserve"> study</w:t>
      </w:r>
      <w:r w:rsidRPr="002E55DE">
        <w:rPr>
          <w:rFonts w:ascii="Times New Roman" w:eastAsiaTheme="minorEastAsia" w:hAnsi="Times New Roman" w:hint="eastAsia"/>
          <w:bCs/>
          <w:szCs w:val="24"/>
          <w:lang w:eastAsia="ko-KR"/>
        </w:rPr>
        <w:t xml:space="preserve">, </w:t>
      </w:r>
      <w:r w:rsidR="00E609CE" w:rsidRPr="002E55DE">
        <w:rPr>
          <w:rFonts w:ascii="Times New Roman" w:hAnsi="Times New Roman"/>
          <w:bCs/>
          <w:szCs w:val="24"/>
        </w:rPr>
        <w:t xml:space="preserve">Liu et al. (2020) </w:t>
      </w:r>
      <w:r w:rsidR="008F73F9" w:rsidRPr="002E55DE">
        <w:rPr>
          <w:rFonts w:ascii="Times New Roman" w:hAnsi="Times New Roman"/>
          <w:bCs/>
          <w:szCs w:val="24"/>
        </w:rPr>
        <w:t>employed a survey of older adults residing in Dalian, China</w:t>
      </w:r>
      <w:r w:rsidR="00E609CE" w:rsidRPr="002E55DE">
        <w:rPr>
          <w:rFonts w:ascii="Times New Roman" w:hAnsi="Times New Roman"/>
          <w:bCs/>
          <w:szCs w:val="24"/>
        </w:rPr>
        <w:t xml:space="preserve">. </w:t>
      </w:r>
      <w:r w:rsidR="008F73F9" w:rsidRPr="002E55DE">
        <w:rPr>
          <w:rFonts w:ascii="Times New Roman" w:hAnsi="Times New Roman"/>
          <w:bCs/>
          <w:szCs w:val="24"/>
        </w:rPr>
        <w:t>Their results reveal</w:t>
      </w:r>
      <w:r w:rsidR="004F19C4" w:rsidRPr="002E55DE">
        <w:rPr>
          <w:rFonts w:ascii="Times New Roman" w:hAnsi="Times New Roman"/>
          <w:bCs/>
          <w:szCs w:val="24"/>
        </w:rPr>
        <w:t>ed</w:t>
      </w:r>
      <w:r w:rsidR="008F73F9" w:rsidRPr="002E55DE">
        <w:rPr>
          <w:rFonts w:ascii="Times New Roman" w:hAnsi="Times New Roman"/>
          <w:bCs/>
          <w:szCs w:val="24"/>
        </w:rPr>
        <w:t xml:space="preserve"> an interesting pattern where walking trip duration</w:t>
      </w:r>
      <w:r w:rsidR="004F19C4" w:rsidRPr="002E55DE">
        <w:rPr>
          <w:rFonts w:ascii="Times New Roman" w:hAnsi="Times New Roman"/>
          <w:bCs/>
          <w:szCs w:val="24"/>
        </w:rPr>
        <w:t xml:space="preserve"> </w:t>
      </w:r>
      <w:r w:rsidR="008F73F9" w:rsidRPr="002E55DE">
        <w:rPr>
          <w:rFonts w:ascii="Times New Roman" w:hAnsi="Times New Roman"/>
          <w:bCs/>
          <w:szCs w:val="24"/>
        </w:rPr>
        <w:t>decrease</w:t>
      </w:r>
      <w:r w:rsidR="004F19C4" w:rsidRPr="002E55DE">
        <w:rPr>
          <w:rFonts w:ascii="Times New Roman" w:hAnsi="Times New Roman"/>
          <w:bCs/>
          <w:szCs w:val="24"/>
        </w:rPr>
        <w:t>d</w:t>
      </w:r>
      <w:r w:rsidR="008F73F9" w:rsidRPr="002E55DE">
        <w:rPr>
          <w:rFonts w:ascii="Times New Roman" w:hAnsi="Times New Roman"/>
          <w:bCs/>
          <w:szCs w:val="24"/>
        </w:rPr>
        <w:t xml:space="preserve"> when combined with other activities, when pursued with a social companion, and </w:t>
      </w:r>
      <w:r w:rsidR="00E609CE" w:rsidRPr="002E55DE">
        <w:rPr>
          <w:rFonts w:ascii="Times New Roman" w:hAnsi="Times New Roman"/>
          <w:bCs/>
          <w:szCs w:val="24"/>
        </w:rPr>
        <w:t xml:space="preserve">when </w:t>
      </w:r>
      <w:r w:rsidR="008F73F9" w:rsidRPr="002E55DE">
        <w:rPr>
          <w:rFonts w:ascii="Times New Roman" w:hAnsi="Times New Roman"/>
          <w:bCs/>
          <w:szCs w:val="24"/>
        </w:rPr>
        <w:t>undertaken frequently during the week. Trip walking duration also increased when residents (a) were satisfied with pedestrian walkway facilities, (b) had a positive view of neighborhood aesthetics, and (c) walked in the evening and felt crime safety was quite under control.</w:t>
      </w:r>
    </w:p>
    <w:p w14:paraId="0D231315" w14:textId="77777777" w:rsidR="003518AB" w:rsidRPr="002E55DE" w:rsidRDefault="003518AB" w:rsidP="003518AB">
      <w:pPr>
        <w:ind w:firstLine="720"/>
        <w:jc w:val="both"/>
        <w:rPr>
          <w:rFonts w:ascii="Times New Roman" w:hAnsi="Times New Roman"/>
          <w:bCs/>
          <w:szCs w:val="24"/>
        </w:rPr>
      </w:pPr>
    </w:p>
    <w:p w14:paraId="3026C5D7" w14:textId="20EA9B25" w:rsidR="00CA2A38" w:rsidRPr="002E55DE" w:rsidRDefault="00F828B0" w:rsidP="00F92B82">
      <w:pPr>
        <w:pStyle w:val="Heading2"/>
        <w:keepNext/>
        <w:keepLines/>
        <w:spacing w:line="240" w:lineRule="auto"/>
        <w:ind w:hanging="540"/>
        <w:contextualSpacing w:val="0"/>
      </w:pPr>
      <w:r w:rsidRPr="002E55DE">
        <w:lastRenderedPageBreak/>
        <w:t xml:space="preserve">The Current Study </w:t>
      </w:r>
    </w:p>
    <w:p w14:paraId="0D8BDF35" w14:textId="7E2A020F" w:rsidR="00C97BB1" w:rsidRPr="002E55DE" w:rsidRDefault="00C50F67" w:rsidP="00F92B82">
      <w:pPr>
        <w:keepNext/>
        <w:keepLines/>
        <w:autoSpaceDE w:val="0"/>
        <w:autoSpaceDN w:val="0"/>
        <w:adjustRightInd w:val="0"/>
        <w:jc w:val="both"/>
        <w:rPr>
          <w:rFonts w:ascii="Times New Roman" w:eastAsiaTheme="minorEastAsia" w:hAnsi="Times New Roman"/>
          <w:bCs/>
          <w:lang w:eastAsia="ko-KR"/>
        </w:rPr>
      </w:pPr>
      <w:bookmarkStart w:id="27" w:name="_Hlk195706960"/>
      <w:r w:rsidRPr="002E55DE">
        <w:rPr>
          <w:rFonts w:ascii="Times New Roman" w:eastAsiaTheme="minorEastAsia" w:hAnsi="Times New Roman"/>
          <w:lang w:eastAsia="ko-KR"/>
        </w:rPr>
        <w:t xml:space="preserve">Table 1 synthesizes </w:t>
      </w:r>
      <w:r w:rsidR="00EF54CA" w:rsidRPr="002E55DE">
        <w:rPr>
          <w:rFonts w:ascii="Times New Roman" w:eastAsiaTheme="minorEastAsia" w:hAnsi="Times New Roman"/>
          <w:lang w:eastAsia="ko-KR"/>
        </w:rPr>
        <w:t>the many walking studies</w:t>
      </w:r>
      <w:r w:rsidR="004F19C4" w:rsidRPr="002E55DE">
        <w:rPr>
          <w:rFonts w:ascii="Times New Roman" w:eastAsiaTheme="minorEastAsia" w:hAnsi="Times New Roman"/>
          <w:lang w:eastAsia="ko-KR"/>
        </w:rPr>
        <w:t xml:space="preserve"> just discussed</w:t>
      </w:r>
      <w:bookmarkEnd w:id="27"/>
      <w:r w:rsidR="00A00876" w:rsidRPr="002E55DE">
        <w:rPr>
          <w:rFonts w:ascii="Times New Roman" w:eastAsiaTheme="minorEastAsia" w:hAnsi="Times New Roman"/>
          <w:lang w:eastAsia="ko-KR"/>
        </w:rPr>
        <w:t>.</w:t>
      </w:r>
      <w:r w:rsidR="000E0D83" w:rsidRPr="002E55DE">
        <w:rPr>
          <w:rFonts w:ascii="Times New Roman" w:eastAsiaTheme="minorEastAsia" w:hAnsi="Times New Roman"/>
          <w:lang w:eastAsia="ko-KR"/>
        </w:rPr>
        <w:t xml:space="preserve"> </w:t>
      </w:r>
      <w:r w:rsidR="00EF54CA" w:rsidRPr="002E55DE">
        <w:rPr>
          <w:rFonts w:ascii="Times New Roman" w:eastAsiaTheme="minorEastAsia" w:hAnsi="Times New Roman"/>
          <w:lang w:eastAsia="ko-KR"/>
        </w:rPr>
        <w:t xml:space="preserve">In the table, we do not include review studies, but do include the Hwang et al. (2023) and Younes et al. (2023) studies that have been undertaken after the onset of the pandemic and considered age as an exogenous variable in their walking studies. </w:t>
      </w:r>
      <w:r w:rsidR="008E15B0" w:rsidRPr="002E55DE">
        <w:rPr>
          <w:rFonts w:ascii="Times New Roman" w:eastAsiaTheme="minorEastAsia" w:hAnsi="Times New Roman"/>
          <w:lang w:eastAsia="ko-KR"/>
        </w:rPr>
        <w:t>In addition to the studies discussed earlier, we also include the study by</w:t>
      </w:r>
      <w:r w:rsidR="00754890" w:rsidRPr="002E55DE">
        <w:rPr>
          <w:rFonts w:ascii="Times New Roman" w:eastAsiaTheme="minorEastAsia" w:hAnsi="Times New Roman" w:hint="eastAsia"/>
          <w:lang w:eastAsia="ko-KR"/>
        </w:rPr>
        <w:t xml:space="preserve"> </w:t>
      </w:r>
      <w:bookmarkStart w:id="28" w:name="_Hlk169961133"/>
      <w:r w:rsidR="00754890"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{"citationID":"eiMaBp31","properties":{"formattedCitation":"(Yang et al., 2022)","plainCitation":"(Yang et al., 2022)","dontUpdate":true,"noteIndex":0},"citationItems":[{"id":"4nY7bDZH/UrPKO8Gy","uris":["http://zotero.org/users/10132210/items/42AAUN5J"],"itemData":{"id":987,"type":"article-journal","abstract":"As the most prevalent physical activity and transportation mode for older people, walking is considered to have multiple health and well-­being benefits. Previous studies used separate models to assess the built-­environment determinants of a battery of walking behavior measures, such as walking frequency and duration. In a departure from them, this study develops a system of equations, which is estimated by seemingly unrelated regression, to determine the built-­environment factors that significantly influence two correlated walking behavior measures (including walking frequency and duration) of older adults in Xiamen (a medium-­sized Chinese city) based on data from the Travel Survey of Xiamen Residents 2015 and built-­environment geo-­data. The results show the following: (1) the walking frequency and duration of older adults are affected by the built environment and socio-­demographic characteristics; (2) land-­use mix, intersection density, and bus route density positively influence older adults’ walking frequency and duration; (3) distance to the commercial center adversely impacts the walking frequency and duration; and (4) the built environment has similar effects on the two measures. This study offers a worthwhile reference for policy intervention to promote older adults' walking activities, thereby contributing to active and healthy aging.","container-title":"Transactions in GIS","DOI":"10.1111/tgis.12916","ISSN":"1361-1682, 1467-9671","issue":"3","journalAbbreviation":"Transactions in GIS","language":"en","page":"1339-1354","source":"DOI.org (Crossref)","title":"Using a system of equations to assess the determinants of the walking behavior of older adults","volume":"26","author":[{"family":"Yang","given":"Linchuan"},{"family":"Tang","given":"Xianglong"},{"family":"Yang","given":"Hongtai"},{"family":"Meng","given":"Fanyu"},{"family":"Liu","given":"Jixiang"}],"issued":{"date-parts":[["2022",5]]}}}],"schema":"https://github.com/citation-style-language/schema/raw/master/csl-citation.json"} </w:instrText>
      </w:r>
      <w:r w:rsidR="00754890" w:rsidRPr="002E55DE">
        <w:rPr>
          <w:rFonts w:ascii="Times New Roman" w:eastAsiaTheme="minorEastAsia" w:hAnsi="Times New Roman"/>
          <w:lang w:eastAsia="ko-KR"/>
        </w:rPr>
        <w:fldChar w:fldCharType="separate"/>
      </w:r>
      <w:r w:rsidR="00754890" w:rsidRPr="002E55DE">
        <w:rPr>
          <w:rFonts w:ascii="Times New Roman" w:hAnsi="Times New Roman"/>
        </w:rPr>
        <w:t xml:space="preserve">Yang et al. </w:t>
      </w:r>
      <w:r w:rsidR="00754890" w:rsidRPr="002E55DE">
        <w:rPr>
          <w:rFonts w:ascii="Times New Roman" w:eastAsiaTheme="minorEastAsia" w:hAnsi="Times New Roman"/>
          <w:lang w:eastAsia="ko-KR"/>
        </w:rPr>
        <w:t>(</w:t>
      </w:r>
      <w:r w:rsidR="00754890" w:rsidRPr="002E55DE">
        <w:rPr>
          <w:rFonts w:ascii="Times New Roman" w:hAnsi="Times New Roman"/>
        </w:rPr>
        <w:t>2022)</w:t>
      </w:r>
      <w:r w:rsidR="00754890" w:rsidRPr="002E55DE">
        <w:rPr>
          <w:rFonts w:ascii="Times New Roman" w:eastAsiaTheme="minorEastAsia" w:hAnsi="Times New Roman"/>
          <w:lang w:eastAsia="ko-KR"/>
        </w:rPr>
        <w:fldChar w:fldCharType="end"/>
      </w:r>
      <w:r w:rsidR="008E15B0" w:rsidRPr="002E55DE">
        <w:rPr>
          <w:rFonts w:ascii="Times New Roman" w:eastAsiaTheme="minorEastAsia" w:hAnsi="Times New Roman"/>
          <w:bCs/>
          <w:lang w:eastAsia="ko-KR"/>
        </w:rPr>
        <w:t xml:space="preserve">, </w:t>
      </w:r>
      <w:bookmarkEnd w:id="28"/>
      <w:r w:rsidR="008E15B0" w:rsidRPr="002E55DE">
        <w:rPr>
          <w:rFonts w:ascii="Times New Roman" w:eastAsiaTheme="minorEastAsia" w:hAnsi="Times New Roman"/>
          <w:bCs/>
          <w:lang w:eastAsia="ko-KR"/>
        </w:rPr>
        <w:t>who applied a seemingly unrelated regression equations system to examine the influence of</w:t>
      </w:r>
      <w:r w:rsidR="00EE094B" w:rsidRPr="002E55DE">
        <w:rPr>
          <w:rFonts w:ascii="Times New Roman" w:eastAsiaTheme="minorEastAsia" w:hAnsi="Times New Roman"/>
          <w:bCs/>
          <w:lang w:eastAsia="ko-KR"/>
        </w:rPr>
        <w:t xml:space="preserve"> neighborhood BE factors and sociodemographics </w:t>
      </w:r>
      <w:r w:rsidR="008E15B0" w:rsidRPr="002E55DE">
        <w:rPr>
          <w:rFonts w:ascii="Times New Roman" w:eastAsiaTheme="minorEastAsia" w:hAnsi="Times New Roman"/>
          <w:bCs/>
          <w:lang w:eastAsia="ko-KR"/>
        </w:rPr>
        <w:t xml:space="preserve">on </w:t>
      </w:r>
      <w:r w:rsidR="004F19C4" w:rsidRPr="002E55DE">
        <w:rPr>
          <w:rFonts w:ascii="Times New Roman" w:eastAsiaTheme="minorEastAsia" w:hAnsi="Times New Roman"/>
          <w:bCs/>
          <w:lang w:eastAsia="ko-KR"/>
        </w:rPr>
        <w:t xml:space="preserve">daily </w:t>
      </w:r>
      <w:r w:rsidR="008E15B0" w:rsidRPr="002E55DE">
        <w:rPr>
          <w:rFonts w:ascii="Times New Roman" w:eastAsiaTheme="minorEastAsia" w:hAnsi="Times New Roman"/>
          <w:bCs/>
          <w:lang w:eastAsia="ko-KR"/>
        </w:rPr>
        <w:t>walking frequency and duration,</w:t>
      </w:r>
      <w:r w:rsidR="004F19C4" w:rsidRPr="002E55DE">
        <w:rPr>
          <w:rFonts w:ascii="Times New Roman" w:eastAsiaTheme="minorEastAsia" w:hAnsi="Times New Roman"/>
          <w:bCs/>
          <w:lang w:eastAsia="ko-KR"/>
        </w:rPr>
        <w:t xml:space="preserve"> </w:t>
      </w:r>
      <w:r w:rsidR="00EE094B" w:rsidRPr="002E55DE">
        <w:rPr>
          <w:rFonts w:ascii="Times New Roman" w:eastAsiaTheme="minorEastAsia" w:hAnsi="Times New Roman"/>
          <w:bCs/>
          <w:lang w:eastAsia="ko-KR"/>
        </w:rPr>
        <w:t xml:space="preserve">accommodating for unobserved correlations </w:t>
      </w:r>
      <w:r w:rsidR="00C97BB1" w:rsidRPr="002E55DE">
        <w:rPr>
          <w:rFonts w:ascii="Times New Roman" w:eastAsiaTheme="minorEastAsia" w:hAnsi="Times New Roman"/>
          <w:bCs/>
          <w:lang w:eastAsia="ko-KR"/>
        </w:rPr>
        <w:t xml:space="preserve">(such as weather conditions on the day of survey) </w:t>
      </w:r>
      <w:r w:rsidR="00EE094B" w:rsidRPr="002E55DE">
        <w:rPr>
          <w:rFonts w:ascii="Times New Roman" w:eastAsiaTheme="minorEastAsia" w:hAnsi="Times New Roman"/>
          <w:bCs/>
          <w:lang w:eastAsia="ko-KR"/>
        </w:rPr>
        <w:t>between walk frequency and walk duration</w:t>
      </w:r>
      <w:r w:rsidR="008E15B0" w:rsidRPr="002E55DE">
        <w:rPr>
          <w:rFonts w:ascii="Times New Roman" w:eastAsiaTheme="minorEastAsia" w:hAnsi="Times New Roman"/>
          <w:bCs/>
          <w:lang w:eastAsia="ko-KR"/>
        </w:rPr>
        <w:t xml:space="preserve">. </w:t>
      </w:r>
      <w:r w:rsidR="00EE094B" w:rsidRPr="002E55DE">
        <w:rPr>
          <w:rFonts w:ascii="Times New Roman" w:eastAsiaTheme="minorEastAsia" w:hAnsi="Times New Roman"/>
          <w:bCs/>
          <w:lang w:eastAsia="ko-KR"/>
        </w:rPr>
        <w:t>Their analysis use</w:t>
      </w:r>
      <w:r w:rsidR="0006405F" w:rsidRPr="002E55DE">
        <w:rPr>
          <w:rFonts w:ascii="Times New Roman" w:eastAsiaTheme="minorEastAsia" w:hAnsi="Times New Roman"/>
          <w:bCs/>
          <w:lang w:eastAsia="ko-KR"/>
        </w:rPr>
        <w:t>d</w:t>
      </w:r>
      <w:r w:rsidR="00EE094B" w:rsidRPr="002E55DE">
        <w:rPr>
          <w:rFonts w:ascii="Times New Roman" w:eastAsiaTheme="minorEastAsia" w:hAnsi="Times New Roman"/>
          <w:bCs/>
          <w:lang w:eastAsia="ko-KR"/>
        </w:rPr>
        <w:t xml:space="preserve"> a 2015 travel survey from Xi</w:t>
      </w:r>
      <w:r w:rsidR="00587212" w:rsidRPr="002E55DE">
        <w:rPr>
          <w:rFonts w:ascii="Times New Roman" w:eastAsiaTheme="minorEastAsia" w:hAnsi="Times New Roman" w:hint="eastAsia"/>
          <w:bCs/>
          <w:lang w:eastAsia="ko-KR"/>
        </w:rPr>
        <w:t>a</w:t>
      </w:r>
      <w:r w:rsidR="00EE094B" w:rsidRPr="002E55DE">
        <w:rPr>
          <w:rFonts w:ascii="Times New Roman" w:eastAsiaTheme="minorEastAsia" w:hAnsi="Times New Roman"/>
          <w:bCs/>
          <w:lang w:eastAsia="ko-KR"/>
        </w:rPr>
        <w:t>men, China, from which they select</w:t>
      </w:r>
      <w:r w:rsidR="0006405F" w:rsidRPr="002E55DE">
        <w:rPr>
          <w:rFonts w:ascii="Times New Roman" w:eastAsiaTheme="minorEastAsia" w:hAnsi="Times New Roman"/>
          <w:bCs/>
          <w:lang w:eastAsia="ko-KR"/>
        </w:rPr>
        <w:t>ed</w:t>
      </w:r>
      <w:r w:rsidR="00EE094B" w:rsidRPr="002E55DE">
        <w:rPr>
          <w:rFonts w:ascii="Times New Roman" w:eastAsiaTheme="minorEastAsia" w:hAnsi="Times New Roman"/>
          <w:bCs/>
          <w:lang w:eastAsia="ko-KR"/>
        </w:rPr>
        <w:t xml:space="preserve"> individuals 60 years of age or over. The definition of a neighborhood in their analysis </w:t>
      </w:r>
      <w:r w:rsidR="0006405F" w:rsidRPr="002E55DE">
        <w:rPr>
          <w:rFonts w:ascii="Times New Roman" w:eastAsiaTheme="minorEastAsia" w:hAnsi="Times New Roman"/>
          <w:bCs/>
          <w:lang w:eastAsia="ko-KR"/>
        </w:rPr>
        <w:t>wa</w:t>
      </w:r>
      <w:r w:rsidR="00EE094B" w:rsidRPr="002E55DE">
        <w:rPr>
          <w:rFonts w:ascii="Times New Roman" w:eastAsiaTheme="minorEastAsia" w:hAnsi="Times New Roman"/>
          <w:bCs/>
          <w:lang w:eastAsia="ko-KR"/>
        </w:rPr>
        <w:t>s at the community level (</w:t>
      </w:r>
      <w:r w:rsidR="00EE094B" w:rsidRPr="002E55DE">
        <w:rPr>
          <w:rFonts w:ascii="Times New Roman" w:eastAsiaTheme="minorEastAsia" w:hAnsi="Times New Roman"/>
          <w:bCs/>
          <w:i/>
          <w:iCs/>
          <w:lang w:eastAsia="ko-KR"/>
        </w:rPr>
        <w:t>shequ</w:t>
      </w:r>
      <w:r w:rsidR="00EE094B" w:rsidRPr="002E55DE">
        <w:rPr>
          <w:rFonts w:ascii="Times New Roman" w:eastAsiaTheme="minorEastAsia" w:hAnsi="Times New Roman"/>
          <w:bCs/>
          <w:lang w:eastAsia="ko-KR"/>
        </w:rPr>
        <w:t xml:space="preserve">). </w:t>
      </w:r>
      <w:r w:rsidR="00C97BB1" w:rsidRPr="002E55DE">
        <w:rPr>
          <w:rFonts w:ascii="Times New Roman" w:eastAsiaTheme="minorEastAsia" w:hAnsi="Times New Roman"/>
          <w:bCs/>
          <w:lang w:eastAsia="ko-KR"/>
        </w:rPr>
        <w:t>Their results indicate</w:t>
      </w:r>
      <w:r w:rsidR="0006405F" w:rsidRPr="002E55DE">
        <w:rPr>
          <w:rFonts w:ascii="Times New Roman" w:eastAsiaTheme="minorEastAsia" w:hAnsi="Times New Roman"/>
          <w:bCs/>
          <w:lang w:eastAsia="ko-KR"/>
        </w:rPr>
        <w:t>d</w:t>
      </w:r>
      <w:r w:rsidR="00C97BB1" w:rsidRPr="002E55DE">
        <w:rPr>
          <w:rFonts w:ascii="Times New Roman" w:eastAsiaTheme="minorEastAsia" w:hAnsi="Times New Roman"/>
          <w:bCs/>
          <w:lang w:eastAsia="ko-KR"/>
        </w:rPr>
        <w:t xml:space="preserve"> the strong positive effects of good land-use mix, high intersection density, and proximity to the commercial center on both the dimensions of frequency and duration, as well as</w:t>
      </w:r>
      <w:r w:rsidR="0006405F" w:rsidRPr="002E55DE">
        <w:rPr>
          <w:rFonts w:ascii="Times New Roman" w:eastAsiaTheme="minorEastAsia" w:hAnsi="Times New Roman"/>
          <w:bCs/>
          <w:lang w:eastAsia="ko-KR"/>
        </w:rPr>
        <w:t xml:space="preserve"> revealed </w:t>
      </w:r>
      <w:r w:rsidR="00C97BB1" w:rsidRPr="002E55DE">
        <w:rPr>
          <w:rFonts w:ascii="Times New Roman" w:eastAsiaTheme="minorEastAsia" w:hAnsi="Times New Roman"/>
          <w:bCs/>
          <w:lang w:eastAsia="ko-KR"/>
        </w:rPr>
        <w:t xml:space="preserve">significant demographic effects (men, older and more highly educated individuals, those with many household members, and with a driver’s license walk less). The correlation between frequency and duration </w:t>
      </w:r>
      <w:r w:rsidR="0006405F" w:rsidRPr="002E55DE">
        <w:rPr>
          <w:rFonts w:ascii="Times New Roman" w:eastAsiaTheme="minorEastAsia" w:hAnsi="Times New Roman"/>
          <w:bCs/>
          <w:lang w:eastAsia="ko-KR"/>
        </w:rPr>
        <w:t xml:space="preserve">turned out to be </w:t>
      </w:r>
      <w:r w:rsidR="00C97BB1" w:rsidRPr="002E55DE">
        <w:rPr>
          <w:rFonts w:ascii="Times New Roman" w:eastAsiaTheme="minorEastAsia" w:hAnsi="Times New Roman"/>
          <w:bCs/>
          <w:lang w:eastAsia="ko-KR"/>
        </w:rPr>
        <w:t xml:space="preserve">positive and statistically significant. While providing good empirical insights, this study’s use of </w:t>
      </w:r>
      <w:r w:rsidR="00A65D4C" w:rsidRPr="002E55DE">
        <w:rPr>
          <w:rFonts w:ascii="Times New Roman" w:eastAsiaTheme="minorEastAsia" w:hAnsi="Times New Roman"/>
          <w:bCs/>
          <w:lang w:eastAsia="ko-KR"/>
        </w:rPr>
        <w:t xml:space="preserve">a correlated linear regression for </w:t>
      </w:r>
      <w:r w:rsidR="0006405F" w:rsidRPr="002E55DE">
        <w:rPr>
          <w:rFonts w:ascii="Times New Roman" w:eastAsiaTheme="minorEastAsia" w:hAnsi="Times New Roman"/>
          <w:bCs/>
          <w:lang w:eastAsia="ko-KR"/>
        </w:rPr>
        <w:t>daily</w:t>
      </w:r>
      <w:r w:rsidR="00A65D4C" w:rsidRPr="002E55DE">
        <w:rPr>
          <w:rFonts w:ascii="Times New Roman" w:eastAsiaTheme="minorEastAsia" w:hAnsi="Times New Roman"/>
          <w:bCs/>
          <w:lang w:eastAsia="ko-KR"/>
        </w:rPr>
        <w:t xml:space="preserve"> </w:t>
      </w:r>
      <w:r w:rsidR="0006405F" w:rsidRPr="002E55DE">
        <w:rPr>
          <w:rFonts w:ascii="Times New Roman" w:eastAsiaTheme="minorEastAsia" w:hAnsi="Times New Roman"/>
          <w:bCs/>
          <w:lang w:eastAsia="ko-KR"/>
        </w:rPr>
        <w:t>walk</w:t>
      </w:r>
      <w:r w:rsidR="00A65D4C" w:rsidRPr="002E55DE">
        <w:rPr>
          <w:rFonts w:ascii="Times New Roman" w:eastAsiaTheme="minorEastAsia" w:hAnsi="Times New Roman"/>
          <w:bCs/>
          <w:lang w:eastAsia="ko-KR"/>
        </w:rPr>
        <w:t xml:space="preserve"> outcome</w:t>
      </w:r>
      <w:r w:rsidR="006E415B" w:rsidRPr="002E55DE">
        <w:rPr>
          <w:rFonts w:ascii="Times New Roman" w:eastAsiaTheme="minorEastAsia" w:hAnsi="Times New Roman"/>
          <w:bCs/>
          <w:lang w:eastAsia="ko-KR"/>
        </w:rPr>
        <w:t>s</w:t>
      </w:r>
      <w:r w:rsidR="00A65D4C" w:rsidRPr="002E55DE">
        <w:rPr>
          <w:rFonts w:ascii="Times New Roman" w:eastAsiaTheme="minorEastAsia" w:hAnsi="Times New Roman"/>
          <w:bCs/>
          <w:lang w:eastAsia="ko-KR"/>
        </w:rPr>
        <w:t xml:space="preserve"> (with a mean value of 1.11 walk bouts in the day) </w:t>
      </w:r>
      <w:r w:rsidR="0006405F" w:rsidRPr="002E55DE">
        <w:rPr>
          <w:rFonts w:ascii="Times New Roman" w:eastAsiaTheme="minorEastAsia" w:hAnsi="Times New Roman"/>
          <w:bCs/>
          <w:lang w:eastAsia="ko-KR"/>
        </w:rPr>
        <w:t xml:space="preserve">needs to be viewed with caution. </w:t>
      </w:r>
    </w:p>
    <w:p w14:paraId="21711464" w14:textId="77777777" w:rsidR="003518AB" w:rsidRPr="002E55DE" w:rsidRDefault="003518AB" w:rsidP="003518AB">
      <w:pPr>
        <w:rPr>
          <w:rFonts w:ascii="Times New Roman" w:hAnsi="Times New Roman"/>
          <w:b/>
          <w:bCs/>
        </w:rPr>
      </w:pPr>
    </w:p>
    <w:p w14:paraId="4DD6D30D" w14:textId="71FE96F9" w:rsidR="00FE4ED2" w:rsidRPr="002E55DE" w:rsidRDefault="00FE4ED2" w:rsidP="003518AB">
      <w:pPr>
        <w:rPr>
          <w:rFonts w:ascii="Times New Roman" w:eastAsiaTheme="minorEastAsia" w:hAnsi="Times New Roman"/>
          <w:b/>
          <w:bCs/>
          <w:lang w:eastAsia="ko-KR"/>
        </w:rPr>
      </w:pPr>
      <w:r w:rsidRPr="002E55DE">
        <w:rPr>
          <w:rFonts w:ascii="Times New Roman" w:hAnsi="Times New Roman"/>
          <w:b/>
          <w:bCs/>
        </w:rPr>
        <w:t xml:space="preserve">Table </w:t>
      </w:r>
      <w:r w:rsidRPr="002E55DE">
        <w:rPr>
          <w:rFonts w:ascii="Times New Roman" w:hAnsi="Times New Roman"/>
          <w:b/>
          <w:bCs/>
        </w:rPr>
        <w:fldChar w:fldCharType="begin"/>
      </w:r>
      <w:r w:rsidRPr="002E55DE">
        <w:rPr>
          <w:rFonts w:ascii="Times New Roman" w:hAnsi="Times New Roman"/>
          <w:b/>
          <w:bCs/>
        </w:rPr>
        <w:instrText xml:space="preserve"> SEQ Table \* ARABIC </w:instrText>
      </w:r>
      <w:r w:rsidRPr="002E55DE">
        <w:rPr>
          <w:rFonts w:ascii="Times New Roman" w:hAnsi="Times New Roman"/>
          <w:b/>
          <w:bCs/>
        </w:rPr>
        <w:fldChar w:fldCharType="separate"/>
      </w:r>
      <w:r w:rsidR="006E3826">
        <w:rPr>
          <w:rFonts w:ascii="Times New Roman" w:hAnsi="Times New Roman"/>
          <w:b/>
          <w:bCs/>
          <w:noProof/>
        </w:rPr>
        <w:t>1</w:t>
      </w:r>
      <w:r w:rsidRPr="002E55DE">
        <w:rPr>
          <w:rFonts w:ascii="Times New Roman" w:hAnsi="Times New Roman"/>
          <w:b/>
          <w:bCs/>
        </w:rPr>
        <w:fldChar w:fldCharType="end"/>
      </w:r>
      <w:r w:rsidRPr="002E55DE">
        <w:rPr>
          <w:rFonts w:ascii="Times New Roman" w:hAnsi="Times New Roman"/>
          <w:b/>
          <w:bCs/>
        </w:rPr>
        <w:t>.</w:t>
      </w:r>
      <w:r w:rsidRPr="002E55DE">
        <w:rPr>
          <w:rFonts w:ascii="Times New Roman" w:eastAsiaTheme="minorEastAsia" w:hAnsi="Times New Roman"/>
          <w:b/>
          <w:bCs/>
          <w:lang w:eastAsia="ko-KR"/>
        </w:rPr>
        <w:t xml:space="preserve"> </w:t>
      </w:r>
      <w:r w:rsidRPr="002E55DE">
        <w:rPr>
          <w:rFonts w:ascii="Times New Roman" w:eastAsiaTheme="minorEastAsia" w:hAnsi="Times New Roman" w:hint="eastAsia"/>
          <w:b/>
          <w:bCs/>
          <w:lang w:eastAsia="ko-KR"/>
        </w:rPr>
        <w:t xml:space="preserve">Literature on Walking </w:t>
      </w:r>
      <w:r w:rsidR="00D07F4B" w:rsidRPr="002E55DE">
        <w:rPr>
          <w:rFonts w:ascii="Times New Roman" w:eastAsiaTheme="minorEastAsia" w:hAnsi="Times New Roman"/>
          <w:b/>
          <w:bCs/>
          <w:lang w:eastAsia="ko-KR"/>
        </w:rPr>
        <w:t>Behavior</w:t>
      </w:r>
      <w:r w:rsidR="00831A0B" w:rsidRPr="002E55DE">
        <w:rPr>
          <w:rFonts w:ascii="Times New Roman" w:eastAsiaTheme="minorEastAsia" w:hAnsi="Times New Roman"/>
          <w:b/>
          <w:bCs/>
          <w:lang w:eastAsia="ko-KR"/>
        </w:rPr>
        <w:t xml:space="preserve"> of Older Adults</w:t>
      </w:r>
    </w:p>
    <w:tbl>
      <w:tblPr>
        <w:tblW w:w="93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147"/>
        <w:gridCol w:w="1341"/>
        <w:gridCol w:w="780"/>
        <w:gridCol w:w="656"/>
        <w:gridCol w:w="1580"/>
        <w:gridCol w:w="1860"/>
        <w:gridCol w:w="1950"/>
      </w:tblGrid>
      <w:tr w:rsidR="002E55DE" w:rsidRPr="002E55DE" w14:paraId="0CF005F5" w14:textId="77777777" w:rsidTr="00BE402A">
        <w:trPr>
          <w:trHeight w:val="346"/>
          <w:tblHeader/>
        </w:trPr>
        <w:tc>
          <w:tcPr>
            <w:tcW w:w="1147" w:type="dxa"/>
            <w:vMerge w:val="restart"/>
            <w:noWrap/>
            <w:tcMar>
              <w:left w:w="43" w:type="dxa"/>
              <w:right w:w="43" w:type="dxa"/>
            </w:tcMar>
            <w:vAlign w:val="center"/>
          </w:tcPr>
          <w:p w14:paraId="7F5889FC" w14:textId="12D64B47" w:rsidR="008B126B" w:rsidRPr="002E55DE" w:rsidRDefault="00BF4EDE" w:rsidP="00FE7DFB">
            <w:pPr>
              <w:jc w:val="center"/>
              <w:rPr>
                <w:rFonts w:ascii="Times New Roman" w:eastAsia="Times New Roman" w:hAnsi="Times New Roman"/>
                <w:b/>
                <w:bCs/>
                <w:sz w:val="22"/>
                <w:szCs w:val="22"/>
              </w:rPr>
            </w:pPr>
            <w:r w:rsidRPr="002E55DE">
              <w:rPr>
                <w:rFonts w:ascii="Times New Roman" w:eastAsia="Times New Roman" w:hAnsi="Times New Roman"/>
                <w:b/>
                <w:bCs/>
                <w:sz w:val="22"/>
                <w:szCs w:val="22"/>
              </w:rPr>
              <w:t>Reference</w:t>
            </w:r>
          </w:p>
        </w:tc>
        <w:tc>
          <w:tcPr>
            <w:tcW w:w="1341" w:type="dxa"/>
            <w:vMerge w:val="restart"/>
            <w:noWrap/>
            <w:tcMar>
              <w:left w:w="43" w:type="dxa"/>
              <w:right w:w="43" w:type="dxa"/>
            </w:tcMar>
            <w:vAlign w:val="center"/>
          </w:tcPr>
          <w:p w14:paraId="02B290FF" w14:textId="31A0FFB4" w:rsidR="008B126B" w:rsidRPr="002E55DE" w:rsidRDefault="00EF54CA" w:rsidP="00FE7DFB">
            <w:pPr>
              <w:jc w:val="center"/>
              <w:rPr>
                <w:rFonts w:ascii="Times New Roman" w:eastAsia="Times New Roman" w:hAnsi="Times New Roman"/>
                <w:b/>
                <w:bCs/>
                <w:sz w:val="22"/>
                <w:szCs w:val="22"/>
              </w:rPr>
            </w:pPr>
            <w:r w:rsidRPr="002E55DE">
              <w:rPr>
                <w:rFonts w:ascii="Times New Roman" w:eastAsia="Times New Roman" w:hAnsi="Times New Roman"/>
                <w:b/>
                <w:bCs/>
                <w:sz w:val="22"/>
                <w:szCs w:val="22"/>
              </w:rPr>
              <w:t xml:space="preserve">Walking </w:t>
            </w:r>
            <w:r w:rsidR="008B126B" w:rsidRPr="002E55DE">
              <w:rPr>
                <w:rFonts w:ascii="Times New Roman" w:eastAsia="Times New Roman" w:hAnsi="Times New Roman"/>
                <w:b/>
                <w:bCs/>
                <w:sz w:val="22"/>
                <w:szCs w:val="22"/>
              </w:rPr>
              <w:t xml:space="preserve">Metric </w:t>
            </w:r>
            <w:r w:rsidR="00BF4EDE" w:rsidRPr="002E55DE">
              <w:rPr>
                <w:rFonts w:ascii="Times New Roman" w:eastAsia="Times New Roman" w:hAnsi="Times New Roman"/>
                <w:b/>
                <w:bCs/>
                <w:sz w:val="22"/>
                <w:szCs w:val="22"/>
              </w:rPr>
              <w:t>U</w:t>
            </w:r>
            <w:r w:rsidR="008B126B" w:rsidRPr="002E55DE">
              <w:rPr>
                <w:rFonts w:ascii="Times New Roman" w:eastAsia="Times New Roman" w:hAnsi="Times New Roman"/>
                <w:b/>
                <w:bCs/>
                <w:sz w:val="22"/>
                <w:szCs w:val="22"/>
              </w:rPr>
              <w:t>sed</w:t>
            </w:r>
          </w:p>
        </w:tc>
        <w:tc>
          <w:tcPr>
            <w:tcW w:w="4876" w:type="dxa"/>
            <w:gridSpan w:val="4"/>
            <w:noWrap/>
            <w:tcMar>
              <w:left w:w="43" w:type="dxa"/>
              <w:right w:w="43" w:type="dxa"/>
            </w:tcMar>
            <w:vAlign w:val="center"/>
          </w:tcPr>
          <w:p w14:paraId="17713146" w14:textId="5CF953CC" w:rsidR="008B126B" w:rsidRPr="002E55DE" w:rsidRDefault="008B126B" w:rsidP="00FE7DFB">
            <w:pPr>
              <w:jc w:val="center"/>
              <w:rPr>
                <w:rFonts w:ascii="Times New Roman" w:eastAsiaTheme="minorEastAsia" w:hAnsi="Times New Roman"/>
                <w:b/>
                <w:bCs/>
                <w:sz w:val="22"/>
                <w:szCs w:val="22"/>
                <w:lang w:eastAsia="ko-KR"/>
              </w:rPr>
            </w:pPr>
            <w:r w:rsidRPr="002E55DE">
              <w:rPr>
                <w:rFonts w:ascii="Times New Roman" w:hAnsi="Times New Roman"/>
                <w:b/>
                <w:bCs/>
                <w:sz w:val="22"/>
                <w:szCs w:val="22"/>
              </w:rPr>
              <w:t>Data</w:t>
            </w:r>
            <w:r w:rsidRPr="002E55DE">
              <w:rPr>
                <w:rFonts w:ascii="Times New Roman" w:eastAsiaTheme="minorEastAsia" w:hAnsi="Times New Roman"/>
                <w:b/>
                <w:bCs/>
                <w:sz w:val="22"/>
                <w:szCs w:val="22"/>
                <w:lang w:eastAsia="ko-KR"/>
              </w:rPr>
              <w:t xml:space="preserve"> </w:t>
            </w:r>
            <w:r w:rsidR="00BF4EDE" w:rsidRPr="002E55DE">
              <w:rPr>
                <w:rFonts w:ascii="Times New Roman" w:eastAsiaTheme="minorEastAsia" w:hAnsi="Times New Roman"/>
                <w:b/>
                <w:bCs/>
                <w:sz w:val="22"/>
                <w:szCs w:val="22"/>
                <w:lang w:eastAsia="ko-KR"/>
              </w:rPr>
              <w:t>C</w:t>
            </w:r>
            <w:r w:rsidRPr="002E55DE">
              <w:rPr>
                <w:rFonts w:ascii="Times New Roman" w:eastAsiaTheme="minorEastAsia" w:hAnsi="Times New Roman"/>
                <w:b/>
                <w:bCs/>
                <w:sz w:val="22"/>
                <w:szCs w:val="22"/>
                <w:lang w:eastAsia="ko-KR"/>
              </w:rPr>
              <w:t>haracteristics</w:t>
            </w:r>
          </w:p>
        </w:tc>
        <w:tc>
          <w:tcPr>
            <w:tcW w:w="1950" w:type="dxa"/>
            <w:vMerge w:val="restart"/>
            <w:noWrap/>
            <w:tcMar>
              <w:left w:w="43" w:type="dxa"/>
              <w:right w:w="43" w:type="dxa"/>
            </w:tcMar>
            <w:vAlign w:val="center"/>
          </w:tcPr>
          <w:p w14:paraId="6F98C3EE" w14:textId="77777777" w:rsidR="008B126B" w:rsidRPr="002E55DE" w:rsidRDefault="008B126B" w:rsidP="00FE7DFB">
            <w:pPr>
              <w:jc w:val="center"/>
              <w:rPr>
                <w:rFonts w:ascii="Times New Roman" w:eastAsiaTheme="minorEastAsia" w:hAnsi="Times New Roman"/>
                <w:b/>
                <w:bCs/>
                <w:sz w:val="22"/>
                <w:szCs w:val="22"/>
                <w:lang w:eastAsia="ko-KR"/>
              </w:rPr>
            </w:pPr>
            <w:r w:rsidRPr="002E55DE">
              <w:rPr>
                <w:rFonts w:ascii="Times New Roman" w:eastAsia="Times New Roman" w:hAnsi="Times New Roman"/>
                <w:b/>
                <w:bCs/>
                <w:sz w:val="22"/>
                <w:szCs w:val="22"/>
              </w:rPr>
              <w:t xml:space="preserve">Main </w:t>
            </w:r>
          </w:p>
          <w:p w14:paraId="6C7C0B78" w14:textId="5897B037" w:rsidR="008B126B" w:rsidRPr="002E55DE" w:rsidRDefault="00BF4EDE" w:rsidP="00FE7DFB">
            <w:pPr>
              <w:jc w:val="center"/>
              <w:rPr>
                <w:rFonts w:ascii="Times New Roman" w:eastAsiaTheme="minorEastAsia" w:hAnsi="Times New Roman"/>
                <w:b/>
                <w:bCs/>
                <w:sz w:val="22"/>
                <w:szCs w:val="22"/>
                <w:lang w:eastAsia="ko-KR"/>
              </w:rPr>
            </w:pPr>
            <w:r w:rsidRPr="002E55DE">
              <w:rPr>
                <w:rFonts w:ascii="Times New Roman" w:hAnsi="Times New Roman"/>
                <w:b/>
                <w:bCs/>
                <w:sz w:val="22"/>
                <w:szCs w:val="22"/>
              </w:rPr>
              <w:t>E</w:t>
            </w:r>
            <w:r w:rsidR="008B126B" w:rsidRPr="002E55DE">
              <w:rPr>
                <w:rFonts w:ascii="Times New Roman" w:hAnsi="Times New Roman"/>
                <w:b/>
                <w:bCs/>
                <w:sz w:val="22"/>
                <w:szCs w:val="22"/>
              </w:rPr>
              <w:t xml:space="preserve">xogenous </w:t>
            </w:r>
            <w:proofErr w:type="spellStart"/>
            <w:r w:rsidRPr="002E55DE">
              <w:rPr>
                <w:rFonts w:ascii="Times New Roman" w:hAnsi="Times New Roman"/>
                <w:b/>
                <w:bCs/>
                <w:sz w:val="22"/>
                <w:szCs w:val="22"/>
              </w:rPr>
              <w:t>V</w:t>
            </w:r>
            <w:r w:rsidR="008B126B" w:rsidRPr="002E55DE">
              <w:rPr>
                <w:rFonts w:ascii="Times New Roman" w:hAnsi="Times New Roman"/>
                <w:b/>
                <w:bCs/>
                <w:sz w:val="22"/>
                <w:szCs w:val="22"/>
              </w:rPr>
              <w:t>ariabl</w:t>
            </w:r>
            <w:r w:rsidR="008B126B" w:rsidRPr="002E55DE">
              <w:rPr>
                <w:rFonts w:ascii="Times New Roman" w:eastAsiaTheme="minorEastAsia" w:hAnsi="Times New Roman"/>
                <w:b/>
                <w:bCs/>
                <w:sz w:val="22"/>
                <w:szCs w:val="22"/>
                <w:lang w:eastAsia="ko-KR"/>
              </w:rPr>
              <w:t>e</w:t>
            </w:r>
            <w:r w:rsidR="008B126B" w:rsidRPr="002E55DE">
              <w:rPr>
                <w:rFonts w:ascii="Times New Roman" w:eastAsiaTheme="minorEastAsia" w:hAnsi="Times New Roman"/>
                <w:b/>
                <w:bCs/>
                <w:sz w:val="22"/>
                <w:szCs w:val="22"/>
                <w:vertAlign w:val="superscript"/>
                <w:lang w:eastAsia="ko-KR"/>
              </w:rPr>
              <w:t>c</w:t>
            </w:r>
            <w:proofErr w:type="spellEnd"/>
          </w:p>
        </w:tc>
      </w:tr>
      <w:tr w:rsidR="002E55DE" w:rsidRPr="002E55DE" w14:paraId="1179D131" w14:textId="77777777" w:rsidTr="00BE402A">
        <w:trPr>
          <w:trHeight w:val="432"/>
          <w:tblHeader/>
        </w:trPr>
        <w:tc>
          <w:tcPr>
            <w:tcW w:w="1147" w:type="dxa"/>
            <w:vMerge/>
            <w:noWrap/>
            <w:tcMar>
              <w:left w:w="43" w:type="dxa"/>
              <w:right w:w="43" w:type="dxa"/>
            </w:tcMar>
            <w:vAlign w:val="center"/>
            <w:hideMark/>
          </w:tcPr>
          <w:p w14:paraId="0C99E216" w14:textId="77777777" w:rsidR="008B126B" w:rsidRPr="002E55DE" w:rsidRDefault="008B126B" w:rsidP="00FE7DFB">
            <w:pPr>
              <w:jc w:val="center"/>
              <w:rPr>
                <w:rFonts w:ascii="Times New Roman" w:eastAsia="Times New Roman" w:hAnsi="Times New Roman"/>
                <w:sz w:val="22"/>
                <w:szCs w:val="22"/>
              </w:rPr>
            </w:pPr>
          </w:p>
        </w:tc>
        <w:tc>
          <w:tcPr>
            <w:tcW w:w="1341" w:type="dxa"/>
            <w:vMerge/>
            <w:noWrap/>
            <w:tcMar>
              <w:left w:w="43" w:type="dxa"/>
              <w:right w:w="43" w:type="dxa"/>
            </w:tcMar>
            <w:vAlign w:val="center"/>
            <w:hideMark/>
          </w:tcPr>
          <w:p w14:paraId="068318CC" w14:textId="77777777" w:rsidR="008B126B" w:rsidRPr="002E55DE" w:rsidRDefault="008B126B" w:rsidP="00FE7DFB">
            <w:pPr>
              <w:jc w:val="center"/>
              <w:rPr>
                <w:rFonts w:ascii="Times New Roman" w:eastAsia="Times New Roman" w:hAnsi="Times New Roman"/>
                <w:sz w:val="22"/>
                <w:szCs w:val="22"/>
              </w:rPr>
            </w:pPr>
          </w:p>
        </w:tc>
        <w:tc>
          <w:tcPr>
            <w:tcW w:w="780" w:type="dxa"/>
            <w:noWrap/>
            <w:tcMar>
              <w:left w:w="43" w:type="dxa"/>
              <w:right w:w="43" w:type="dxa"/>
            </w:tcMar>
            <w:vAlign w:val="center"/>
            <w:hideMark/>
          </w:tcPr>
          <w:p w14:paraId="6E5B0EEE" w14:textId="0CC69CB4" w:rsidR="008B126B" w:rsidRPr="002E55DE" w:rsidRDefault="008B126B" w:rsidP="00FE7DFB">
            <w:pPr>
              <w:jc w:val="center"/>
              <w:rPr>
                <w:rFonts w:ascii="Times New Roman" w:eastAsiaTheme="minorEastAsia" w:hAnsi="Times New Roman"/>
                <w:b/>
                <w:bCs/>
                <w:sz w:val="22"/>
                <w:szCs w:val="22"/>
                <w:lang w:eastAsia="ko-KR"/>
              </w:rPr>
            </w:pPr>
            <w:proofErr w:type="spellStart"/>
            <w:r w:rsidRPr="002E55DE">
              <w:rPr>
                <w:rFonts w:ascii="Times New Roman" w:hAnsi="Times New Roman"/>
                <w:b/>
                <w:bCs/>
                <w:sz w:val="22"/>
                <w:szCs w:val="22"/>
              </w:rPr>
              <w:t>Type</w:t>
            </w:r>
            <w:r w:rsidRPr="002E55DE">
              <w:rPr>
                <w:rFonts w:ascii="Times New Roman" w:eastAsiaTheme="minorEastAsia" w:hAnsi="Times New Roman"/>
                <w:sz w:val="22"/>
                <w:szCs w:val="22"/>
                <w:vertAlign w:val="superscript"/>
                <w:lang w:eastAsia="ko-KR"/>
              </w:rPr>
              <w:t>b</w:t>
            </w:r>
            <w:proofErr w:type="spellEnd"/>
          </w:p>
        </w:tc>
        <w:tc>
          <w:tcPr>
            <w:tcW w:w="656" w:type="dxa"/>
            <w:tcMar>
              <w:left w:w="43" w:type="dxa"/>
              <w:right w:w="43" w:type="dxa"/>
            </w:tcMar>
            <w:vAlign w:val="center"/>
          </w:tcPr>
          <w:p w14:paraId="3658A73A" w14:textId="77777777" w:rsidR="008B126B" w:rsidRPr="002E55DE" w:rsidRDefault="008B126B" w:rsidP="00FE7DFB">
            <w:pPr>
              <w:jc w:val="center"/>
              <w:rPr>
                <w:rFonts w:ascii="Times New Roman" w:eastAsiaTheme="minorEastAsia" w:hAnsi="Times New Roman"/>
                <w:b/>
                <w:bCs/>
                <w:sz w:val="22"/>
                <w:szCs w:val="22"/>
              </w:rPr>
            </w:pPr>
            <w:r w:rsidRPr="002E55DE">
              <w:rPr>
                <w:rFonts w:ascii="Times New Roman" w:hAnsi="Times New Roman"/>
                <w:b/>
                <w:bCs/>
                <w:sz w:val="22"/>
                <w:szCs w:val="22"/>
              </w:rPr>
              <w:t>Year</w:t>
            </w:r>
          </w:p>
        </w:tc>
        <w:tc>
          <w:tcPr>
            <w:tcW w:w="1580" w:type="dxa"/>
            <w:noWrap/>
            <w:tcMar>
              <w:left w:w="43" w:type="dxa"/>
              <w:right w:w="43" w:type="dxa"/>
            </w:tcMar>
            <w:vAlign w:val="center"/>
            <w:hideMark/>
          </w:tcPr>
          <w:p w14:paraId="02142761" w14:textId="77777777" w:rsidR="008B126B" w:rsidRPr="002E55DE" w:rsidRDefault="008B126B" w:rsidP="00FE7DFB">
            <w:pPr>
              <w:jc w:val="center"/>
              <w:rPr>
                <w:rFonts w:ascii="Times New Roman" w:eastAsia="Times New Roman" w:hAnsi="Times New Roman"/>
                <w:b/>
                <w:bCs/>
                <w:sz w:val="22"/>
                <w:szCs w:val="22"/>
              </w:rPr>
            </w:pPr>
            <w:r w:rsidRPr="002E55DE">
              <w:rPr>
                <w:rFonts w:ascii="Times New Roman" w:eastAsia="Times New Roman" w:hAnsi="Times New Roman"/>
                <w:b/>
                <w:bCs/>
                <w:sz w:val="22"/>
                <w:szCs w:val="22"/>
              </w:rPr>
              <w:t>Region</w:t>
            </w:r>
          </w:p>
        </w:tc>
        <w:tc>
          <w:tcPr>
            <w:tcW w:w="1860" w:type="dxa"/>
            <w:noWrap/>
            <w:tcMar>
              <w:left w:w="43" w:type="dxa"/>
              <w:right w:w="43" w:type="dxa"/>
            </w:tcMar>
            <w:vAlign w:val="center"/>
            <w:hideMark/>
          </w:tcPr>
          <w:p w14:paraId="5A375668" w14:textId="51F60980" w:rsidR="008B126B" w:rsidRPr="002E55DE" w:rsidRDefault="00F75CDE" w:rsidP="00FE7DFB">
            <w:pPr>
              <w:jc w:val="center"/>
              <w:rPr>
                <w:rFonts w:ascii="Times New Roman" w:eastAsiaTheme="minorEastAsia" w:hAnsi="Times New Roman"/>
                <w:b/>
                <w:bCs/>
                <w:sz w:val="22"/>
                <w:szCs w:val="22"/>
              </w:rPr>
            </w:pPr>
            <w:r w:rsidRPr="002E55DE">
              <w:rPr>
                <w:rFonts w:ascii="Times New Roman" w:hAnsi="Times New Roman"/>
                <w:b/>
                <w:bCs/>
                <w:sz w:val="22"/>
                <w:szCs w:val="22"/>
              </w:rPr>
              <w:t>Considers Companionship?</w:t>
            </w:r>
          </w:p>
        </w:tc>
        <w:tc>
          <w:tcPr>
            <w:tcW w:w="1950" w:type="dxa"/>
            <w:vMerge/>
            <w:noWrap/>
            <w:tcMar>
              <w:left w:w="43" w:type="dxa"/>
              <w:right w:w="43" w:type="dxa"/>
            </w:tcMar>
            <w:vAlign w:val="center"/>
            <w:hideMark/>
          </w:tcPr>
          <w:p w14:paraId="17FAA708" w14:textId="77777777" w:rsidR="008B126B" w:rsidRPr="002E55DE" w:rsidRDefault="008B126B" w:rsidP="00FE7DFB">
            <w:pPr>
              <w:jc w:val="center"/>
              <w:rPr>
                <w:rFonts w:ascii="Times New Roman" w:eastAsiaTheme="minorEastAsia" w:hAnsi="Times New Roman"/>
                <w:sz w:val="22"/>
                <w:szCs w:val="22"/>
              </w:rPr>
            </w:pPr>
          </w:p>
        </w:tc>
      </w:tr>
      <w:tr w:rsidR="002E55DE" w:rsidRPr="002E55DE" w14:paraId="11E69072" w14:textId="77777777" w:rsidTr="007B3FB7">
        <w:trPr>
          <w:trHeight w:val="432"/>
        </w:trPr>
        <w:tc>
          <w:tcPr>
            <w:tcW w:w="1147" w:type="dxa"/>
            <w:noWrap/>
            <w:tcMar>
              <w:left w:w="43" w:type="dxa"/>
              <w:right w:w="43" w:type="dxa"/>
            </w:tcMar>
            <w:vAlign w:val="center"/>
            <w:hideMark/>
          </w:tcPr>
          <w:p w14:paraId="4FF9424C"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Nagel et al. (2008)</w:t>
            </w:r>
          </w:p>
        </w:tc>
        <w:tc>
          <w:tcPr>
            <w:tcW w:w="1341" w:type="dxa"/>
            <w:noWrap/>
            <w:tcMar>
              <w:left w:w="43" w:type="dxa"/>
              <w:right w:w="43" w:type="dxa"/>
            </w:tcMar>
            <w:vAlign w:val="center"/>
            <w:hideMark/>
          </w:tcPr>
          <w:p w14:paraId="28712C5C" w14:textId="79EDB9CD" w:rsidR="008B126B" w:rsidRPr="002E55DE" w:rsidRDefault="00EF54CA"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Weekly</w:t>
            </w:r>
            <w:r w:rsidR="008B126B" w:rsidRPr="002E55DE">
              <w:rPr>
                <w:rFonts w:ascii="Times New Roman" w:eastAsia="Times New Roman" w:hAnsi="Times New Roman"/>
                <w:sz w:val="22"/>
                <w:szCs w:val="22"/>
              </w:rPr>
              <w:t xml:space="preserve"> duration</w:t>
            </w:r>
          </w:p>
        </w:tc>
        <w:tc>
          <w:tcPr>
            <w:tcW w:w="780" w:type="dxa"/>
            <w:noWrap/>
            <w:tcMar>
              <w:left w:w="43" w:type="dxa"/>
              <w:right w:w="43" w:type="dxa"/>
            </w:tcMar>
            <w:vAlign w:val="center"/>
            <w:hideMark/>
          </w:tcPr>
          <w:p w14:paraId="18BF9B98" w14:textId="37BC4DF9" w:rsidR="008B126B" w:rsidRPr="002E55DE" w:rsidRDefault="008B126B" w:rsidP="00FE7DFB">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09C0C55A"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2001</w:t>
            </w:r>
          </w:p>
        </w:tc>
        <w:tc>
          <w:tcPr>
            <w:tcW w:w="1580" w:type="dxa"/>
            <w:noWrap/>
            <w:tcMar>
              <w:left w:w="43" w:type="dxa"/>
              <w:right w:w="43" w:type="dxa"/>
            </w:tcMar>
            <w:vAlign w:val="center"/>
            <w:hideMark/>
          </w:tcPr>
          <w:p w14:paraId="435FCAD6"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Portland, U.S.</w:t>
            </w:r>
          </w:p>
        </w:tc>
        <w:tc>
          <w:tcPr>
            <w:tcW w:w="1860" w:type="dxa"/>
            <w:noWrap/>
            <w:tcMar>
              <w:left w:w="43" w:type="dxa"/>
              <w:right w:w="43" w:type="dxa"/>
            </w:tcMar>
            <w:vAlign w:val="center"/>
            <w:hideMark/>
          </w:tcPr>
          <w:p w14:paraId="4CF555F9" w14:textId="2FFDDA6B"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7AF01050" w14:textId="71817C30"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(objective)</w:t>
            </w:r>
          </w:p>
        </w:tc>
      </w:tr>
      <w:tr w:rsidR="002E55DE" w:rsidRPr="002E55DE" w14:paraId="79FE5511" w14:textId="77777777" w:rsidTr="007B3FB7">
        <w:trPr>
          <w:trHeight w:val="432"/>
        </w:trPr>
        <w:tc>
          <w:tcPr>
            <w:tcW w:w="1147" w:type="dxa"/>
            <w:noWrap/>
            <w:tcMar>
              <w:left w:w="43" w:type="dxa"/>
              <w:right w:w="43" w:type="dxa"/>
            </w:tcMar>
            <w:vAlign w:val="center"/>
          </w:tcPr>
          <w:p w14:paraId="3A347C02" w14:textId="3A3D49D9"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Cerin et al. (2013)</w:t>
            </w:r>
          </w:p>
        </w:tc>
        <w:tc>
          <w:tcPr>
            <w:tcW w:w="1341" w:type="dxa"/>
            <w:noWrap/>
            <w:tcMar>
              <w:left w:w="43" w:type="dxa"/>
              <w:right w:w="43" w:type="dxa"/>
            </w:tcMar>
            <w:vAlign w:val="center"/>
          </w:tcPr>
          <w:p w14:paraId="0A8638B7" w14:textId="347E460B"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 xml:space="preserve">Weekly </w:t>
            </w:r>
            <w:r w:rsidR="00A222CC" w:rsidRPr="002E55DE">
              <w:rPr>
                <w:rFonts w:ascii="Times New Roman" w:eastAsia="Times New Roman" w:hAnsi="Times New Roman"/>
                <w:sz w:val="22"/>
                <w:szCs w:val="22"/>
              </w:rPr>
              <w:t>d</w:t>
            </w:r>
            <w:r w:rsidRPr="002E55DE">
              <w:rPr>
                <w:rFonts w:ascii="Times New Roman" w:eastAsia="Times New Roman" w:hAnsi="Times New Roman"/>
                <w:sz w:val="22"/>
                <w:szCs w:val="22"/>
              </w:rPr>
              <w:t>uration</w:t>
            </w:r>
          </w:p>
        </w:tc>
        <w:tc>
          <w:tcPr>
            <w:tcW w:w="780" w:type="dxa"/>
            <w:noWrap/>
            <w:tcMar>
              <w:left w:w="43" w:type="dxa"/>
              <w:right w:w="43" w:type="dxa"/>
            </w:tcMar>
            <w:vAlign w:val="center"/>
          </w:tcPr>
          <w:p w14:paraId="5A3A6BBE" w14:textId="7A5C22E8" w:rsidR="00EF54CA" w:rsidRPr="002E55DE" w:rsidRDefault="00EF54CA" w:rsidP="00941028">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0E4438C2" w14:textId="3CDD509C" w:rsidR="00EF54CA" w:rsidRPr="002E55DE" w:rsidRDefault="008B6DF1" w:rsidP="00941028">
            <w:pPr>
              <w:jc w:val="center"/>
              <w:rPr>
                <w:rFonts w:ascii="Times New Roman" w:eastAsiaTheme="minorEastAsia" w:hAnsi="Times New Roman"/>
                <w:sz w:val="22"/>
                <w:szCs w:val="22"/>
                <w:lang w:eastAsia="ko-KR"/>
              </w:rPr>
            </w:pPr>
            <w:r w:rsidRPr="002E55DE">
              <w:rPr>
                <w:rFonts w:ascii="Times New Roman" w:eastAsiaTheme="minorEastAsia" w:hAnsi="Times New Roman" w:hint="eastAsia"/>
                <w:sz w:val="22"/>
                <w:szCs w:val="22"/>
                <w:lang w:eastAsia="ko-KR"/>
              </w:rPr>
              <w:t>2007-2008</w:t>
            </w:r>
          </w:p>
        </w:tc>
        <w:tc>
          <w:tcPr>
            <w:tcW w:w="1580" w:type="dxa"/>
            <w:noWrap/>
            <w:tcMar>
              <w:left w:w="43" w:type="dxa"/>
              <w:right w:w="43" w:type="dxa"/>
            </w:tcMar>
            <w:vAlign w:val="center"/>
          </w:tcPr>
          <w:p w14:paraId="6A42310F" w14:textId="6867A110"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Hong Kong, China</w:t>
            </w:r>
          </w:p>
        </w:tc>
        <w:tc>
          <w:tcPr>
            <w:tcW w:w="1860" w:type="dxa"/>
            <w:noWrap/>
            <w:tcMar>
              <w:left w:w="43" w:type="dxa"/>
              <w:right w:w="43" w:type="dxa"/>
            </w:tcMar>
            <w:vAlign w:val="center"/>
          </w:tcPr>
          <w:p w14:paraId="0860EA57" w14:textId="14B28C9B" w:rsidR="00EF54CA" w:rsidRPr="002E55DE" w:rsidRDefault="00F75CD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tcPr>
          <w:p w14:paraId="090AAF93" w14:textId="5D48EBF8"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BE (perceived)</w:t>
            </w:r>
          </w:p>
        </w:tc>
      </w:tr>
      <w:tr w:rsidR="002E55DE" w:rsidRPr="002E55DE" w14:paraId="5233B585" w14:textId="77777777" w:rsidTr="007B3FB7">
        <w:trPr>
          <w:trHeight w:val="432"/>
        </w:trPr>
        <w:tc>
          <w:tcPr>
            <w:tcW w:w="1147" w:type="dxa"/>
            <w:noWrap/>
            <w:tcMar>
              <w:left w:w="43" w:type="dxa"/>
              <w:right w:w="43" w:type="dxa"/>
            </w:tcMar>
            <w:vAlign w:val="center"/>
            <w:hideMark/>
          </w:tcPr>
          <w:p w14:paraId="0250B18B" w14:textId="77777777" w:rsidR="008B126B" w:rsidRPr="002E55DE" w:rsidRDefault="008B126B" w:rsidP="00941028">
            <w:pPr>
              <w:jc w:val="center"/>
              <w:rPr>
                <w:rFonts w:ascii="Times New Roman" w:eastAsia="Times New Roman" w:hAnsi="Times New Roman"/>
                <w:sz w:val="22"/>
                <w:szCs w:val="22"/>
              </w:rPr>
            </w:pPr>
            <w:proofErr w:type="spellStart"/>
            <w:r w:rsidRPr="002E55DE">
              <w:rPr>
                <w:rFonts w:ascii="Times New Roman" w:eastAsia="Times New Roman" w:hAnsi="Times New Roman"/>
                <w:sz w:val="22"/>
                <w:szCs w:val="22"/>
              </w:rPr>
              <w:t>Giehl</w:t>
            </w:r>
            <w:proofErr w:type="spellEnd"/>
            <w:r w:rsidRPr="002E55DE">
              <w:rPr>
                <w:rFonts w:ascii="Times New Roman" w:eastAsia="Times New Roman" w:hAnsi="Times New Roman"/>
                <w:sz w:val="22"/>
                <w:szCs w:val="22"/>
              </w:rPr>
              <w:t xml:space="preserve"> et al. (2016)</w:t>
            </w:r>
          </w:p>
        </w:tc>
        <w:tc>
          <w:tcPr>
            <w:tcW w:w="1341" w:type="dxa"/>
            <w:noWrap/>
            <w:tcMar>
              <w:left w:w="43" w:type="dxa"/>
              <w:right w:w="43" w:type="dxa"/>
            </w:tcMar>
            <w:vAlign w:val="center"/>
            <w:hideMark/>
          </w:tcPr>
          <w:p w14:paraId="6CB7E35B" w14:textId="1B77BAA4" w:rsidR="008B126B" w:rsidRPr="002E55DE" w:rsidRDefault="0091212F" w:rsidP="00941028">
            <w:pPr>
              <w:jc w:val="center"/>
              <w:rPr>
                <w:rFonts w:ascii="Times New Roman" w:eastAsia="Times New Roman" w:hAnsi="Times New Roman"/>
                <w:sz w:val="22"/>
                <w:szCs w:val="22"/>
              </w:rPr>
            </w:pPr>
            <w:proofErr w:type="spellStart"/>
            <w:r w:rsidRPr="002E55DE">
              <w:rPr>
                <w:rFonts w:ascii="Times New Roman" w:eastAsia="Times New Roman" w:hAnsi="Times New Roman"/>
                <w:sz w:val="22"/>
                <w:szCs w:val="22"/>
              </w:rPr>
              <w:t>Binary</w:t>
            </w:r>
            <w:r w:rsidR="00AB3EAC" w:rsidRPr="002E55DE">
              <w:rPr>
                <w:rFonts w:ascii="Times New Roman" w:eastAsia="Times New Roman" w:hAnsi="Times New Roman"/>
                <w:sz w:val="22"/>
                <w:szCs w:val="22"/>
                <w:vertAlign w:val="superscript"/>
              </w:rPr>
              <w:t>d</w:t>
            </w:r>
            <w:proofErr w:type="spellEnd"/>
            <w:r w:rsidRPr="002E55DE">
              <w:rPr>
                <w:rFonts w:ascii="Times New Roman" w:eastAsia="Times New Roman" w:hAnsi="Times New Roman"/>
                <w:sz w:val="22"/>
                <w:szCs w:val="22"/>
              </w:rPr>
              <w:t xml:space="preserve"> </w:t>
            </w:r>
          </w:p>
        </w:tc>
        <w:tc>
          <w:tcPr>
            <w:tcW w:w="780" w:type="dxa"/>
            <w:noWrap/>
            <w:tcMar>
              <w:left w:w="43" w:type="dxa"/>
              <w:right w:w="43" w:type="dxa"/>
            </w:tcMar>
            <w:vAlign w:val="center"/>
            <w:hideMark/>
          </w:tcPr>
          <w:p w14:paraId="659A0D4C" w14:textId="3BB4168B" w:rsidR="008B126B" w:rsidRPr="002E55DE" w:rsidRDefault="008B126B" w:rsidP="00941028">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61FD1B76" w14:textId="77777777" w:rsidR="008B126B" w:rsidRPr="002E55DE" w:rsidRDefault="008B126B" w:rsidP="00941028">
            <w:pPr>
              <w:jc w:val="center"/>
              <w:rPr>
                <w:rFonts w:ascii="Times New Roman" w:eastAsiaTheme="minorEastAsia" w:hAnsi="Times New Roman"/>
                <w:sz w:val="22"/>
                <w:szCs w:val="22"/>
              </w:rPr>
            </w:pPr>
            <w:r w:rsidRPr="002E55DE">
              <w:rPr>
                <w:rFonts w:ascii="Times New Roman" w:hAnsi="Times New Roman"/>
                <w:sz w:val="22"/>
                <w:szCs w:val="22"/>
              </w:rPr>
              <w:t>2009-2010</w:t>
            </w:r>
          </w:p>
        </w:tc>
        <w:tc>
          <w:tcPr>
            <w:tcW w:w="1580" w:type="dxa"/>
            <w:noWrap/>
            <w:tcMar>
              <w:left w:w="43" w:type="dxa"/>
              <w:right w:w="43" w:type="dxa"/>
            </w:tcMar>
            <w:vAlign w:val="center"/>
            <w:hideMark/>
          </w:tcPr>
          <w:p w14:paraId="46136B90" w14:textId="1757EE55"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Florian</w:t>
            </w:r>
            <w:r w:rsidRPr="002E55DE">
              <w:rPr>
                <w:rFonts w:ascii="Times New Roman" w:eastAsiaTheme="minorEastAsia" w:hAnsi="Times New Roman"/>
                <w:sz w:val="22"/>
                <w:szCs w:val="22"/>
                <w:lang w:eastAsia="ko-KR"/>
              </w:rPr>
              <w:t>o</w:t>
            </w:r>
            <w:r w:rsidRPr="002E55DE">
              <w:rPr>
                <w:rFonts w:ascii="Times New Roman" w:eastAsia="Times New Roman" w:hAnsi="Times New Roman"/>
                <w:sz w:val="22"/>
                <w:szCs w:val="22"/>
              </w:rPr>
              <w:t>polis, Brazil</w:t>
            </w:r>
          </w:p>
        </w:tc>
        <w:tc>
          <w:tcPr>
            <w:tcW w:w="1860" w:type="dxa"/>
            <w:noWrap/>
            <w:tcMar>
              <w:left w:w="43" w:type="dxa"/>
              <w:right w:w="43" w:type="dxa"/>
            </w:tcMar>
            <w:vAlign w:val="center"/>
            <w:hideMark/>
          </w:tcPr>
          <w:p w14:paraId="72124A27" w14:textId="3C6DF4A3" w:rsidR="008B126B" w:rsidRPr="002E55DE" w:rsidRDefault="00F75CD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42B3A803" w14:textId="68827492"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(objective)</w:t>
            </w:r>
          </w:p>
        </w:tc>
      </w:tr>
      <w:tr w:rsidR="002E55DE" w:rsidRPr="002E55DE" w14:paraId="5C4D4CC8" w14:textId="77777777" w:rsidTr="007B3FB7">
        <w:trPr>
          <w:trHeight w:val="432"/>
        </w:trPr>
        <w:tc>
          <w:tcPr>
            <w:tcW w:w="1147" w:type="dxa"/>
            <w:noWrap/>
            <w:tcMar>
              <w:left w:w="43" w:type="dxa"/>
              <w:right w:w="43" w:type="dxa"/>
            </w:tcMar>
            <w:vAlign w:val="center"/>
            <w:hideMark/>
          </w:tcPr>
          <w:p w14:paraId="521B298F" w14:textId="77777777"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Maisel (2016)</w:t>
            </w:r>
          </w:p>
        </w:tc>
        <w:tc>
          <w:tcPr>
            <w:tcW w:w="1341" w:type="dxa"/>
            <w:noWrap/>
            <w:tcMar>
              <w:left w:w="43" w:type="dxa"/>
              <w:right w:w="43" w:type="dxa"/>
            </w:tcMar>
            <w:vAlign w:val="center"/>
            <w:hideMark/>
          </w:tcPr>
          <w:p w14:paraId="77163DB8" w14:textId="614EE176" w:rsidR="008B126B"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 xml:space="preserve">Weekly </w:t>
            </w:r>
            <w:r w:rsidR="008B126B" w:rsidRPr="002E55DE">
              <w:rPr>
                <w:rFonts w:ascii="Times New Roman" w:eastAsia="Times New Roman" w:hAnsi="Times New Roman"/>
                <w:sz w:val="22"/>
                <w:szCs w:val="22"/>
              </w:rPr>
              <w:t>duration</w:t>
            </w:r>
          </w:p>
        </w:tc>
        <w:tc>
          <w:tcPr>
            <w:tcW w:w="780" w:type="dxa"/>
            <w:noWrap/>
            <w:tcMar>
              <w:left w:w="43" w:type="dxa"/>
              <w:right w:w="43" w:type="dxa"/>
            </w:tcMar>
            <w:vAlign w:val="center"/>
            <w:hideMark/>
          </w:tcPr>
          <w:p w14:paraId="2B4AB5D4" w14:textId="06D19A82" w:rsidR="008B126B" w:rsidRPr="002E55DE" w:rsidRDefault="008B126B" w:rsidP="00941028">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6C2E54C3" w14:textId="77777777" w:rsidR="008B126B" w:rsidRPr="002E55DE" w:rsidRDefault="008B126B" w:rsidP="00941028">
            <w:pPr>
              <w:jc w:val="center"/>
              <w:rPr>
                <w:rFonts w:ascii="Times New Roman" w:eastAsiaTheme="minorEastAsia" w:hAnsi="Times New Roman"/>
                <w:sz w:val="22"/>
                <w:szCs w:val="22"/>
              </w:rPr>
            </w:pPr>
            <w:r w:rsidRPr="002E55DE">
              <w:rPr>
                <w:rFonts w:ascii="Times New Roman" w:hAnsi="Times New Roman"/>
                <w:sz w:val="22"/>
                <w:szCs w:val="22"/>
              </w:rPr>
              <w:t>2013</w:t>
            </w:r>
          </w:p>
        </w:tc>
        <w:tc>
          <w:tcPr>
            <w:tcW w:w="1580" w:type="dxa"/>
            <w:noWrap/>
            <w:tcMar>
              <w:left w:w="43" w:type="dxa"/>
              <w:right w:w="43" w:type="dxa"/>
            </w:tcMar>
            <w:vAlign w:val="center"/>
            <w:hideMark/>
          </w:tcPr>
          <w:p w14:paraId="4876B95F" w14:textId="77777777"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Erie County, U.S.</w:t>
            </w:r>
          </w:p>
        </w:tc>
        <w:tc>
          <w:tcPr>
            <w:tcW w:w="1860" w:type="dxa"/>
            <w:noWrap/>
            <w:tcMar>
              <w:left w:w="43" w:type="dxa"/>
              <w:right w:w="43" w:type="dxa"/>
            </w:tcMar>
            <w:vAlign w:val="center"/>
            <w:hideMark/>
          </w:tcPr>
          <w:p w14:paraId="0DB24728" w14:textId="2A2C5A50" w:rsidR="008B126B" w:rsidRPr="002E55DE" w:rsidRDefault="00F75CD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0B60949D" w14:textId="2D437109"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(perceived)</w:t>
            </w:r>
          </w:p>
        </w:tc>
      </w:tr>
      <w:tr w:rsidR="002E55DE" w:rsidRPr="002E55DE" w14:paraId="371D66AD" w14:textId="77777777" w:rsidTr="007B3FB7">
        <w:trPr>
          <w:trHeight w:val="432"/>
        </w:trPr>
        <w:tc>
          <w:tcPr>
            <w:tcW w:w="1147" w:type="dxa"/>
            <w:noWrap/>
            <w:tcMar>
              <w:left w:w="43" w:type="dxa"/>
              <w:right w:w="43" w:type="dxa"/>
            </w:tcMar>
            <w:vAlign w:val="center"/>
          </w:tcPr>
          <w:p w14:paraId="49F0E8C0" w14:textId="3E204102" w:rsidR="00D3595E" w:rsidRPr="002E55DE" w:rsidRDefault="00D3595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Ory et al. (2016)</w:t>
            </w:r>
          </w:p>
        </w:tc>
        <w:tc>
          <w:tcPr>
            <w:tcW w:w="1341" w:type="dxa"/>
            <w:noWrap/>
            <w:tcMar>
              <w:left w:w="43" w:type="dxa"/>
              <w:right w:w="43" w:type="dxa"/>
            </w:tcMar>
            <w:vAlign w:val="center"/>
          </w:tcPr>
          <w:p w14:paraId="3A1DEFAF" w14:textId="5EC18A3E" w:rsidR="00D3595E" w:rsidRPr="002E55DE" w:rsidRDefault="001145A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Frequency/</w:t>
            </w:r>
            <w:r w:rsidR="00D37534" w:rsidRPr="002E55DE">
              <w:rPr>
                <w:rFonts w:ascii="Times New Roman" w:eastAsia="Times New Roman" w:hAnsi="Times New Roman"/>
                <w:sz w:val="22"/>
                <w:szCs w:val="22"/>
              </w:rPr>
              <w:t xml:space="preserve"> </w:t>
            </w:r>
            <w:r w:rsidRPr="002E55DE">
              <w:rPr>
                <w:rFonts w:ascii="Times New Roman" w:eastAsia="Times New Roman" w:hAnsi="Times New Roman"/>
                <w:sz w:val="22"/>
                <w:szCs w:val="22"/>
              </w:rPr>
              <w:t>Weekly duration</w:t>
            </w:r>
          </w:p>
        </w:tc>
        <w:tc>
          <w:tcPr>
            <w:tcW w:w="780" w:type="dxa"/>
            <w:noWrap/>
            <w:tcMar>
              <w:left w:w="43" w:type="dxa"/>
              <w:right w:w="43" w:type="dxa"/>
            </w:tcMar>
            <w:vAlign w:val="center"/>
          </w:tcPr>
          <w:p w14:paraId="2980CF90" w14:textId="3963E86C" w:rsidR="00D3595E" w:rsidRPr="002E55DE" w:rsidRDefault="001145AE" w:rsidP="00941028">
            <w:pPr>
              <w:jc w:val="center"/>
              <w:rPr>
                <w:rFonts w:ascii="Times New Roman" w:hAnsi="Times New Roman"/>
                <w:sz w:val="22"/>
                <w:szCs w:val="22"/>
              </w:rPr>
            </w:pPr>
            <w:r w:rsidRPr="002E55DE">
              <w:rPr>
                <w:rFonts w:ascii="Times New Roman" w:hAnsi="Times New Roman"/>
                <w:sz w:val="22"/>
                <w:szCs w:val="22"/>
              </w:rPr>
              <w:t>R</w:t>
            </w:r>
            <w:r w:rsidR="00C67833" w:rsidRPr="002E55DE">
              <w:rPr>
                <w:rFonts w:ascii="Times New Roman" w:hAnsi="Times New Roman"/>
                <w:sz w:val="22"/>
                <w:szCs w:val="22"/>
              </w:rPr>
              <w:t>P</w:t>
            </w:r>
          </w:p>
        </w:tc>
        <w:tc>
          <w:tcPr>
            <w:tcW w:w="656" w:type="dxa"/>
            <w:tcMar>
              <w:left w:w="43" w:type="dxa"/>
              <w:right w:w="43" w:type="dxa"/>
            </w:tcMar>
            <w:vAlign w:val="center"/>
          </w:tcPr>
          <w:p w14:paraId="4DA789A0" w14:textId="7BC30DDC" w:rsidR="00D3595E" w:rsidRPr="002E55DE" w:rsidRDefault="00E701EA" w:rsidP="00941028">
            <w:pPr>
              <w:jc w:val="center"/>
              <w:rPr>
                <w:rFonts w:ascii="Times New Roman" w:hAnsi="Times New Roman"/>
                <w:sz w:val="22"/>
                <w:szCs w:val="22"/>
              </w:rPr>
            </w:pPr>
            <w:r w:rsidRPr="002E55DE">
              <w:rPr>
                <w:rFonts w:ascii="Times New Roman" w:hAnsi="Times New Roman"/>
                <w:sz w:val="22"/>
                <w:szCs w:val="22"/>
              </w:rPr>
              <w:t>2013-2014</w:t>
            </w:r>
          </w:p>
        </w:tc>
        <w:tc>
          <w:tcPr>
            <w:tcW w:w="1580" w:type="dxa"/>
            <w:noWrap/>
            <w:tcMar>
              <w:left w:w="43" w:type="dxa"/>
              <w:right w:w="43" w:type="dxa"/>
            </w:tcMar>
            <w:vAlign w:val="center"/>
          </w:tcPr>
          <w:p w14:paraId="2F578F73" w14:textId="6B32A0A1" w:rsidR="00D3595E" w:rsidRPr="002E55DE" w:rsidRDefault="00E701E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Texas, U.S.</w:t>
            </w:r>
          </w:p>
        </w:tc>
        <w:tc>
          <w:tcPr>
            <w:tcW w:w="1860" w:type="dxa"/>
            <w:noWrap/>
            <w:tcMar>
              <w:left w:w="43" w:type="dxa"/>
              <w:right w:w="43" w:type="dxa"/>
            </w:tcMar>
            <w:vAlign w:val="center"/>
          </w:tcPr>
          <w:p w14:paraId="4D26FDD4" w14:textId="27327B58" w:rsidR="00D3595E" w:rsidRPr="002E55DE" w:rsidRDefault="00E701E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Yes (as exogenous)</w:t>
            </w:r>
          </w:p>
        </w:tc>
        <w:tc>
          <w:tcPr>
            <w:tcW w:w="1950" w:type="dxa"/>
            <w:noWrap/>
            <w:tcMar>
              <w:left w:w="43" w:type="dxa"/>
              <w:right w:w="43" w:type="dxa"/>
            </w:tcMar>
            <w:vAlign w:val="center"/>
          </w:tcPr>
          <w:p w14:paraId="6BE479B1" w14:textId="6181CDDB" w:rsidR="00D3595E" w:rsidRPr="002E55DE" w:rsidRDefault="00E701E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Health condition</w:t>
            </w:r>
            <w:r w:rsidR="001119F2" w:rsidRPr="002E55DE">
              <w:rPr>
                <w:rFonts w:ascii="Times New Roman" w:eastAsia="Times New Roman" w:hAnsi="Times New Roman"/>
                <w:sz w:val="22"/>
                <w:szCs w:val="22"/>
              </w:rPr>
              <w:t>, BE (perceived)</w:t>
            </w:r>
          </w:p>
        </w:tc>
      </w:tr>
      <w:tr w:rsidR="002E55DE" w:rsidRPr="002E55DE" w14:paraId="48322770" w14:textId="77777777" w:rsidTr="007B3FB7">
        <w:trPr>
          <w:trHeight w:val="432"/>
        </w:trPr>
        <w:tc>
          <w:tcPr>
            <w:tcW w:w="1147" w:type="dxa"/>
            <w:noWrap/>
            <w:tcMar>
              <w:left w:w="43" w:type="dxa"/>
              <w:right w:w="43" w:type="dxa"/>
            </w:tcMar>
            <w:vAlign w:val="center"/>
          </w:tcPr>
          <w:p w14:paraId="2F807567" w14:textId="7C8175D8" w:rsidR="00EF54CA" w:rsidRPr="002E55DE" w:rsidRDefault="00EF54CA" w:rsidP="00941028">
            <w:pPr>
              <w:jc w:val="center"/>
              <w:rPr>
                <w:rFonts w:ascii="Times New Roman" w:eastAsiaTheme="minorEastAsia" w:hAnsi="Times New Roman"/>
                <w:sz w:val="22"/>
                <w:szCs w:val="22"/>
                <w:lang w:eastAsia="ko-KR"/>
              </w:rPr>
            </w:pPr>
            <w:r w:rsidRPr="002E55DE">
              <w:rPr>
                <w:rFonts w:ascii="Times New Roman" w:eastAsia="Times New Roman" w:hAnsi="Times New Roman"/>
                <w:sz w:val="22"/>
                <w:szCs w:val="22"/>
              </w:rPr>
              <w:t>Thornton</w:t>
            </w:r>
            <w:r w:rsidR="00E53CF3" w:rsidRPr="002E55DE">
              <w:rPr>
                <w:rFonts w:ascii="Times New Roman" w:eastAsiaTheme="minorEastAsia" w:hAnsi="Times New Roman" w:hint="eastAsia"/>
                <w:sz w:val="22"/>
                <w:szCs w:val="22"/>
                <w:lang w:eastAsia="ko-KR"/>
              </w:rPr>
              <w:t xml:space="preserve"> et al.</w:t>
            </w:r>
          </w:p>
          <w:p w14:paraId="1BCC31D9" w14:textId="4509A9C0"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(2017)</w:t>
            </w:r>
          </w:p>
        </w:tc>
        <w:tc>
          <w:tcPr>
            <w:tcW w:w="1341" w:type="dxa"/>
            <w:noWrap/>
            <w:tcMar>
              <w:left w:w="43" w:type="dxa"/>
              <w:right w:w="43" w:type="dxa"/>
            </w:tcMar>
            <w:vAlign w:val="center"/>
          </w:tcPr>
          <w:p w14:paraId="03A119EB" w14:textId="6B51D46F"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 xml:space="preserve">Weekly </w:t>
            </w:r>
            <w:r w:rsidR="00A222CC" w:rsidRPr="002E55DE">
              <w:rPr>
                <w:rFonts w:ascii="Times New Roman" w:eastAsia="Times New Roman" w:hAnsi="Times New Roman"/>
                <w:sz w:val="22"/>
                <w:szCs w:val="22"/>
              </w:rPr>
              <w:t>d</w:t>
            </w:r>
            <w:r w:rsidRPr="002E55DE">
              <w:rPr>
                <w:rFonts w:ascii="Times New Roman" w:eastAsia="Times New Roman" w:hAnsi="Times New Roman"/>
                <w:sz w:val="22"/>
                <w:szCs w:val="22"/>
              </w:rPr>
              <w:t>uration</w:t>
            </w:r>
          </w:p>
        </w:tc>
        <w:tc>
          <w:tcPr>
            <w:tcW w:w="780" w:type="dxa"/>
            <w:noWrap/>
            <w:tcMar>
              <w:left w:w="43" w:type="dxa"/>
              <w:right w:w="43" w:type="dxa"/>
            </w:tcMar>
            <w:vAlign w:val="center"/>
          </w:tcPr>
          <w:p w14:paraId="566BF5CE" w14:textId="2A106117" w:rsidR="00EF54CA" w:rsidRPr="002E55DE" w:rsidRDefault="00EF54CA" w:rsidP="00941028">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06C1CAD6" w14:textId="36F9FE8D" w:rsidR="00EF54CA" w:rsidRPr="002E55DE" w:rsidRDefault="007608A3" w:rsidP="00941028">
            <w:pPr>
              <w:jc w:val="center"/>
              <w:rPr>
                <w:rFonts w:ascii="Times New Roman" w:eastAsiaTheme="minorEastAsia" w:hAnsi="Times New Roman"/>
                <w:sz w:val="22"/>
                <w:szCs w:val="22"/>
                <w:lang w:eastAsia="ko-KR"/>
              </w:rPr>
            </w:pPr>
            <w:r w:rsidRPr="002E55DE">
              <w:rPr>
                <w:rFonts w:ascii="Times New Roman" w:eastAsiaTheme="minorEastAsia" w:hAnsi="Times New Roman" w:hint="eastAsia"/>
                <w:sz w:val="22"/>
                <w:szCs w:val="22"/>
                <w:lang w:eastAsia="ko-KR"/>
              </w:rPr>
              <w:t>2005-2008</w:t>
            </w:r>
          </w:p>
        </w:tc>
        <w:tc>
          <w:tcPr>
            <w:tcW w:w="1580" w:type="dxa"/>
            <w:noWrap/>
            <w:tcMar>
              <w:left w:w="43" w:type="dxa"/>
              <w:right w:w="43" w:type="dxa"/>
            </w:tcMar>
            <w:vAlign w:val="center"/>
          </w:tcPr>
          <w:p w14:paraId="538F35E7" w14:textId="7B1BA133"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Baltimore, Seattle, U.S.</w:t>
            </w:r>
          </w:p>
        </w:tc>
        <w:tc>
          <w:tcPr>
            <w:tcW w:w="1860" w:type="dxa"/>
            <w:noWrap/>
            <w:tcMar>
              <w:left w:w="43" w:type="dxa"/>
              <w:right w:w="43" w:type="dxa"/>
            </w:tcMar>
            <w:vAlign w:val="center"/>
          </w:tcPr>
          <w:p w14:paraId="3813C7AB" w14:textId="57C419DD" w:rsidR="00EF54CA" w:rsidRPr="002E55DE" w:rsidRDefault="00F75CD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tcPr>
          <w:p w14:paraId="69DFC269" w14:textId="4FA2D9C6" w:rsidR="00EF54CA" w:rsidRPr="002E55DE" w:rsidRDefault="00EF54CA"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BE (objective and perceived)</w:t>
            </w:r>
          </w:p>
        </w:tc>
      </w:tr>
      <w:tr w:rsidR="002E55DE" w:rsidRPr="002E55DE" w14:paraId="71F20104" w14:textId="77777777" w:rsidTr="007B3FB7">
        <w:trPr>
          <w:trHeight w:val="432"/>
        </w:trPr>
        <w:tc>
          <w:tcPr>
            <w:tcW w:w="1147" w:type="dxa"/>
            <w:noWrap/>
            <w:tcMar>
              <w:left w:w="43" w:type="dxa"/>
              <w:right w:w="43" w:type="dxa"/>
            </w:tcMar>
            <w:vAlign w:val="center"/>
            <w:hideMark/>
          </w:tcPr>
          <w:p w14:paraId="2045EC83" w14:textId="77777777"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Liu et al. (2020)</w:t>
            </w:r>
          </w:p>
        </w:tc>
        <w:tc>
          <w:tcPr>
            <w:tcW w:w="1341" w:type="dxa"/>
            <w:noWrap/>
            <w:tcMar>
              <w:left w:w="43" w:type="dxa"/>
              <w:right w:w="43" w:type="dxa"/>
            </w:tcMar>
            <w:vAlign w:val="center"/>
            <w:hideMark/>
          </w:tcPr>
          <w:p w14:paraId="358F2C91" w14:textId="77777777" w:rsidR="008B126B" w:rsidRPr="002E55DE" w:rsidRDefault="008B126B"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Trip duration</w:t>
            </w:r>
          </w:p>
        </w:tc>
        <w:tc>
          <w:tcPr>
            <w:tcW w:w="780" w:type="dxa"/>
            <w:noWrap/>
            <w:tcMar>
              <w:left w:w="43" w:type="dxa"/>
              <w:right w:w="43" w:type="dxa"/>
            </w:tcMar>
            <w:vAlign w:val="center"/>
            <w:hideMark/>
          </w:tcPr>
          <w:p w14:paraId="50AD8935" w14:textId="516974E3" w:rsidR="008B126B" w:rsidRPr="002E55DE" w:rsidRDefault="008B126B" w:rsidP="00941028">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2C75A633" w14:textId="77777777" w:rsidR="008B126B" w:rsidRPr="002E55DE" w:rsidRDefault="008B126B" w:rsidP="00941028">
            <w:pPr>
              <w:jc w:val="center"/>
              <w:rPr>
                <w:rFonts w:ascii="Times New Roman" w:eastAsiaTheme="minorEastAsia" w:hAnsi="Times New Roman"/>
                <w:sz w:val="22"/>
                <w:szCs w:val="22"/>
              </w:rPr>
            </w:pPr>
            <w:r w:rsidRPr="002E55DE">
              <w:rPr>
                <w:rFonts w:ascii="Times New Roman" w:hAnsi="Times New Roman"/>
                <w:sz w:val="22"/>
                <w:szCs w:val="22"/>
              </w:rPr>
              <w:t>2017</w:t>
            </w:r>
          </w:p>
        </w:tc>
        <w:tc>
          <w:tcPr>
            <w:tcW w:w="1580" w:type="dxa"/>
            <w:noWrap/>
            <w:tcMar>
              <w:left w:w="43" w:type="dxa"/>
              <w:right w:w="43" w:type="dxa"/>
            </w:tcMar>
            <w:vAlign w:val="center"/>
            <w:hideMark/>
          </w:tcPr>
          <w:p w14:paraId="16906D77" w14:textId="4DBFA98B" w:rsidR="008B126B" w:rsidRPr="003768C0" w:rsidRDefault="008B126B" w:rsidP="003768C0">
            <w:pPr>
              <w:jc w:val="center"/>
              <w:rPr>
                <w:rFonts w:ascii="Times New Roman" w:hAnsi="Times New Roman"/>
                <w:sz w:val="22"/>
                <w:szCs w:val="22"/>
              </w:rPr>
            </w:pPr>
            <w:r w:rsidRPr="002E55DE">
              <w:rPr>
                <w:rFonts w:ascii="Times New Roman" w:eastAsia="Times New Roman" w:hAnsi="Times New Roman"/>
                <w:sz w:val="22"/>
                <w:szCs w:val="22"/>
              </w:rPr>
              <w:t>Dalian,</w:t>
            </w:r>
            <w:r w:rsidR="003768C0">
              <w:rPr>
                <w:rFonts w:ascii="Times New Roman" w:hAnsi="Times New Roman"/>
                <w:sz w:val="22"/>
                <w:szCs w:val="22"/>
              </w:rPr>
              <w:t xml:space="preserve"> </w:t>
            </w:r>
            <w:r w:rsidRPr="002E55DE">
              <w:rPr>
                <w:rFonts w:ascii="Times New Roman" w:eastAsia="Times New Roman" w:hAnsi="Times New Roman"/>
                <w:sz w:val="22"/>
                <w:szCs w:val="22"/>
              </w:rPr>
              <w:t>China</w:t>
            </w:r>
          </w:p>
        </w:tc>
        <w:tc>
          <w:tcPr>
            <w:tcW w:w="1860" w:type="dxa"/>
            <w:noWrap/>
            <w:tcMar>
              <w:left w:w="43" w:type="dxa"/>
              <w:right w:w="43" w:type="dxa"/>
            </w:tcMar>
            <w:vAlign w:val="center"/>
            <w:hideMark/>
          </w:tcPr>
          <w:p w14:paraId="3DC437E3" w14:textId="354597D5" w:rsidR="008B126B" w:rsidRPr="002E55DE" w:rsidRDefault="00F75CDE" w:rsidP="00941028">
            <w:pPr>
              <w:jc w:val="center"/>
              <w:rPr>
                <w:rFonts w:ascii="Times New Roman" w:eastAsia="Times New Roman" w:hAnsi="Times New Roman"/>
                <w:sz w:val="22"/>
                <w:szCs w:val="22"/>
              </w:rPr>
            </w:pPr>
            <w:r w:rsidRPr="002E55DE">
              <w:rPr>
                <w:rFonts w:ascii="Times New Roman" w:eastAsia="Times New Roman" w:hAnsi="Times New Roman"/>
                <w:sz w:val="22"/>
                <w:szCs w:val="22"/>
              </w:rPr>
              <w:t>Yes (as exogenous)</w:t>
            </w:r>
          </w:p>
        </w:tc>
        <w:tc>
          <w:tcPr>
            <w:tcW w:w="1950" w:type="dxa"/>
            <w:noWrap/>
            <w:tcMar>
              <w:left w:w="43" w:type="dxa"/>
              <w:right w:w="43" w:type="dxa"/>
            </w:tcMar>
            <w:vAlign w:val="center"/>
            <w:hideMark/>
          </w:tcPr>
          <w:p w14:paraId="2BA0C826" w14:textId="78CB716F" w:rsidR="008B126B" w:rsidRPr="002E55DE" w:rsidRDefault="008B126B" w:rsidP="00941028">
            <w:pPr>
              <w:jc w:val="center"/>
              <w:rPr>
                <w:rFonts w:ascii="Times New Roman" w:eastAsiaTheme="minorEastAsia"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(perceived)</w:t>
            </w:r>
            <w:r w:rsidRPr="002E55DE">
              <w:rPr>
                <w:rFonts w:ascii="Times New Roman" w:eastAsia="Times New Roman" w:hAnsi="Times New Roman"/>
                <w:sz w:val="22"/>
                <w:szCs w:val="22"/>
              </w:rPr>
              <w:t xml:space="preserve">, </w:t>
            </w:r>
            <w:r w:rsidRPr="002E55DE">
              <w:rPr>
                <w:rFonts w:ascii="Times New Roman" w:hAnsi="Times New Roman"/>
                <w:sz w:val="22"/>
                <w:szCs w:val="22"/>
              </w:rPr>
              <w:t>SD</w:t>
            </w:r>
          </w:p>
        </w:tc>
      </w:tr>
      <w:tr w:rsidR="002E55DE" w:rsidRPr="002E55DE" w14:paraId="4CACE8CF" w14:textId="77777777" w:rsidTr="007B3FB7">
        <w:trPr>
          <w:trHeight w:val="432"/>
        </w:trPr>
        <w:tc>
          <w:tcPr>
            <w:tcW w:w="1147" w:type="dxa"/>
            <w:noWrap/>
            <w:tcMar>
              <w:left w:w="43" w:type="dxa"/>
              <w:right w:w="43" w:type="dxa"/>
            </w:tcMar>
            <w:vAlign w:val="center"/>
            <w:hideMark/>
          </w:tcPr>
          <w:p w14:paraId="2A1CABB1"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Wu et al. (2021)</w:t>
            </w:r>
          </w:p>
        </w:tc>
        <w:tc>
          <w:tcPr>
            <w:tcW w:w="1341" w:type="dxa"/>
            <w:noWrap/>
            <w:tcMar>
              <w:left w:w="43" w:type="dxa"/>
              <w:right w:w="43" w:type="dxa"/>
            </w:tcMar>
            <w:vAlign w:val="center"/>
            <w:hideMark/>
          </w:tcPr>
          <w:p w14:paraId="28F371E1" w14:textId="2C00EE91"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 xml:space="preserve">Daily </w:t>
            </w:r>
            <w:r w:rsidR="008B126B" w:rsidRPr="002E55DE">
              <w:rPr>
                <w:rFonts w:ascii="Times New Roman" w:eastAsia="Times New Roman" w:hAnsi="Times New Roman"/>
                <w:sz w:val="22"/>
                <w:szCs w:val="22"/>
              </w:rPr>
              <w:t>Frequency</w:t>
            </w:r>
          </w:p>
        </w:tc>
        <w:tc>
          <w:tcPr>
            <w:tcW w:w="780" w:type="dxa"/>
            <w:noWrap/>
            <w:tcMar>
              <w:left w:w="43" w:type="dxa"/>
              <w:right w:w="43" w:type="dxa"/>
            </w:tcMar>
            <w:vAlign w:val="center"/>
            <w:hideMark/>
          </w:tcPr>
          <w:p w14:paraId="1E6490A5" w14:textId="55B617E2" w:rsidR="008B126B" w:rsidRPr="002E55DE" w:rsidRDefault="008B126B" w:rsidP="00FE7DFB">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130DBD7F"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2012</w:t>
            </w:r>
          </w:p>
        </w:tc>
        <w:tc>
          <w:tcPr>
            <w:tcW w:w="1580" w:type="dxa"/>
            <w:noWrap/>
            <w:tcMar>
              <w:left w:w="43" w:type="dxa"/>
              <w:right w:w="43" w:type="dxa"/>
            </w:tcMar>
            <w:vAlign w:val="center"/>
            <w:hideMark/>
          </w:tcPr>
          <w:p w14:paraId="112B636B"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Zhongshan, China</w:t>
            </w:r>
          </w:p>
        </w:tc>
        <w:tc>
          <w:tcPr>
            <w:tcW w:w="1860" w:type="dxa"/>
            <w:noWrap/>
            <w:tcMar>
              <w:left w:w="43" w:type="dxa"/>
              <w:right w:w="43" w:type="dxa"/>
            </w:tcMar>
            <w:vAlign w:val="center"/>
            <w:hideMark/>
          </w:tcPr>
          <w:p w14:paraId="4891AEC7" w14:textId="38184F18"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17EAD6E5" w14:textId="67B5AFC2"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(objective)</w:t>
            </w:r>
          </w:p>
        </w:tc>
      </w:tr>
      <w:tr w:rsidR="002E55DE" w:rsidRPr="002E55DE" w14:paraId="33483C9B" w14:textId="77777777" w:rsidTr="007B3FB7">
        <w:trPr>
          <w:trHeight w:val="432"/>
        </w:trPr>
        <w:tc>
          <w:tcPr>
            <w:tcW w:w="1147" w:type="dxa"/>
            <w:noWrap/>
            <w:tcMar>
              <w:left w:w="43" w:type="dxa"/>
              <w:right w:w="43" w:type="dxa"/>
            </w:tcMar>
            <w:vAlign w:val="center"/>
            <w:hideMark/>
          </w:tcPr>
          <w:p w14:paraId="59BD37D9"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Zang et al. (2022)</w:t>
            </w:r>
          </w:p>
        </w:tc>
        <w:tc>
          <w:tcPr>
            <w:tcW w:w="1341" w:type="dxa"/>
            <w:noWrap/>
            <w:tcMar>
              <w:left w:w="43" w:type="dxa"/>
              <w:right w:w="43" w:type="dxa"/>
            </w:tcMar>
            <w:vAlign w:val="center"/>
            <w:hideMark/>
          </w:tcPr>
          <w:p w14:paraId="4B14691B"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Total duration</w:t>
            </w:r>
          </w:p>
        </w:tc>
        <w:tc>
          <w:tcPr>
            <w:tcW w:w="780" w:type="dxa"/>
            <w:noWrap/>
            <w:tcMar>
              <w:left w:w="43" w:type="dxa"/>
              <w:right w:w="43" w:type="dxa"/>
            </w:tcMar>
            <w:vAlign w:val="center"/>
            <w:hideMark/>
          </w:tcPr>
          <w:p w14:paraId="69111283" w14:textId="45BF16C3" w:rsidR="008B126B" w:rsidRPr="002E55DE" w:rsidRDefault="008B126B" w:rsidP="00FE7DFB">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4F002666"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2019</w:t>
            </w:r>
          </w:p>
        </w:tc>
        <w:tc>
          <w:tcPr>
            <w:tcW w:w="1580" w:type="dxa"/>
            <w:noWrap/>
            <w:tcMar>
              <w:left w:w="43" w:type="dxa"/>
              <w:right w:w="43" w:type="dxa"/>
            </w:tcMar>
            <w:vAlign w:val="center"/>
            <w:hideMark/>
          </w:tcPr>
          <w:p w14:paraId="53CDE5BA"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Guangzhou, China</w:t>
            </w:r>
          </w:p>
        </w:tc>
        <w:tc>
          <w:tcPr>
            <w:tcW w:w="1860" w:type="dxa"/>
            <w:noWrap/>
            <w:tcMar>
              <w:left w:w="43" w:type="dxa"/>
              <w:right w:w="43" w:type="dxa"/>
            </w:tcMar>
            <w:vAlign w:val="center"/>
            <w:hideMark/>
          </w:tcPr>
          <w:p w14:paraId="1CF30623" w14:textId="37618F72"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323F1FF8" w14:textId="2A53E797" w:rsidR="008B126B" w:rsidRPr="002E55DE" w:rsidRDefault="008B126B" w:rsidP="00FE7DFB">
            <w:pPr>
              <w:jc w:val="center"/>
              <w:rPr>
                <w:rFonts w:ascii="Times New Roman" w:eastAsiaTheme="minorEastAsia"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(objective)</w:t>
            </w:r>
            <w:r w:rsidRPr="002E55DE">
              <w:rPr>
                <w:rFonts w:ascii="Times New Roman" w:eastAsia="Times New Roman" w:hAnsi="Times New Roman"/>
                <w:sz w:val="22"/>
                <w:szCs w:val="22"/>
              </w:rPr>
              <w:t>,</w:t>
            </w:r>
            <w:r w:rsidRPr="002E55DE">
              <w:rPr>
                <w:rFonts w:ascii="Times New Roman" w:hAnsi="Times New Roman"/>
                <w:sz w:val="22"/>
                <w:szCs w:val="22"/>
              </w:rPr>
              <w:t xml:space="preserve"> SES</w:t>
            </w:r>
          </w:p>
        </w:tc>
      </w:tr>
      <w:tr w:rsidR="002E55DE" w:rsidRPr="002E55DE" w14:paraId="7CA30FE8" w14:textId="77777777" w:rsidTr="007B3FB7">
        <w:trPr>
          <w:trHeight w:val="432"/>
        </w:trPr>
        <w:tc>
          <w:tcPr>
            <w:tcW w:w="1147" w:type="dxa"/>
            <w:noWrap/>
            <w:tcMar>
              <w:left w:w="43" w:type="dxa"/>
              <w:right w:w="43" w:type="dxa"/>
            </w:tcMar>
            <w:vAlign w:val="center"/>
            <w:hideMark/>
          </w:tcPr>
          <w:p w14:paraId="6D0D33F2"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Yang et al. (2022)</w:t>
            </w:r>
          </w:p>
        </w:tc>
        <w:tc>
          <w:tcPr>
            <w:tcW w:w="1341" w:type="dxa"/>
            <w:noWrap/>
            <w:tcMar>
              <w:left w:w="43" w:type="dxa"/>
              <w:right w:w="43" w:type="dxa"/>
            </w:tcMar>
            <w:vAlign w:val="center"/>
            <w:hideMark/>
          </w:tcPr>
          <w:p w14:paraId="2E8EC799" w14:textId="77777777" w:rsidR="008B126B" w:rsidRPr="002E55DE" w:rsidRDefault="008B126B" w:rsidP="00FE7DFB">
            <w:pPr>
              <w:jc w:val="center"/>
              <w:rPr>
                <w:rFonts w:ascii="Times New Roman" w:hAnsi="Times New Roman"/>
                <w:sz w:val="22"/>
                <w:szCs w:val="22"/>
              </w:rPr>
            </w:pPr>
            <w:r w:rsidRPr="002E55DE">
              <w:rPr>
                <w:rFonts w:ascii="Times New Roman" w:eastAsia="Times New Roman" w:hAnsi="Times New Roman"/>
                <w:sz w:val="22"/>
                <w:szCs w:val="22"/>
              </w:rPr>
              <w:t>Frequency</w:t>
            </w:r>
          </w:p>
          <w:p w14:paraId="368BF5A6"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/Total duration</w:t>
            </w:r>
          </w:p>
        </w:tc>
        <w:tc>
          <w:tcPr>
            <w:tcW w:w="780" w:type="dxa"/>
            <w:noWrap/>
            <w:tcMar>
              <w:left w:w="43" w:type="dxa"/>
              <w:right w:w="43" w:type="dxa"/>
            </w:tcMar>
            <w:vAlign w:val="center"/>
            <w:hideMark/>
          </w:tcPr>
          <w:p w14:paraId="325BBC92" w14:textId="4ED912A0" w:rsidR="008B126B" w:rsidRPr="002E55DE" w:rsidRDefault="008B126B" w:rsidP="00FE7DFB">
            <w:pPr>
              <w:jc w:val="center"/>
              <w:rPr>
                <w:rFonts w:ascii="Times New Roman" w:eastAsiaTheme="minorEastAsia" w:hAnsi="Times New Roman"/>
                <w:sz w:val="22"/>
                <w:szCs w:val="22"/>
                <w:lang w:eastAsia="ko-KR"/>
              </w:rPr>
            </w:pPr>
            <w:r w:rsidRPr="002E55DE">
              <w:rPr>
                <w:rFonts w:ascii="Times New Roman" w:hAnsi="Times New Roman"/>
                <w:sz w:val="22"/>
                <w:szCs w:val="22"/>
              </w:rPr>
              <w:t>RP</w:t>
            </w:r>
          </w:p>
        </w:tc>
        <w:tc>
          <w:tcPr>
            <w:tcW w:w="656" w:type="dxa"/>
            <w:tcMar>
              <w:left w:w="43" w:type="dxa"/>
              <w:right w:w="43" w:type="dxa"/>
            </w:tcMar>
            <w:vAlign w:val="center"/>
          </w:tcPr>
          <w:p w14:paraId="045DE9A9"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2015</w:t>
            </w:r>
          </w:p>
        </w:tc>
        <w:tc>
          <w:tcPr>
            <w:tcW w:w="1580" w:type="dxa"/>
            <w:noWrap/>
            <w:tcMar>
              <w:left w:w="43" w:type="dxa"/>
              <w:right w:w="43" w:type="dxa"/>
            </w:tcMar>
            <w:vAlign w:val="center"/>
            <w:hideMark/>
          </w:tcPr>
          <w:p w14:paraId="21D9A9D9"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Xiamen, China</w:t>
            </w:r>
          </w:p>
        </w:tc>
        <w:tc>
          <w:tcPr>
            <w:tcW w:w="1860" w:type="dxa"/>
            <w:noWrap/>
            <w:tcMar>
              <w:left w:w="43" w:type="dxa"/>
              <w:right w:w="43" w:type="dxa"/>
            </w:tcMar>
            <w:vAlign w:val="center"/>
            <w:hideMark/>
          </w:tcPr>
          <w:p w14:paraId="3655BF2D" w14:textId="3EBE306F"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1293F6EB" w14:textId="44C6A2C9" w:rsidR="008B126B" w:rsidRPr="002E55DE" w:rsidRDefault="008B126B" w:rsidP="00FE7DFB">
            <w:pPr>
              <w:jc w:val="center"/>
              <w:rPr>
                <w:rFonts w:ascii="Times New Roman" w:eastAsiaTheme="minorEastAsia" w:hAnsi="Times New Roman"/>
                <w:sz w:val="22"/>
                <w:szCs w:val="22"/>
              </w:rPr>
            </w:pPr>
            <w:r w:rsidRPr="002E55DE">
              <w:rPr>
                <w:rFonts w:ascii="Times New Roman" w:eastAsia="Times New Roman" w:hAnsi="Times New Roman"/>
                <w:sz w:val="22"/>
                <w:szCs w:val="22"/>
              </w:rPr>
              <w:t>BE</w:t>
            </w:r>
            <w:r w:rsidR="0023219C" w:rsidRPr="002E55DE">
              <w:rPr>
                <w:rFonts w:ascii="Times New Roman" w:eastAsia="Times New Roman" w:hAnsi="Times New Roman"/>
                <w:sz w:val="22"/>
                <w:szCs w:val="22"/>
              </w:rPr>
              <w:t xml:space="preserve"> (objective)</w:t>
            </w:r>
            <w:r w:rsidRPr="002E55DE">
              <w:rPr>
                <w:rFonts w:ascii="Times New Roman" w:eastAsia="Times New Roman" w:hAnsi="Times New Roman"/>
                <w:sz w:val="22"/>
                <w:szCs w:val="22"/>
              </w:rPr>
              <w:t xml:space="preserve">, </w:t>
            </w:r>
            <w:r w:rsidRPr="002E55DE">
              <w:rPr>
                <w:rFonts w:ascii="Times New Roman" w:hAnsi="Times New Roman"/>
                <w:sz w:val="22"/>
                <w:szCs w:val="22"/>
              </w:rPr>
              <w:t>SD</w:t>
            </w:r>
          </w:p>
        </w:tc>
      </w:tr>
      <w:tr w:rsidR="002E55DE" w:rsidRPr="002E55DE" w14:paraId="0411B102" w14:textId="77777777" w:rsidTr="007B3FB7">
        <w:trPr>
          <w:trHeight w:val="432"/>
        </w:trPr>
        <w:tc>
          <w:tcPr>
            <w:tcW w:w="1147" w:type="dxa"/>
            <w:noWrap/>
            <w:tcMar>
              <w:left w:w="43" w:type="dxa"/>
              <w:right w:w="43" w:type="dxa"/>
            </w:tcMar>
            <w:vAlign w:val="center"/>
            <w:hideMark/>
          </w:tcPr>
          <w:p w14:paraId="5BE0C7FB" w14:textId="04F8734C" w:rsidR="008B126B" w:rsidRPr="002E55DE" w:rsidRDefault="008B126B" w:rsidP="00FE7DFB">
            <w:pPr>
              <w:jc w:val="center"/>
              <w:rPr>
                <w:rFonts w:ascii="Times New Roman" w:eastAsiaTheme="minorEastAsia" w:hAnsi="Times New Roman"/>
                <w:sz w:val="22"/>
                <w:szCs w:val="22"/>
                <w:lang w:eastAsia="ko-KR"/>
              </w:rPr>
            </w:pPr>
            <w:r w:rsidRPr="002E55DE">
              <w:rPr>
                <w:rFonts w:ascii="Times New Roman" w:eastAsia="Times New Roman" w:hAnsi="Times New Roman"/>
                <w:sz w:val="22"/>
                <w:szCs w:val="22"/>
              </w:rPr>
              <w:t>Hwang et al. (2023)</w:t>
            </w:r>
            <w:r w:rsidRPr="002E55DE">
              <w:rPr>
                <w:rFonts w:ascii="Times New Roman" w:eastAsiaTheme="minorEastAsia" w:hAnsi="Times New Roman"/>
                <w:sz w:val="22"/>
                <w:szCs w:val="22"/>
                <w:vertAlign w:val="superscript"/>
                <w:lang w:eastAsia="ko-KR"/>
              </w:rPr>
              <w:t>a</w:t>
            </w:r>
          </w:p>
        </w:tc>
        <w:tc>
          <w:tcPr>
            <w:tcW w:w="1341" w:type="dxa"/>
            <w:noWrap/>
            <w:tcMar>
              <w:left w:w="43" w:type="dxa"/>
              <w:right w:w="43" w:type="dxa"/>
            </w:tcMar>
            <w:vAlign w:val="center"/>
            <w:hideMark/>
          </w:tcPr>
          <w:p w14:paraId="5964BCED"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Frequency</w:t>
            </w:r>
          </w:p>
        </w:tc>
        <w:tc>
          <w:tcPr>
            <w:tcW w:w="780" w:type="dxa"/>
            <w:noWrap/>
            <w:tcMar>
              <w:left w:w="43" w:type="dxa"/>
              <w:right w:w="43" w:type="dxa"/>
            </w:tcMar>
            <w:vAlign w:val="center"/>
            <w:hideMark/>
          </w:tcPr>
          <w:p w14:paraId="08B0BAA6" w14:textId="78AC7184"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RP/SI</w:t>
            </w:r>
          </w:p>
        </w:tc>
        <w:tc>
          <w:tcPr>
            <w:tcW w:w="656" w:type="dxa"/>
            <w:tcMar>
              <w:left w:w="43" w:type="dxa"/>
              <w:right w:w="43" w:type="dxa"/>
            </w:tcMar>
            <w:vAlign w:val="center"/>
          </w:tcPr>
          <w:p w14:paraId="7EF53104"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2020-2021</w:t>
            </w:r>
          </w:p>
        </w:tc>
        <w:tc>
          <w:tcPr>
            <w:tcW w:w="1580" w:type="dxa"/>
            <w:noWrap/>
            <w:tcMar>
              <w:left w:w="43" w:type="dxa"/>
              <w:right w:w="43" w:type="dxa"/>
            </w:tcMar>
            <w:vAlign w:val="center"/>
            <w:hideMark/>
          </w:tcPr>
          <w:p w14:paraId="1F6667EE"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United States</w:t>
            </w:r>
          </w:p>
        </w:tc>
        <w:tc>
          <w:tcPr>
            <w:tcW w:w="1860" w:type="dxa"/>
            <w:noWrap/>
            <w:tcMar>
              <w:left w:w="43" w:type="dxa"/>
              <w:right w:w="43" w:type="dxa"/>
            </w:tcMar>
            <w:vAlign w:val="center"/>
            <w:hideMark/>
          </w:tcPr>
          <w:p w14:paraId="36ADEA81" w14:textId="3F22C370"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490A36EC" w14:textId="52A4DB8D" w:rsidR="008B126B" w:rsidRPr="002E55DE" w:rsidRDefault="008B126B" w:rsidP="00FE7DFB">
            <w:pPr>
              <w:jc w:val="center"/>
              <w:rPr>
                <w:rFonts w:ascii="Times New Roman" w:eastAsiaTheme="minorEastAsia" w:hAnsi="Times New Roman"/>
                <w:sz w:val="22"/>
                <w:szCs w:val="22"/>
              </w:rPr>
            </w:pPr>
            <w:r w:rsidRPr="002E55DE">
              <w:rPr>
                <w:rFonts w:ascii="Times New Roman" w:eastAsia="Times New Roman" w:hAnsi="Times New Roman"/>
                <w:sz w:val="22"/>
                <w:szCs w:val="22"/>
              </w:rPr>
              <w:t>BE</w:t>
            </w:r>
            <w:r w:rsidR="00F75CDE" w:rsidRPr="002E55DE">
              <w:rPr>
                <w:rFonts w:ascii="Times New Roman" w:eastAsia="Times New Roman" w:hAnsi="Times New Roman"/>
                <w:sz w:val="22"/>
                <w:szCs w:val="22"/>
              </w:rPr>
              <w:t xml:space="preserve"> (objective)</w:t>
            </w:r>
            <w:r w:rsidRPr="002E55DE">
              <w:rPr>
                <w:rFonts w:ascii="Times New Roman" w:eastAsia="Times New Roman" w:hAnsi="Times New Roman"/>
                <w:sz w:val="22"/>
                <w:szCs w:val="22"/>
              </w:rPr>
              <w:t xml:space="preserve">, </w:t>
            </w:r>
            <w:r w:rsidRPr="002E55DE">
              <w:rPr>
                <w:rFonts w:ascii="Times New Roman" w:hAnsi="Times New Roman"/>
                <w:sz w:val="22"/>
                <w:szCs w:val="22"/>
              </w:rPr>
              <w:t>SD</w:t>
            </w:r>
          </w:p>
        </w:tc>
      </w:tr>
      <w:tr w:rsidR="002E55DE" w:rsidRPr="002E55DE" w14:paraId="1DEC4CA8" w14:textId="77777777" w:rsidTr="007B3FB7">
        <w:trPr>
          <w:trHeight w:val="432"/>
        </w:trPr>
        <w:tc>
          <w:tcPr>
            <w:tcW w:w="1147" w:type="dxa"/>
            <w:noWrap/>
            <w:tcMar>
              <w:left w:w="43" w:type="dxa"/>
              <w:right w:w="43" w:type="dxa"/>
            </w:tcMar>
            <w:vAlign w:val="center"/>
            <w:hideMark/>
          </w:tcPr>
          <w:p w14:paraId="5F86CFF2" w14:textId="0C72238F" w:rsidR="008B126B" w:rsidRPr="002E55DE" w:rsidRDefault="008B126B" w:rsidP="00FE7DFB">
            <w:pPr>
              <w:jc w:val="center"/>
              <w:rPr>
                <w:rFonts w:ascii="Times New Roman" w:eastAsiaTheme="minorEastAsia" w:hAnsi="Times New Roman"/>
                <w:sz w:val="22"/>
                <w:szCs w:val="22"/>
                <w:lang w:eastAsia="ko-KR"/>
              </w:rPr>
            </w:pPr>
            <w:r w:rsidRPr="002E55DE">
              <w:rPr>
                <w:rFonts w:ascii="Times New Roman" w:eastAsia="Times New Roman" w:hAnsi="Times New Roman"/>
                <w:sz w:val="22"/>
                <w:szCs w:val="22"/>
              </w:rPr>
              <w:lastRenderedPageBreak/>
              <w:t>Younes et al. (2023)</w:t>
            </w:r>
            <w:r w:rsidRPr="002E55DE">
              <w:rPr>
                <w:rFonts w:ascii="Times New Roman" w:eastAsiaTheme="minorEastAsia" w:hAnsi="Times New Roman"/>
                <w:sz w:val="22"/>
                <w:szCs w:val="22"/>
                <w:vertAlign w:val="superscript"/>
                <w:lang w:eastAsia="ko-KR"/>
              </w:rPr>
              <w:t>a</w:t>
            </w:r>
          </w:p>
        </w:tc>
        <w:tc>
          <w:tcPr>
            <w:tcW w:w="1341" w:type="dxa"/>
            <w:noWrap/>
            <w:tcMar>
              <w:left w:w="43" w:type="dxa"/>
              <w:right w:w="43" w:type="dxa"/>
            </w:tcMar>
            <w:vAlign w:val="center"/>
            <w:hideMark/>
          </w:tcPr>
          <w:p w14:paraId="51E45147"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Frequency</w:t>
            </w:r>
          </w:p>
        </w:tc>
        <w:tc>
          <w:tcPr>
            <w:tcW w:w="780" w:type="dxa"/>
            <w:noWrap/>
            <w:tcMar>
              <w:left w:w="43" w:type="dxa"/>
              <w:right w:w="43" w:type="dxa"/>
            </w:tcMar>
            <w:vAlign w:val="center"/>
            <w:hideMark/>
          </w:tcPr>
          <w:p w14:paraId="3F0EECE1"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SI</w:t>
            </w:r>
          </w:p>
        </w:tc>
        <w:tc>
          <w:tcPr>
            <w:tcW w:w="656" w:type="dxa"/>
            <w:tcMar>
              <w:left w:w="43" w:type="dxa"/>
              <w:right w:w="43" w:type="dxa"/>
            </w:tcMar>
            <w:vAlign w:val="center"/>
          </w:tcPr>
          <w:p w14:paraId="3AA256A5" w14:textId="77777777" w:rsidR="008B126B" w:rsidRPr="002E55DE" w:rsidRDefault="008B126B" w:rsidP="00FE7DFB">
            <w:pPr>
              <w:jc w:val="center"/>
              <w:rPr>
                <w:rFonts w:ascii="Times New Roman" w:eastAsiaTheme="minorEastAsia" w:hAnsi="Times New Roman"/>
                <w:sz w:val="22"/>
                <w:szCs w:val="22"/>
              </w:rPr>
            </w:pPr>
            <w:r w:rsidRPr="002E55DE">
              <w:rPr>
                <w:rFonts w:ascii="Times New Roman" w:hAnsi="Times New Roman"/>
                <w:sz w:val="22"/>
                <w:szCs w:val="22"/>
              </w:rPr>
              <w:t>2021-2022</w:t>
            </w:r>
          </w:p>
        </w:tc>
        <w:tc>
          <w:tcPr>
            <w:tcW w:w="1580" w:type="dxa"/>
            <w:noWrap/>
            <w:tcMar>
              <w:left w:w="43" w:type="dxa"/>
              <w:right w:w="43" w:type="dxa"/>
            </w:tcMar>
            <w:vAlign w:val="center"/>
            <w:hideMark/>
          </w:tcPr>
          <w:p w14:paraId="00E2C8CB" w14:textId="77777777" w:rsidR="008B126B" w:rsidRPr="002E55DE" w:rsidRDefault="008B126B"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United Kingdom</w:t>
            </w:r>
          </w:p>
        </w:tc>
        <w:tc>
          <w:tcPr>
            <w:tcW w:w="1860" w:type="dxa"/>
            <w:noWrap/>
            <w:tcMar>
              <w:left w:w="43" w:type="dxa"/>
              <w:right w:w="43" w:type="dxa"/>
            </w:tcMar>
            <w:vAlign w:val="center"/>
            <w:hideMark/>
          </w:tcPr>
          <w:p w14:paraId="173DC6DA" w14:textId="160ACDF3" w:rsidR="008B126B" w:rsidRPr="002E55DE" w:rsidRDefault="00F75CDE" w:rsidP="00FE7DFB">
            <w:pPr>
              <w:jc w:val="center"/>
              <w:rPr>
                <w:rFonts w:ascii="Times New Roman" w:eastAsia="Times New Roman" w:hAnsi="Times New Roman"/>
                <w:sz w:val="22"/>
                <w:szCs w:val="22"/>
              </w:rPr>
            </w:pPr>
            <w:r w:rsidRPr="002E55DE">
              <w:rPr>
                <w:rFonts w:ascii="Times New Roman" w:eastAsia="Times New Roman" w:hAnsi="Times New Roman"/>
                <w:sz w:val="22"/>
                <w:szCs w:val="22"/>
              </w:rPr>
              <w:t>No</w:t>
            </w:r>
          </w:p>
        </w:tc>
        <w:tc>
          <w:tcPr>
            <w:tcW w:w="1950" w:type="dxa"/>
            <w:noWrap/>
            <w:tcMar>
              <w:left w:w="43" w:type="dxa"/>
              <w:right w:w="43" w:type="dxa"/>
            </w:tcMar>
            <w:vAlign w:val="center"/>
            <w:hideMark/>
          </w:tcPr>
          <w:p w14:paraId="38024807" w14:textId="513F7E3C" w:rsidR="008B126B" w:rsidRPr="002E55DE" w:rsidRDefault="00F75CDE" w:rsidP="00141DA5">
            <w:pPr>
              <w:jc w:val="center"/>
              <w:rPr>
                <w:rFonts w:ascii="Times New Roman" w:eastAsia="Times New Roman" w:hAnsi="Times New Roman"/>
                <w:sz w:val="22"/>
                <w:szCs w:val="22"/>
              </w:rPr>
            </w:pPr>
            <w:r w:rsidRPr="002E55DE">
              <w:rPr>
                <w:rFonts w:ascii="Times New Roman" w:hAnsi="Times New Roman"/>
                <w:sz w:val="22"/>
                <w:szCs w:val="22"/>
              </w:rPr>
              <w:t xml:space="preserve">Employment status, </w:t>
            </w:r>
            <w:r w:rsidR="008B126B" w:rsidRPr="002E55DE">
              <w:rPr>
                <w:rFonts w:ascii="Times New Roman" w:hAnsi="Times New Roman"/>
                <w:sz w:val="22"/>
                <w:szCs w:val="22"/>
              </w:rPr>
              <w:t>WFH</w:t>
            </w:r>
            <w:r w:rsidR="008E15B0" w:rsidRPr="002E55DE">
              <w:rPr>
                <w:rFonts w:ascii="Times New Roman" w:eastAsia="Times New Roman" w:hAnsi="Times New Roman"/>
                <w:sz w:val="22"/>
                <w:szCs w:val="22"/>
              </w:rPr>
              <w:t xml:space="preserve"> (or not) during the pandemic </w:t>
            </w:r>
          </w:p>
        </w:tc>
      </w:tr>
    </w:tbl>
    <w:p w14:paraId="2B914A14" w14:textId="7901F287" w:rsidR="00325421" w:rsidRPr="002E55DE" w:rsidRDefault="00A9401E" w:rsidP="003518AB">
      <w:pPr>
        <w:jc w:val="both"/>
        <w:rPr>
          <w:rFonts w:ascii="Times New Roman" w:eastAsiaTheme="minorEastAsia" w:hAnsi="Times New Roman"/>
          <w:sz w:val="20"/>
          <w:lang w:eastAsia="ko-KR"/>
        </w:rPr>
      </w:pPr>
      <w:r w:rsidRPr="002E55DE">
        <w:rPr>
          <w:rFonts w:ascii="Times New Roman" w:eastAsiaTheme="minorEastAsia" w:hAnsi="Times New Roman"/>
          <w:sz w:val="20"/>
          <w:vertAlign w:val="superscript"/>
          <w:lang w:eastAsia="ko-KR"/>
        </w:rPr>
        <w:t>a</w:t>
      </w:r>
      <w:r w:rsidR="006E415B" w:rsidRPr="002E55DE">
        <w:rPr>
          <w:rFonts w:ascii="Times New Roman" w:eastAsiaTheme="minorEastAsia" w:hAnsi="Times New Roman"/>
          <w:sz w:val="20"/>
          <w:vertAlign w:val="superscript"/>
          <w:lang w:eastAsia="ko-KR"/>
        </w:rPr>
        <w:t xml:space="preserve"> </w:t>
      </w:r>
      <w:r w:rsidRPr="002E55DE">
        <w:rPr>
          <w:rFonts w:ascii="Times New Roman" w:eastAsiaTheme="minorEastAsia" w:hAnsi="Times New Roman"/>
          <w:sz w:val="20"/>
          <w:lang w:eastAsia="ko-KR"/>
        </w:rPr>
        <w:t xml:space="preserve">Studies </w:t>
      </w:r>
      <w:r w:rsidR="00B47707" w:rsidRPr="002E55DE">
        <w:rPr>
          <w:rFonts w:ascii="Times New Roman" w:eastAsiaTheme="minorEastAsia" w:hAnsi="Times New Roman"/>
          <w:sz w:val="20"/>
          <w:lang w:eastAsia="ko-KR"/>
        </w:rPr>
        <w:t>covered walking behavior after the pandemic, but not focused on older adults</w:t>
      </w:r>
      <w:r w:rsidR="00221473" w:rsidRPr="002E55DE">
        <w:rPr>
          <w:rFonts w:ascii="Times New Roman" w:eastAsiaTheme="minorEastAsia" w:hAnsi="Times New Roman"/>
          <w:sz w:val="20"/>
          <w:lang w:eastAsia="ko-KR"/>
        </w:rPr>
        <w:t>.</w:t>
      </w:r>
    </w:p>
    <w:p w14:paraId="731E04A0" w14:textId="1260DD76" w:rsidR="00A9401E" w:rsidRPr="002E55DE" w:rsidRDefault="00A9401E" w:rsidP="003518AB">
      <w:pPr>
        <w:jc w:val="both"/>
        <w:rPr>
          <w:rFonts w:ascii="Times New Roman" w:eastAsiaTheme="minorEastAsia" w:hAnsi="Times New Roman"/>
          <w:sz w:val="20"/>
          <w:lang w:eastAsia="ko-KR"/>
        </w:rPr>
      </w:pPr>
      <w:r w:rsidRPr="002E55DE">
        <w:rPr>
          <w:rFonts w:ascii="Times New Roman" w:eastAsiaTheme="minorEastAsia" w:hAnsi="Times New Roman"/>
          <w:sz w:val="20"/>
          <w:vertAlign w:val="superscript"/>
          <w:lang w:eastAsia="ko-KR"/>
        </w:rPr>
        <w:t>b</w:t>
      </w:r>
      <w:r w:rsidR="006E415B" w:rsidRPr="002E55DE">
        <w:rPr>
          <w:rFonts w:ascii="Times New Roman" w:eastAsiaTheme="minorEastAsia" w:hAnsi="Times New Roman"/>
          <w:sz w:val="20"/>
          <w:vertAlign w:val="superscript"/>
          <w:lang w:eastAsia="ko-KR"/>
        </w:rPr>
        <w:t xml:space="preserve"> </w:t>
      </w:r>
      <w:r w:rsidR="00B47707" w:rsidRPr="002E55DE">
        <w:rPr>
          <w:rFonts w:ascii="Times New Roman" w:eastAsiaTheme="minorEastAsia" w:hAnsi="Times New Roman"/>
          <w:sz w:val="20"/>
          <w:lang w:eastAsia="ko-KR"/>
        </w:rPr>
        <w:t xml:space="preserve">RP = Revealed </w:t>
      </w:r>
      <w:r w:rsidR="005A72B6" w:rsidRPr="002E55DE">
        <w:rPr>
          <w:rFonts w:ascii="Times New Roman" w:eastAsiaTheme="minorEastAsia" w:hAnsi="Times New Roman"/>
          <w:sz w:val="20"/>
          <w:lang w:eastAsia="ko-KR"/>
        </w:rPr>
        <w:t>preference, SI = Stated intention</w:t>
      </w:r>
    </w:p>
    <w:p w14:paraId="044D92C6" w14:textId="6244746D" w:rsidR="00A9401E" w:rsidRPr="002E55DE" w:rsidRDefault="00A9401E" w:rsidP="003518AB">
      <w:pPr>
        <w:jc w:val="both"/>
        <w:rPr>
          <w:rFonts w:ascii="Times New Roman" w:eastAsiaTheme="minorEastAsia" w:hAnsi="Times New Roman"/>
          <w:sz w:val="20"/>
          <w:lang w:eastAsia="ko-KR"/>
        </w:rPr>
      </w:pPr>
      <w:r w:rsidRPr="002E55DE">
        <w:rPr>
          <w:rFonts w:ascii="Times New Roman" w:eastAsiaTheme="minorEastAsia" w:hAnsi="Times New Roman"/>
          <w:sz w:val="20"/>
          <w:vertAlign w:val="superscript"/>
          <w:lang w:eastAsia="ko-KR"/>
        </w:rPr>
        <w:t>c</w:t>
      </w:r>
      <w:r w:rsidR="006E415B" w:rsidRPr="002E55DE">
        <w:rPr>
          <w:rFonts w:ascii="Times New Roman" w:eastAsiaTheme="minorEastAsia" w:hAnsi="Times New Roman"/>
          <w:sz w:val="20"/>
          <w:vertAlign w:val="superscript"/>
          <w:lang w:eastAsia="ko-KR"/>
        </w:rPr>
        <w:t xml:space="preserve"> </w:t>
      </w:r>
      <w:r w:rsidR="005A72B6" w:rsidRPr="002E55DE">
        <w:rPr>
          <w:rFonts w:ascii="Times New Roman" w:eastAsiaTheme="minorEastAsia" w:hAnsi="Times New Roman"/>
          <w:sz w:val="20"/>
          <w:lang w:eastAsia="ko-KR"/>
        </w:rPr>
        <w:t xml:space="preserve">BE = Built environment, SD = </w:t>
      </w:r>
      <w:r w:rsidR="00E74F04" w:rsidRPr="002E55DE">
        <w:rPr>
          <w:rFonts w:ascii="Times New Roman" w:eastAsiaTheme="minorEastAsia" w:hAnsi="Times New Roman"/>
          <w:sz w:val="20"/>
          <w:lang w:eastAsia="ko-KR"/>
        </w:rPr>
        <w:t>Sociodemographic</w:t>
      </w:r>
      <w:r w:rsidR="005A72B6" w:rsidRPr="002E55DE">
        <w:rPr>
          <w:rFonts w:ascii="Times New Roman" w:eastAsiaTheme="minorEastAsia" w:hAnsi="Times New Roman"/>
          <w:sz w:val="20"/>
          <w:lang w:eastAsia="ko-KR"/>
        </w:rPr>
        <w:t xml:space="preserve">, </w:t>
      </w:r>
      <w:r w:rsidR="009D3585" w:rsidRPr="002E55DE">
        <w:rPr>
          <w:rFonts w:ascii="Times New Roman" w:eastAsiaTheme="minorEastAsia" w:hAnsi="Times New Roman"/>
          <w:sz w:val="20"/>
          <w:lang w:eastAsia="ko-KR"/>
        </w:rPr>
        <w:t>SES = Socioeconomic status, WFH = Work from home</w:t>
      </w:r>
    </w:p>
    <w:p w14:paraId="196A69F4" w14:textId="652677AC" w:rsidR="00AB3EAC" w:rsidRPr="002E55DE" w:rsidRDefault="00AB3EAC" w:rsidP="003518AB">
      <w:pPr>
        <w:jc w:val="both"/>
        <w:rPr>
          <w:rFonts w:ascii="Times New Roman" w:eastAsiaTheme="minorEastAsia" w:hAnsi="Times New Roman"/>
          <w:sz w:val="22"/>
          <w:szCs w:val="18"/>
          <w:lang w:eastAsia="ko-KR"/>
        </w:rPr>
      </w:pPr>
      <w:r w:rsidRPr="002E55DE">
        <w:rPr>
          <w:rFonts w:ascii="Times New Roman" w:eastAsiaTheme="minorEastAsia" w:hAnsi="Times New Roman"/>
          <w:sz w:val="20"/>
          <w:vertAlign w:val="superscript"/>
          <w:lang w:eastAsia="ko-KR"/>
        </w:rPr>
        <w:t>d</w:t>
      </w:r>
      <w:r w:rsidR="006E415B" w:rsidRPr="002E55DE">
        <w:rPr>
          <w:rFonts w:ascii="Times New Roman" w:eastAsiaTheme="minorEastAsia" w:hAnsi="Times New Roman"/>
          <w:sz w:val="20"/>
          <w:vertAlign w:val="superscript"/>
          <w:lang w:eastAsia="ko-KR"/>
        </w:rPr>
        <w:t xml:space="preserve"> </w:t>
      </w:r>
      <w:r w:rsidRPr="002E55DE">
        <w:rPr>
          <w:rFonts w:ascii="Times New Roman" w:eastAsiaTheme="minorEastAsia" w:hAnsi="Times New Roman"/>
          <w:sz w:val="20"/>
          <w:lang w:eastAsia="ko-KR"/>
        </w:rPr>
        <w:t>The dependent outcome was whether an individual walked 10 minutes or more in the week for utilitarian purposes and for recreational purposes</w:t>
      </w:r>
      <w:r w:rsidR="003518AB" w:rsidRPr="002E55DE">
        <w:rPr>
          <w:rFonts w:ascii="Times New Roman" w:eastAsiaTheme="minorEastAsia" w:hAnsi="Times New Roman"/>
          <w:sz w:val="20"/>
          <w:lang w:eastAsia="ko-KR"/>
        </w:rPr>
        <w:t>.</w:t>
      </w:r>
      <w:r w:rsidRPr="002E55DE">
        <w:rPr>
          <w:rFonts w:ascii="Times New Roman" w:eastAsiaTheme="minorEastAsia" w:hAnsi="Times New Roman"/>
          <w:sz w:val="22"/>
          <w:szCs w:val="18"/>
          <w:lang w:eastAsia="ko-KR"/>
        </w:rPr>
        <w:t xml:space="preserve"> </w:t>
      </w:r>
    </w:p>
    <w:p w14:paraId="28041407" w14:textId="77777777" w:rsidR="000E0D83" w:rsidRPr="002E55DE" w:rsidRDefault="000E0D83" w:rsidP="003518AB">
      <w:pPr>
        <w:ind w:firstLine="720"/>
        <w:jc w:val="both"/>
        <w:rPr>
          <w:rFonts w:ascii="Times New Roman" w:hAnsi="Times New Roman"/>
          <w:szCs w:val="24"/>
        </w:rPr>
      </w:pPr>
    </w:p>
    <w:p w14:paraId="2133E28E" w14:textId="3CA3CC43" w:rsidR="004D5323" w:rsidRPr="002E55DE" w:rsidRDefault="00A65D4C" w:rsidP="006E2022">
      <w:pPr>
        <w:autoSpaceDE w:val="0"/>
        <w:autoSpaceDN w:val="0"/>
        <w:adjustRightInd w:val="0"/>
        <w:ind w:firstLine="720"/>
        <w:jc w:val="both"/>
        <w:rPr>
          <w:rFonts w:ascii="Times New Roman" w:eastAsiaTheme="minorEastAsia" w:hAnsi="Times New Roman"/>
          <w:lang w:eastAsia="ko-KR"/>
        </w:rPr>
      </w:pPr>
      <w:bookmarkStart w:id="29" w:name="_Hlk169956781"/>
      <w:r w:rsidRPr="002E55DE">
        <w:rPr>
          <w:rFonts w:ascii="Times New Roman" w:hAnsi="Times New Roman"/>
          <w:szCs w:val="24"/>
        </w:rPr>
        <w:t xml:space="preserve">In this study, </w:t>
      </w:r>
      <w:r w:rsidR="0006405F" w:rsidRPr="002E55DE">
        <w:rPr>
          <w:rFonts w:ascii="Times New Roman" w:hAnsi="Times New Roman"/>
          <w:szCs w:val="24"/>
        </w:rPr>
        <w:t xml:space="preserve">and relative to the many studies summarized in Table 1, </w:t>
      </w:r>
      <w:r w:rsidRPr="002E55DE">
        <w:rPr>
          <w:rFonts w:ascii="Times New Roman" w:hAnsi="Times New Roman"/>
          <w:szCs w:val="24"/>
        </w:rPr>
        <w:t xml:space="preserve">we </w:t>
      </w:r>
      <w:r w:rsidR="00663DF1" w:rsidRPr="002E55DE">
        <w:rPr>
          <w:rFonts w:ascii="Times New Roman" w:hAnsi="Times New Roman"/>
          <w:szCs w:val="24"/>
        </w:rPr>
        <w:t xml:space="preserve">offer a novel analytic lens </w:t>
      </w:r>
      <w:r w:rsidRPr="002E55DE">
        <w:rPr>
          <w:rFonts w:ascii="Times New Roman" w:hAnsi="Times New Roman"/>
          <w:szCs w:val="24"/>
        </w:rPr>
        <w:t xml:space="preserve">to </w:t>
      </w:r>
      <w:r w:rsidR="00663DF1" w:rsidRPr="002E55DE">
        <w:rPr>
          <w:rFonts w:ascii="Times New Roman" w:hAnsi="Times New Roman"/>
          <w:szCs w:val="24"/>
        </w:rPr>
        <w:t>understan</w:t>
      </w:r>
      <w:r w:rsidRPr="002E55DE">
        <w:rPr>
          <w:rFonts w:ascii="Times New Roman" w:hAnsi="Times New Roman"/>
          <w:szCs w:val="24"/>
        </w:rPr>
        <w:t>d</w:t>
      </w:r>
      <w:r w:rsidR="00663DF1" w:rsidRPr="002E55DE">
        <w:rPr>
          <w:rFonts w:ascii="Times New Roman" w:hAnsi="Times New Roman"/>
          <w:szCs w:val="24"/>
        </w:rPr>
        <w:t xml:space="preserve"> </w:t>
      </w:r>
      <w:r w:rsidRPr="002E55DE">
        <w:rPr>
          <w:rFonts w:ascii="Times New Roman" w:hAnsi="Times New Roman"/>
          <w:szCs w:val="24"/>
        </w:rPr>
        <w:t xml:space="preserve">older adults’ </w:t>
      </w:r>
      <w:r w:rsidR="00663DF1" w:rsidRPr="002E55DE">
        <w:rPr>
          <w:rFonts w:ascii="Times New Roman" w:hAnsi="Times New Roman"/>
          <w:szCs w:val="24"/>
        </w:rPr>
        <w:t>walking behaviors</w:t>
      </w:r>
      <w:r w:rsidRPr="002E55DE">
        <w:rPr>
          <w:rFonts w:ascii="Times New Roman" w:hAnsi="Times New Roman"/>
          <w:szCs w:val="24"/>
        </w:rPr>
        <w:t>. In doing so,</w:t>
      </w:r>
      <w:r w:rsidR="00663DF1" w:rsidRPr="002E55DE">
        <w:rPr>
          <w:rFonts w:ascii="Times New Roman" w:hAnsi="Times New Roman"/>
          <w:szCs w:val="24"/>
        </w:rPr>
        <w:t xml:space="preserve"> </w:t>
      </w:r>
      <w:r w:rsidRPr="002E55DE">
        <w:rPr>
          <w:rFonts w:ascii="Times New Roman" w:hAnsi="Times New Roman"/>
          <w:szCs w:val="24"/>
        </w:rPr>
        <w:t>we contribute to the extant literature in many salient ways</w:t>
      </w:r>
      <w:r w:rsidR="00663DF1" w:rsidRPr="002E55DE">
        <w:rPr>
          <w:rFonts w:ascii="Times New Roman" w:hAnsi="Times New Roman"/>
          <w:szCs w:val="24"/>
        </w:rPr>
        <w:t xml:space="preserve">. </w:t>
      </w:r>
      <w:r w:rsidR="00663DF1" w:rsidRPr="002E55DE">
        <w:rPr>
          <w:rFonts w:ascii="Times New Roman" w:eastAsiaTheme="minorEastAsia" w:hAnsi="Times New Roman"/>
          <w:u w:val="single"/>
          <w:lang w:eastAsia="ko-KR"/>
        </w:rPr>
        <w:t>First</w:t>
      </w:r>
      <w:r w:rsidR="00663DF1" w:rsidRPr="002E55DE">
        <w:rPr>
          <w:rFonts w:ascii="Times New Roman" w:eastAsiaTheme="minorEastAsia" w:hAnsi="Times New Roman"/>
          <w:lang w:eastAsia="ko-KR"/>
        </w:rPr>
        <w:t xml:space="preserve">, our study </w:t>
      </w:r>
      <w:r w:rsidRPr="002E55DE">
        <w:rPr>
          <w:rFonts w:ascii="Times New Roman" w:eastAsiaTheme="minorEastAsia" w:hAnsi="Times New Roman"/>
          <w:lang w:eastAsia="ko-KR"/>
        </w:rPr>
        <w:t>uses revealed preference data</w:t>
      </w:r>
      <w:r w:rsidR="00D64C7C" w:rsidRPr="002E55DE">
        <w:rPr>
          <w:rStyle w:val="FootnoteReference"/>
        </w:rPr>
        <w:footnoteReference w:id="2"/>
      </w:r>
      <w:r w:rsidRPr="002E55DE">
        <w:rPr>
          <w:rFonts w:ascii="Times New Roman" w:eastAsiaTheme="minorEastAsia" w:hAnsi="Times New Roman"/>
          <w:lang w:eastAsia="ko-KR"/>
        </w:rPr>
        <w:t xml:space="preserve"> </w:t>
      </w:r>
      <w:r w:rsidR="00663DF1" w:rsidRPr="002E55DE">
        <w:rPr>
          <w:rFonts w:ascii="Times New Roman" w:eastAsiaTheme="minorEastAsia" w:hAnsi="Times New Roman"/>
          <w:lang w:eastAsia="ko-KR"/>
        </w:rPr>
        <w:t xml:space="preserve">on the walking habits of </w:t>
      </w:r>
      <w:r w:rsidR="007305E4" w:rsidRPr="002E55DE">
        <w:rPr>
          <w:rFonts w:ascii="Times New Roman" w:eastAsiaTheme="minorEastAsia" w:hAnsi="Times New Roman"/>
          <w:lang w:eastAsia="ko-KR"/>
        </w:rPr>
        <w:t>adults aged over 50</w:t>
      </w:r>
      <w:r w:rsidR="00663DF1" w:rsidRPr="002E55DE">
        <w:rPr>
          <w:rFonts w:ascii="Times New Roman" w:eastAsiaTheme="minorEastAsia" w:hAnsi="Times New Roman"/>
          <w:lang w:eastAsia="ko-KR"/>
        </w:rPr>
        <w:t xml:space="preserve"> </w:t>
      </w:r>
      <w:r w:rsidRPr="002E55DE">
        <w:rPr>
          <w:rFonts w:ascii="Times New Roman" w:eastAsiaTheme="minorEastAsia" w:hAnsi="Times New Roman"/>
          <w:lang w:eastAsia="ko-KR"/>
        </w:rPr>
        <w:t xml:space="preserve">from July 2022, </w:t>
      </w:r>
      <w:r w:rsidR="0006405F" w:rsidRPr="002E55DE">
        <w:rPr>
          <w:rFonts w:ascii="Times New Roman" w:eastAsiaTheme="minorEastAsia" w:hAnsi="Times New Roman"/>
          <w:lang w:eastAsia="ko-KR"/>
        </w:rPr>
        <w:t>at a time when</w:t>
      </w:r>
      <w:r w:rsidRPr="002E55DE">
        <w:rPr>
          <w:rFonts w:ascii="Times New Roman" w:eastAsiaTheme="minorEastAsia" w:hAnsi="Times New Roman"/>
          <w:lang w:eastAsia="ko-KR"/>
        </w:rPr>
        <w:t xml:space="preserve"> the worst of the pandemic was clearly in the </w:t>
      </w:r>
      <w:r w:rsidR="00204304" w:rsidRPr="002E55DE">
        <w:rPr>
          <w:rFonts w:ascii="Times New Roman" w:eastAsiaTheme="minorEastAsia" w:hAnsi="Times New Roman"/>
          <w:lang w:eastAsia="ko-KR"/>
        </w:rPr>
        <w:t>rear-view</w:t>
      </w:r>
      <w:r w:rsidRPr="002E55DE">
        <w:rPr>
          <w:rFonts w:ascii="Times New Roman" w:eastAsiaTheme="minorEastAsia" w:hAnsi="Times New Roman"/>
          <w:lang w:eastAsia="ko-KR"/>
        </w:rPr>
        <w:t xml:space="preserve"> mirror. Thus, our analysis should be able to </w:t>
      </w:r>
      <w:r w:rsidR="008D048C" w:rsidRPr="002E55DE">
        <w:rPr>
          <w:rFonts w:ascii="Times New Roman" w:eastAsiaTheme="minorEastAsia" w:hAnsi="Times New Roman"/>
          <w:lang w:eastAsia="ko-KR"/>
        </w:rPr>
        <w:t xml:space="preserve">provide a more stable and </w:t>
      </w:r>
      <w:r w:rsidRPr="002E55DE">
        <w:rPr>
          <w:rFonts w:ascii="Times New Roman" w:eastAsiaTheme="minorEastAsia" w:hAnsi="Times New Roman"/>
          <w:lang w:eastAsia="ko-KR"/>
        </w:rPr>
        <w:t xml:space="preserve">timely characterization </w:t>
      </w:r>
      <w:r w:rsidR="008D048C" w:rsidRPr="002E55DE">
        <w:rPr>
          <w:rFonts w:ascii="Times New Roman" w:eastAsiaTheme="minorEastAsia" w:hAnsi="Times New Roman"/>
          <w:lang w:eastAsia="ko-KR"/>
        </w:rPr>
        <w:t xml:space="preserve">of post-pandemic walking behaviors. </w:t>
      </w:r>
      <w:r w:rsidR="008E3673" w:rsidRPr="002E55DE">
        <w:rPr>
          <w:rFonts w:ascii="Times New Roman" w:hAnsi="Times New Roman"/>
        </w:rPr>
        <w:t xml:space="preserve">Our analysis is </w:t>
      </w:r>
      <w:r w:rsidR="00BF4EDE" w:rsidRPr="002E55DE">
        <w:rPr>
          <w:rFonts w:ascii="Times New Roman" w:hAnsi="Times New Roman"/>
        </w:rPr>
        <w:t xml:space="preserve">particularly relevant given the rapidly aging population in the United States </w:t>
      </w:r>
      <w:r w:rsidR="003123FA" w:rsidRPr="002E55DE">
        <w:rPr>
          <w:rFonts w:ascii="Times New Roman" w:hAnsi="Times New Roman"/>
        </w:rPr>
        <w:fldChar w:fldCharType="begin"/>
      </w:r>
      <w:r w:rsidR="00A254CC" w:rsidRPr="002E55DE">
        <w:rPr>
          <w:rFonts w:ascii="Times New Roman" w:hAnsi="Times New Roman"/>
        </w:rPr>
        <w:instrText xml:space="preserve"> ADDIN ZOTERO_ITEM CSL_CITATION {"citationID":"RUGOZTXk","properties":{"formattedCitation":"(Caplan, 2023)","plainCitation":"(Caplan, 2023)","noteIndex":0},"citationItems":[{"id":"4nY7bDZH/QPTcDthW","uris":["http://zotero.org/users/10132210/items/AY368235"],"itemData":{"id":1177,"type":"post-weblog","container-title":"United States Census Bureau","title":"U.S. Older Population Grew From 2010 to 2020 at Fastest Rate Since 1880 to 1890","URL":"https://www.census.gov/library/stories/2023/05/2020-census-united-states-older-population-grew.html","author":[{"family":"Caplan","given":"Zoe"}],"accessed":{"date-parts":[["2024",6,5]]},"issued":{"date-parts":[["2023"]]}}}],"schema":"https://github.com/citation-style-language/schema/raw/master/csl-citation.json"} </w:instrText>
      </w:r>
      <w:r w:rsidR="003123FA" w:rsidRPr="002E55DE">
        <w:rPr>
          <w:rFonts w:ascii="Times New Roman" w:hAnsi="Times New Roman"/>
        </w:rPr>
        <w:fldChar w:fldCharType="separate"/>
      </w:r>
      <w:r w:rsidR="003123FA" w:rsidRPr="002E55DE">
        <w:rPr>
          <w:rFonts w:ascii="Times New Roman" w:hAnsi="Times New Roman"/>
        </w:rPr>
        <w:t>(Caplan, 2023)</w:t>
      </w:r>
      <w:r w:rsidR="003123FA" w:rsidRPr="002E55DE">
        <w:rPr>
          <w:rFonts w:ascii="Times New Roman" w:hAnsi="Times New Roman"/>
        </w:rPr>
        <w:fldChar w:fldCharType="end"/>
      </w:r>
      <w:r w:rsidR="00663DF1" w:rsidRPr="002E55DE">
        <w:rPr>
          <w:rFonts w:ascii="Times New Roman" w:eastAsiaTheme="minorEastAsia" w:hAnsi="Times New Roman"/>
          <w:lang w:eastAsia="ko-KR"/>
        </w:rPr>
        <w:t>.</w:t>
      </w:r>
      <w:r w:rsidR="00FC597A" w:rsidRPr="002E55DE">
        <w:rPr>
          <w:rFonts w:ascii="Times New Roman" w:eastAsiaTheme="minorEastAsia" w:hAnsi="Times New Roman"/>
          <w:lang w:eastAsia="ko-KR"/>
        </w:rPr>
        <w:t xml:space="preserve"> </w:t>
      </w:r>
      <w:bookmarkStart w:id="30" w:name="_Hlk195707200"/>
      <w:r w:rsidR="008E3673" w:rsidRPr="002E55DE">
        <w:rPr>
          <w:rFonts w:ascii="Times New Roman" w:eastAsiaTheme="minorEastAsia" w:hAnsi="Times New Roman"/>
          <w:u w:val="single"/>
          <w:lang w:eastAsia="ko-KR"/>
        </w:rPr>
        <w:t>Second</w:t>
      </w:r>
      <w:r w:rsidR="00FC597A" w:rsidRPr="002E55DE">
        <w:rPr>
          <w:rFonts w:ascii="Times New Roman" w:eastAsiaTheme="minorEastAsia" w:hAnsi="Times New Roman"/>
          <w:lang w:eastAsia="ko-KR"/>
        </w:rPr>
        <w:t xml:space="preserve">, </w:t>
      </w:r>
      <w:r w:rsidR="00853655" w:rsidRPr="002E55DE">
        <w:rPr>
          <w:rFonts w:ascii="Times New Roman" w:eastAsiaTheme="minorEastAsia" w:hAnsi="Times New Roman"/>
          <w:lang w:eastAsia="ko-KR"/>
        </w:rPr>
        <w:t xml:space="preserve">to our knowledge, this is the first study to jointly model </w:t>
      </w:r>
      <w:r w:rsidR="00486A18" w:rsidRPr="002E55DE">
        <w:rPr>
          <w:rFonts w:ascii="Times New Roman" w:eastAsiaTheme="minorEastAsia" w:hAnsi="Times New Roman"/>
          <w:lang w:eastAsia="ko-KR"/>
        </w:rPr>
        <w:t xml:space="preserve">walking </w:t>
      </w:r>
      <w:r w:rsidR="00853655" w:rsidRPr="002E55DE">
        <w:rPr>
          <w:rFonts w:ascii="Times New Roman" w:eastAsiaTheme="minorEastAsia" w:hAnsi="Times New Roman"/>
          <w:lang w:eastAsia="ko-KR"/>
        </w:rPr>
        <w:t xml:space="preserve">frequency, duration, and </w:t>
      </w:r>
      <w:r w:rsidR="008E3673" w:rsidRPr="002E55DE">
        <w:rPr>
          <w:rFonts w:ascii="Times New Roman" w:eastAsiaTheme="minorEastAsia" w:hAnsi="Times New Roman"/>
          <w:lang w:eastAsia="ko-KR"/>
        </w:rPr>
        <w:t xml:space="preserve">social </w:t>
      </w:r>
      <w:r w:rsidR="00853655" w:rsidRPr="002E55DE">
        <w:rPr>
          <w:rFonts w:ascii="Times New Roman" w:eastAsiaTheme="minorEastAsia" w:hAnsi="Times New Roman"/>
          <w:lang w:eastAsia="ko-KR"/>
        </w:rPr>
        <w:t>companionship</w:t>
      </w:r>
      <w:r w:rsidR="00E92F0E" w:rsidRPr="002E55DE">
        <w:rPr>
          <w:rFonts w:ascii="Times New Roman" w:eastAsiaTheme="minorEastAsia" w:hAnsi="Times New Roman"/>
          <w:lang w:eastAsia="ko-KR"/>
        </w:rPr>
        <w:t xml:space="preserve"> </w:t>
      </w:r>
      <w:r w:rsidR="00E92F0E" w:rsidRPr="002E55DE">
        <w:t>as interrelated dependent variables</w:t>
      </w:r>
      <w:r w:rsidR="00486A18" w:rsidRPr="002E55DE">
        <w:rPr>
          <w:rFonts w:ascii="Times New Roman" w:eastAsiaTheme="minorEastAsia" w:hAnsi="Times New Roman"/>
          <w:lang w:eastAsia="ko-KR"/>
        </w:rPr>
        <w:t>. Earlier studies,</w:t>
      </w:r>
      <w:r w:rsidR="00150AE4" w:rsidRPr="002E55DE">
        <w:t xml:space="preserve"> as highlighted in our preceding discussion</w:t>
      </w:r>
      <w:r w:rsidR="00486A18" w:rsidRPr="002E55DE">
        <w:rPr>
          <w:rFonts w:ascii="Times New Roman" w:eastAsiaTheme="minorEastAsia" w:hAnsi="Times New Roman"/>
          <w:lang w:eastAsia="ko-KR"/>
        </w:rPr>
        <w:t xml:space="preserve"> and </w:t>
      </w:r>
      <w:r w:rsidR="00150AE4" w:rsidRPr="002E55DE">
        <w:rPr>
          <w:rFonts w:ascii="Times New Roman" w:eastAsiaTheme="minorEastAsia" w:hAnsi="Times New Roman"/>
          <w:lang w:eastAsia="ko-KR"/>
        </w:rPr>
        <w:t xml:space="preserve">with the </w:t>
      </w:r>
      <w:r w:rsidR="00486A18" w:rsidRPr="002E55DE">
        <w:rPr>
          <w:rFonts w:ascii="Times New Roman" w:eastAsiaTheme="minorEastAsia" w:hAnsi="Times New Roman"/>
          <w:lang w:eastAsia="ko-KR"/>
        </w:rPr>
        <w:t>except</w:t>
      </w:r>
      <w:r w:rsidR="00150AE4" w:rsidRPr="002E55DE">
        <w:rPr>
          <w:rFonts w:ascii="Times New Roman" w:eastAsiaTheme="minorEastAsia" w:hAnsi="Times New Roman"/>
          <w:lang w:eastAsia="ko-KR"/>
        </w:rPr>
        <w:t>ion</w:t>
      </w:r>
      <w:r w:rsidR="00486A18" w:rsidRPr="002E55DE">
        <w:rPr>
          <w:rFonts w:ascii="Times New Roman" w:eastAsiaTheme="minorEastAsia" w:hAnsi="Times New Roman"/>
          <w:lang w:eastAsia="ko-KR"/>
        </w:rPr>
        <w:t xml:space="preserve"> </w:t>
      </w:r>
      <w:r w:rsidR="00150AE4" w:rsidRPr="002E55DE">
        <w:rPr>
          <w:rFonts w:ascii="Times New Roman" w:eastAsiaTheme="minorEastAsia" w:hAnsi="Times New Roman"/>
          <w:lang w:eastAsia="ko-KR"/>
        </w:rPr>
        <w:t>o</w:t>
      </w:r>
      <w:r w:rsidR="00486A18" w:rsidRPr="002E55DE">
        <w:rPr>
          <w:rFonts w:ascii="Times New Roman" w:eastAsiaTheme="minorEastAsia" w:hAnsi="Times New Roman"/>
          <w:lang w:eastAsia="ko-KR"/>
        </w:rPr>
        <w:t xml:space="preserve">f Yang et al. (2022), </w:t>
      </w:r>
      <w:r w:rsidR="00150AE4" w:rsidRPr="002E55DE">
        <w:rPr>
          <w:rFonts w:ascii="Times New Roman" w:eastAsiaTheme="minorEastAsia" w:hAnsi="Times New Roman"/>
          <w:lang w:eastAsia="ko-KR"/>
        </w:rPr>
        <w:t xml:space="preserve">have predominantly focused on analyzing </w:t>
      </w:r>
      <w:r w:rsidR="00486A18" w:rsidRPr="002E55DE">
        <w:rPr>
          <w:rFonts w:ascii="Times New Roman" w:eastAsiaTheme="minorEastAsia" w:hAnsi="Times New Roman"/>
          <w:lang w:eastAsia="ko-KR"/>
        </w:rPr>
        <w:t>a single dimension</w:t>
      </w:r>
      <w:r w:rsidR="00150AE4" w:rsidRPr="002E55DE">
        <w:rPr>
          <w:rFonts w:ascii="Times New Roman" w:eastAsiaTheme="minorEastAsia" w:hAnsi="Times New Roman"/>
          <w:lang w:eastAsia="ko-KR"/>
        </w:rPr>
        <w:t xml:space="preserve"> in isolation. </w:t>
      </w:r>
      <w:r w:rsidR="00E92F0E" w:rsidRPr="002E55DE">
        <w:rPr>
          <w:rFonts w:ascii="Times New Roman" w:eastAsiaTheme="minorEastAsia" w:hAnsi="Times New Roman"/>
          <w:lang w:eastAsia="ko-KR"/>
        </w:rPr>
        <w:t>Even when considering multiple dimensions, previous research has typically treated secondary dimensions (such as social companionship) as exogenous predictors influencing the primary outcome of interest (e.g., walking frequency or duration) rather than as endogenously determined variables</w:t>
      </w:r>
      <w:r w:rsidR="00793B3E" w:rsidRPr="002E55DE">
        <w:rPr>
          <w:rFonts w:ascii="Times New Roman" w:eastAsiaTheme="minorEastAsia" w:hAnsi="Times New Roman" w:hint="eastAsia"/>
          <w:lang w:eastAsia="ko-KR"/>
        </w:rPr>
        <w:t xml:space="preserve"> </w:t>
      </w:r>
      <w:r w:rsidR="00793B3E"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{"citationID":"3IfV82Qp","properties":{"formattedCitation":"(Kritz et al., 2021; Xiong et al., 2021)","plainCitation":"(Kritz et al., 2021; Xiong et al., 2021)","noteIndex":0},"citationItems":[{"id":"4nY7bDZH/Hbiv06zS","uris":["http://zotero.org/users/10132210/items/9F5FSKLX"],"itemData":{"id":947,"type":"article-journal","abstract":"The authors examined whether purposeful walking with peers at least once a week contributes to better behavioral and health outcomes in older adults than primarily walking alone. The authors used a longitudinal cohort design and recruited participants aged 60 years and older (N = 136) at the start of a 16-week walking intervention. Participants who walked on average at least once a week in the ﬁnal 8 weeks of the intervention were included in the analysis (N = 79; 66 females, Mage [SD] = 77.73 [6.91]). The authors found that autonomous motivation, walking self-efﬁcacy, functional capacity, body fat, and physical activity improved more in the walking with peers group compared with the walking alone group, after controlling for whether participants lived alone/with others and their health status. The results extend current literature by providing longitudinal evidence for the added beneﬁts of regular peer-accompanied walking in older adults and highlight the importance of investing in peer-supported interventions.","container-title":"Journal of Aging and Physical Activity","DOI":"10.1123/japa.2020-0091","ISSN":"1063-8652, 1543-267X","issue":"3","language":"en","page":"455-465","source":"DOI.org (Crossref)","title":"“It’s Better Together”: A Nested Longitudinal Study Examining the Benefits of Walking Regularly With Peers Versus Primarily Alone in Older Adults","title-short":"“It’s Better Together”","volume":"29","author":[{"family":"Kritz","given":"Marlene"},{"family":"Thøgersen-Ntoumani","given":"Cecilie"},{"family":"Mullan","given":"Barbara"},{"family":"Stathi","given":"Afroditi"},{"family":"Ntoumanis","given":"Nikos"}],"issued":{"date-parts":[["2021",6,1]]}}},{"id":"4nY7bDZH/tYQiwJct","uris":["http://zotero.org/users/10132210/items/GPW5SZQX"],"itemData":{"id":2352,"type":"article-journal","abstract":"Companionship is the most important social support factor in physical activities, but the inﬂuence of companionship on the daily physical activities of Chinese people in the square is not clear. The ordered logistic regression was conducted to identify the companionship and physical activities associated with the physical and mental health of residents (n = 196). The results show that companionship has direct and indirect effects on mental health, and companionship acts on physical health through physical activity in public squares. Our research understands the use of public open space (POS) from the perspective of companionship and provides a new perspective for improving the sociality of POS design.","container-title":"Land","DOI":"10.3390/land10070720","ISSN":"2073-445X","issue":"7","journalAbbreviation":"Land","language":"en","license":"https://creativecommons.org/licenses/by/4.0/","page":"720","source":"DOI.org (Crossref)","title":"Physical Activities in Public Squares: The Impact of Companionship on Chinese Residents’ Health","title-short":"Physical Activities in Public Squares","volume":"10","author":[{"family":"Xiong","given":"Xiuhai"},{"family":"Liu","given":"Lingbo"},{"family":"Peng","given":"Zhenghong"},{"family":"Wu","given":"Hao"}],"issued":{"date-parts":[["2021",7,8]]}}}],"schema":"https://github.com/citation-style-language/schema/raw/master/csl-citation.json"} </w:instrText>
      </w:r>
      <w:r w:rsidR="00793B3E" w:rsidRPr="002E55DE">
        <w:rPr>
          <w:rFonts w:ascii="Times New Roman" w:eastAsiaTheme="minorEastAsia" w:hAnsi="Times New Roman"/>
          <w:lang w:eastAsia="ko-KR"/>
        </w:rPr>
        <w:fldChar w:fldCharType="separate"/>
      </w:r>
      <w:r w:rsidR="00793B3E" w:rsidRPr="002E55DE">
        <w:rPr>
          <w:rFonts w:ascii="Times New Roman" w:hAnsi="Times New Roman"/>
        </w:rPr>
        <w:t>(Kritz et al., 2021; Xiong et al., 2021)</w:t>
      </w:r>
      <w:r w:rsidR="00793B3E" w:rsidRPr="002E55DE">
        <w:rPr>
          <w:rFonts w:ascii="Times New Roman" w:eastAsiaTheme="minorEastAsia" w:hAnsi="Times New Roman"/>
          <w:lang w:eastAsia="ko-KR"/>
        </w:rPr>
        <w:fldChar w:fldCharType="end"/>
      </w:r>
      <w:r w:rsidR="00150AE4" w:rsidRPr="002E55DE">
        <w:rPr>
          <w:rFonts w:ascii="Times New Roman" w:eastAsiaTheme="minorEastAsia" w:hAnsi="Times New Roman"/>
          <w:lang w:eastAsia="ko-KR"/>
        </w:rPr>
        <w:t xml:space="preserve">. </w:t>
      </w:r>
      <w:r w:rsidR="00E92F0E" w:rsidRPr="002E55DE">
        <w:t>This approach fails to capture both the true causal effects between the dimensions and the correlations due to unobserved variables affecting all three simultaneously.</w:t>
      </w:r>
      <w:r w:rsidR="006E2022" w:rsidRPr="002E55DE">
        <w:rPr>
          <w:rFonts w:ascii="Times New Roman" w:eastAsiaTheme="minorEastAsia" w:hAnsi="Times New Roman"/>
          <w:lang w:eastAsia="ko-KR"/>
        </w:rPr>
        <w:t xml:space="preserve"> </w:t>
      </w:r>
      <w:r w:rsidR="00E92F0E" w:rsidRPr="002E55DE">
        <w:rPr>
          <w:rFonts w:ascii="Times New Roman" w:eastAsiaTheme="minorEastAsia" w:hAnsi="Times New Roman"/>
          <w:lang w:eastAsia="ko-KR"/>
        </w:rPr>
        <w:t xml:space="preserve">For example, certain unobserved personality traits (such as extroversion) might predispose individuals to prefer both longer and more social walks. Single-equation models would incorrectly attribute this correlation directly to a causal relationship between duration and companionship, claiming that social walking </w:t>
      </w:r>
      <w:r w:rsidR="006E2022" w:rsidRPr="002E55DE">
        <w:rPr>
          <w:rFonts w:ascii="Times New Roman" w:eastAsiaTheme="minorEastAsia" w:hAnsi="Times New Roman"/>
          <w:lang w:eastAsia="ko-KR"/>
        </w:rPr>
        <w:t>“</w:t>
      </w:r>
      <w:r w:rsidR="00E92F0E" w:rsidRPr="002E55DE">
        <w:rPr>
          <w:rFonts w:ascii="Times New Roman" w:eastAsiaTheme="minorEastAsia" w:hAnsi="Times New Roman"/>
          <w:lang w:eastAsia="ko-KR"/>
        </w:rPr>
        <w:t>causes</w:t>
      </w:r>
      <w:r w:rsidR="006E2022" w:rsidRPr="002E55DE">
        <w:rPr>
          <w:rFonts w:ascii="Times New Roman" w:eastAsiaTheme="minorEastAsia" w:hAnsi="Times New Roman"/>
          <w:lang w:eastAsia="ko-KR"/>
        </w:rPr>
        <w:t>”</w:t>
      </w:r>
      <w:r w:rsidR="00E92F0E" w:rsidRPr="002E55DE">
        <w:rPr>
          <w:rFonts w:ascii="Times New Roman" w:eastAsiaTheme="minorEastAsia" w:hAnsi="Times New Roman"/>
          <w:lang w:eastAsia="ko-KR"/>
        </w:rPr>
        <w:t xml:space="preserve"> longer durations.</w:t>
      </w:r>
      <w:r w:rsidR="006E2022" w:rsidRPr="002E55DE">
        <w:rPr>
          <w:rFonts w:ascii="Times New Roman" w:eastAsiaTheme="minorEastAsia" w:hAnsi="Times New Roman"/>
          <w:lang w:eastAsia="ko-KR"/>
        </w:rPr>
        <w:t xml:space="preserve"> </w:t>
      </w:r>
      <w:r w:rsidR="006E2022" w:rsidRPr="002E55DE">
        <w:t xml:space="preserve">Our joint modeling methodology addresses these limitations by explicitly modeling the correlation structure among frequency, duration, and companionship. This methodological distinction produces more accurate estimates of how sociodemographic characteristics influence each walking dimension and </w:t>
      </w:r>
      <w:r w:rsidR="006E2022" w:rsidRPr="002E55DE">
        <w:rPr>
          <w:rFonts w:ascii="Times New Roman" w:eastAsiaTheme="minorEastAsia" w:hAnsi="Times New Roman"/>
          <w:lang w:eastAsia="ko-KR"/>
        </w:rPr>
        <w:t>provides a clearer understanding of the true relationships between frequency, duration, and companionship choices.</w:t>
      </w:r>
      <w:bookmarkEnd w:id="30"/>
      <w:r w:rsidR="00486A18" w:rsidRPr="002E55DE">
        <w:rPr>
          <w:rFonts w:ascii="Times New Roman" w:eastAsiaTheme="minorEastAsia" w:hAnsi="Times New Roman"/>
          <w:lang w:eastAsia="ko-KR"/>
        </w:rPr>
        <w:t xml:space="preserve"> </w:t>
      </w:r>
      <w:r w:rsidR="004D5323" w:rsidRPr="002E55DE">
        <w:rPr>
          <w:rFonts w:ascii="Times New Roman" w:eastAsiaTheme="minorEastAsia" w:hAnsi="Times New Roman"/>
          <w:u w:val="single"/>
          <w:lang w:eastAsia="ko-KR"/>
        </w:rPr>
        <w:t>Third</w:t>
      </w:r>
      <w:r w:rsidR="004D5323" w:rsidRPr="002E55DE">
        <w:rPr>
          <w:rFonts w:ascii="Times New Roman" w:eastAsiaTheme="minorEastAsia" w:hAnsi="Times New Roman"/>
          <w:lang w:eastAsia="ko-KR"/>
        </w:rPr>
        <w:t xml:space="preserve">, as again should be obvious from Table 1, most earlier studies have </w:t>
      </w:r>
      <w:r w:rsidR="00513756" w:rsidRPr="002E55DE">
        <w:rPr>
          <w:rFonts w:ascii="Times New Roman" w:eastAsiaTheme="minorEastAsia" w:hAnsi="Times New Roman"/>
          <w:lang w:eastAsia="ko-KR"/>
        </w:rPr>
        <w:t xml:space="preserve">exclusively </w:t>
      </w:r>
      <w:r w:rsidR="004D5323" w:rsidRPr="002E55DE">
        <w:rPr>
          <w:rFonts w:ascii="Times New Roman" w:eastAsiaTheme="minorEastAsia" w:hAnsi="Times New Roman"/>
          <w:lang w:eastAsia="ko-KR"/>
        </w:rPr>
        <w:t>investigated BE effects on walking behavior, ostensibly because BE measures are viewed as the main policy lever for planners to promote walking.</w:t>
      </w:r>
      <w:r w:rsidR="001D2F35" w:rsidRPr="002E55DE">
        <w:t xml:space="preserve"> While we </w:t>
      </w:r>
      <w:r w:rsidR="001D2F35" w:rsidRPr="002E55DE">
        <w:lastRenderedPageBreak/>
        <w:t xml:space="preserve">acknowledge the theoretical importance of </w:t>
      </w:r>
      <w:r w:rsidR="00513756" w:rsidRPr="002E55DE">
        <w:t>BE</w:t>
      </w:r>
      <w:r w:rsidR="001D2F35" w:rsidRPr="002E55DE">
        <w:t xml:space="preserve"> factors in influencing walking behavior, our research deliberately focuses on examining individual and companionship factors.</w:t>
      </w:r>
      <w:r w:rsidR="00150AE4" w:rsidRPr="002E55DE">
        <w:t xml:space="preserve"> </w:t>
      </w:r>
      <w:r w:rsidR="001D2F35" w:rsidRPr="002E55DE">
        <w:rPr>
          <w:rFonts w:ascii="Times New Roman" w:eastAsiaTheme="minorEastAsia" w:hAnsi="Times New Roman"/>
          <w:lang w:eastAsia="ko-KR"/>
        </w:rPr>
        <w:t>I</w:t>
      </w:r>
      <w:r w:rsidR="004D5323" w:rsidRPr="002E55DE">
        <w:rPr>
          <w:rFonts w:ascii="Times New Roman" w:eastAsiaTheme="minorEastAsia" w:hAnsi="Times New Roman"/>
          <w:lang w:eastAsia="ko-KR"/>
        </w:rPr>
        <w:t>n the aftermath of the pandemic, when fundamental walking behaviors</w:t>
      </w:r>
      <w:r w:rsidR="0006405F" w:rsidRPr="002E55DE">
        <w:rPr>
          <w:rFonts w:ascii="Times New Roman" w:eastAsiaTheme="minorEastAsia" w:hAnsi="Times New Roman"/>
          <w:lang w:eastAsia="ko-KR"/>
        </w:rPr>
        <w:t xml:space="preserve"> </w:t>
      </w:r>
      <w:r w:rsidR="004D5323" w:rsidRPr="002E55DE">
        <w:rPr>
          <w:rFonts w:ascii="Times New Roman" w:eastAsiaTheme="minorEastAsia" w:hAnsi="Times New Roman"/>
          <w:lang w:eastAsia="ko-KR"/>
        </w:rPr>
        <w:t xml:space="preserve">have shifted, the role of sociodemographic variables and social companionship considerations should not be underplayed. In fact, a better understanding of </w:t>
      </w:r>
      <w:bookmarkStart w:id="31" w:name="_Hlk195625428"/>
      <w:r w:rsidR="004D5323" w:rsidRPr="002E55DE">
        <w:rPr>
          <w:rFonts w:ascii="Times New Roman" w:eastAsiaTheme="minorEastAsia" w:hAnsi="Times New Roman"/>
          <w:lang w:eastAsia="ko-KR"/>
        </w:rPr>
        <w:t xml:space="preserve">individual and companionship factors </w:t>
      </w:r>
      <w:bookmarkEnd w:id="31"/>
      <w:r w:rsidR="004D5323" w:rsidRPr="002E55DE">
        <w:rPr>
          <w:rFonts w:ascii="Times New Roman" w:eastAsiaTheme="minorEastAsia" w:hAnsi="Times New Roman"/>
          <w:lang w:eastAsia="ko-KR"/>
        </w:rPr>
        <w:t>can provide fundamental insights</w:t>
      </w:r>
      <w:r w:rsidR="0006405F" w:rsidRPr="002E55DE">
        <w:rPr>
          <w:rFonts w:ascii="Times New Roman" w:eastAsiaTheme="minorEastAsia" w:hAnsi="Times New Roman"/>
          <w:lang w:eastAsia="ko-KR"/>
        </w:rPr>
        <w:t xml:space="preserve"> that </w:t>
      </w:r>
      <w:r w:rsidR="004D5323" w:rsidRPr="002E55DE">
        <w:rPr>
          <w:rFonts w:ascii="Times New Roman" w:eastAsiaTheme="minorEastAsia" w:hAnsi="Times New Roman"/>
          <w:lang w:eastAsia="ko-KR"/>
        </w:rPr>
        <w:t xml:space="preserve">promote walking in the post-pandemic era and </w:t>
      </w:r>
      <w:r w:rsidR="0006405F" w:rsidRPr="002E55DE">
        <w:rPr>
          <w:rFonts w:ascii="Times New Roman" w:eastAsiaTheme="minorEastAsia" w:hAnsi="Times New Roman"/>
          <w:lang w:eastAsia="ko-KR"/>
        </w:rPr>
        <w:t xml:space="preserve">inform the design of </w:t>
      </w:r>
      <w:r w:rsidR="004D5323" w:rsidRPr="002E55DE">
        <w:rPr>
          <w:rFonts w:ascii="Times New Roman" w:eastAsiaTheme="minorEastAsia" w:hAnsi="Times New Roman"/>
          <w:lang w:eastAsia="ko-KR"/>
        </w:rPr>
        <w:t xml:space="preserve">sustainable </w:t>
      </w:r>
      <w:r w:rsidR="00B41242" w:rsidRPr="002E55DE">
        <w:rPr>
          <w:rFonts w:ascii="Times New Roman" w:eastAsiaTheme="minorEastAsia" w:hAnsi="Times New Roman"/>
          <w:lang w:eastAsia="ko-KR"/>
        </w:rPr>
        <w:t>urban systems</w:t>
      </w:r>
      <w:r w:rsidR="004D5323" w:rsidRPr="002E55DE">
        <w:rPr>
          <w:rFonts w:ascii="Times New Roman" w:eastAsiaTheme="minorEastAsia" w:hAnsi="Times New Roman"/>
          <w:lang w:eastAsia="ko-KR"/>
        </w:rPr>
        <w:t xml:space="preserve">. </w:t>
      </w:r>
      <w:r w:rsidR="00A01980" w:rsidRPr="002E55DE">
        <w:rPr>
          <w:rFonts w:ascii="Times New Roman" w:eastAsiaTheme="minorEastAsia" w:hAnsi="Times New Roman"/>
          <w:lang w:eastAsia="ko-KR"/>
        </w:rPr>
        <w:t>Besides, as indicated by</w:t>
      </w:r>
      <w:r w:rsidR="00527A5E" w:rsidRPr="002E55DE">
        <w:rPr>
          <w:rFonts w:ascii="Times New Roman" w:eastAsiaTheme="minorEastAsia" w:hAnsi="Times New Roman" w:hint="eastAsia"/>
          <w:lang w:eastAsia="ko-KR"/>
        </w:rPr>
        <w:t xml:space="preserve"> </w:t>
      </w:r>
      <w:r w:rsidR="00527A5E"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{"citationID":"6CtL5hbH","properties":{"formattedCitation":"(Paydar &amp; Fard, 2021)","plainCitation":"(Paydar &amp; Fard, 2021)","dontUpdate":true,"noteIndex":0},"citationItems":[{"id":"4nY7bDZH/pWIThjxA","uris":["http://zotero.org/users/10132210/items/YUDDF8UN"],"itemData":{"id":1606,"type":"article-journal","abstract":"The improvement of walking contributes to maintain the minimum rate of physical activity and therefore the residents’ public health. This is while the amount of walking in daily transport of inhabitants has signiﬁcantly decreased during the last decades in Temuco, Chile. In addition, the impact of socio-demographic as well as social factors on the improvement of walking behavior has been paid less attention in previous studies. This study aims to examine the contribution of socio-demographic factors and the active family environment to walking behavior as well as walking level based on three types of destinations in Temuco. The results of “Encuesta Origin Destino” (EOD) in Temuco were used to examine the objectives. It was found that a high percentage of people who walk in Temuco belong to low-income families. Moreover, most of the people who walk, do not have a driver’s license nor private cars in their household. Certain socio-demographic factors such as age, gender, driver’s license, private cars, and access to TV were found to have associations with overall walking behavior as well as walking level depending on three different destination types. Furthermore, the correlation was found between walking behavior and active family environment. These ﬁndings were discussed and their implications were addressed as well.","container-title":"Social Sciences","DOI":"10.3390/socsci10120479","ISSN":"2076-0760","issue":"12","journalAbbreviation":"Social Sciences","language":"en","license":"https://creativecommons.org/licenses/by/4.0/","page":"479","source":"DOI.org (Crossref)","title":"The Contribution of Socio-Demographic Factors to Walking Behavior Considering Destination Types; Case Study: Temuco, Chile","title-short":"The Contribution of Socio-Demographic Factors to Walking Behavior Considering Destination Types; Case Study","volume":"10","author":[{"family":"Paydar","given":"Mohammad"},{"family":"Fard","given":"Asal Kamani"}],"issued":{"date-parts":[["2021",12,15]]}}}],"schema":"https://github.com/citation-style-language/schema/raw/master/csl-citation.json"} </w:instrText>
      </w:r>
      <w:r w:rsidR="00527A5E" w:rsidRPr="002E55DE">
        <w:rPr>
          <w:rFonts w:ascii="Times New Roman" w:eastAsiaTheme="minorEastAsia" w:hAnsi="Times New Roman"/>
          <w:lang w:eastAsia="ko-KR"/>
        </w:rPr>
        <w:fldChar w:fldCharType="separate"/>
      </w:r>
      <w:r w:rsidR="00527A5E" w:rsidRPr="002E55DE">
        <w:rPr>
          <w:rFonts w:ascii="Times New Roman" w:hAnsi="Times New Roman"/>
        </w:rPr>
        <w:t xml:space="preserve">Paydar </w:t>
      </w:r>
      <w:r w:rsidR="00386276" w:rsidRPr="002E55DE">
        <w:rPr>
          <w:rFonts w:ascii="Times New Roman" w:eastAsiaTheme="minorEastAsia" w:hAnsi="Times New Roman" w:hint="eastAsia"/>
          <w:lang w:eastAsia="ko-KR"/>
        </w:rPr>
        <w:t>and</w:t>
      </w:r>
      <w:r w:rsidR="00527A5E" w:rsidRPr="002E55DE">
        <w:rPr>
          <w:rFonts w:ascii="Times New Roman" w:hAnsi="Times New Roman"/>
        </w:rPr>
        <w:t xml:space="preserve"> Fard </w:t>
      </w:r>
      <w:r w:rsidR="00386276" w:rsidRPr="002E55DE">
        <w:rPr>
          <w:rFonts w:ascii="Times New Roman" w:eastAsiaTheme="minorEastAsia" w:hAnsi="Times New Roman" w:hint="eastAsia"/>
          <w:lang w:eastAsia="ko-KR"/>
        </w:rPr>
        <w:t>(</w:t>
      </w:r>
      <w:r w:rsidR="00527A5E" w:rsidRPr="002E55DE">
        <w:rPr>
          <w:rFonts w:ascii="Times New Roman" w:hAnsi="Times New Roman"/>
        </w:rPr>
        <w:t>2021)</w:t>
      </w:r>
      <w:r w:rsidR="00527A5E" w:rsidRPr="002E55DE">
        <w:rPr>
          <w:rFonts w:ascii="Times New Roman" w:eastAsiaTheme="minorEastAsia" w:hAnsi="Times New Roman"/>
          <w:lang w:eastAsia="ko-KR"/>
        </w:rPr>
        <w:fldChar w:fldCharType="end"/>
      </w:r>
      <w:r w:rsidR="00A01980" w:rsidRPr="002E55DE">
        <w:rPr>
          <w:rFonts w:ascii="Times New Roman" w:eastAsiaTheme="minorEastAsia" w:hAnsi="Times New Roman"/>
          <w:lang w:eastAsia="ko-KR"/>
        </w:rPr>
        <w:t xml:space="preserve">, </w:t>
      </w:r>
      <w:r w:rsidR="00A01980" w:rsidRPr="002E55DE">
        <w:rPr>
          <w:rFonts w:ascii="Times New Roman" w:eastAsiaTheme="minorEastAsia" w:hAnsi="Times New Roman"/>
          <w:szCs w:val="24"/>
          <w:lang w:eastAsia="ko-KR"/>
        </w:rPr>
        <w:t>“</w:t>
      </w:r>
      <w:r w:rsidR="00A01980" w:rsidRPr="002E55DE">
        <w:rPr>
          <w:rFonts w:ascii="Times New Roman" w:eastAsia="Malgun Gothic" w:hAnsi="Times New Roman"/>
          <w:szCs w:val="24"/>
        </w:rPr>
        <w:t>…</w:t>
      </w:r>
      <w:r w:rsidR="003768C0">
        <w:rPr>
          <w:rFonts w:ascii="Times New Roman" w:eastAsia="Malgun Gothic" w:hAnsi="Times New Roman"/>
          <w:szCs w:val="24"/>
        </w:rPr>
        <w:t xml:space="preserve"> </w:t>
      </w:r>
      <w:r w:rsidR="00A01980" w:rsidRPr="002E55DE">
        <w:rPr>
          <w:rFonts w:ascii="Times New Roman" w:eastAsia="Malgun Gothic" w:hAnsi="Times New Roman"/>
          <w:szCs w:val="24"/>
        </w:rPr>
        <w:t>the previous studies on walking behavior mostly focused on the contribution of built environment to walking behavior, whereas the role of socio-demographic as well as social factors in improvement of walking behavior has been less studied”.</w:t>
      </w:r>
      <w:r w:rsidR="00DD6936" w:rsidRPr="002E55DE">
        <w:rPr>
          <w:rStyle w:val="FootnoteReference"/>
        </w:rPr>
        <w:footnoteReference w:id="3"/>
      </w:r>
      <w:r w:rsidR="00A01980" w:rsidRPr="002E55DE">
        <w:rPr>
          <w:rFonts w:ascii="Times New Roman" w:eastAsia="Malgun Gothic" w:hAnsi="Times New Roman"/>
          <w:szCs w:val="24"/>
        </w:rPr>
        <w:t xml:space="preserve"> </w:t>
      </w:r>
    </w:p>
    <w:p w14:paraId="3DE5A7C9" w14:textId="64E7DB1C" w:rsidR="003518AB" w:rsidRPr="002E55DE" w:rsidRDefault="00A855F6" w:rsidP="003518AB">
      <w:pPr>
        <w:ind w:firstLine="720"/>
        <w:jc w:val="both"/>
        <w:rPr>
          <w:rFonts w:ascii="Times New Roman" w:hAnsi="Times New Roman"/>
        </w:rPr>
      </w:pPr>
      <w:r w:rsidRPr="002E55DE">
        <w:rPr>
          <w:rFonts w:ascii="Times New Roman" w:eastAsiaTheme="minorEastAsia" w:hAnsi="Times New Roman"/>
          <w:lang w:eastAsia="ko-KR"/>
        </w:rPr>
        <w:t xml:space="preserve">Figure 1 illustrates the </w:t>
      </w:r>
      <w:r w:rsidR="00B41242" w:rsidRPr="002E55DE">
        <w:rPr>
          <w:rFonts w:ascii="Times New Roman" w:eastAsiaTheme="minorEastAsia" w:hAnsi="Times New Roman"/>
          <w:lang w:eastAsia="ko-KR"/>
        </w:rPr>
        <w:t>conceptual/analytic</w:t>
      </w:r>
      <w:r w:rsidRPr="002E55DE">
        <w:rPr>
          <w:rFonts w:ascii="Times New Roman" w:eastAsiaTheme="minorEastAsia" w:hAnsi="Times New Roman"/>
          <w:lang w:eastAsia="ko-KR"/>
        </w:rPr>
        <w:t xml:space="preserve"> framework</w:t>
      </w:r>
      <w:r w:rsidR="00B41242" w:rsidRPr="002E55DE">
        <w:rPr>
          <w:rFonts w:ascii="Times New Roman" w:eastAsiaTheme="minorEastAsia" w:hAnsi="Times New Roman"/>
          <w:lang w:eastAsia="ko-KR"/>
        </w:rPr>
        <w:t xml:space="preserve"> </w:t>
      </w:r>
      <w:r w:rsidRPr="002E55DE">
        <w:rPr>
          <w:rFonts w:ascii="Times New Roman" w:eastAsiaTheme="minorEastAsia" w:hAnsi="Times New Roman"/>
          <w:lang w:eastAsia="ko-KR"/>
        </w:rPr>
        <w:t>use</w:t>
      </w:r>
      <w:r w:rsidR="00B41242" w:rsidRPr="002E55DE">
        <w:rPr>
          <w:rFonts w:ascii="Times New Roman" w:eastAsiaTheme="minorEastAsia" w:hAnsi="Times New Roman"/>
          <w:lang w:eastAsia="ko-KR"/>
        </w:rPr>
        <w:t>d</w:t>
      </w:r>
      <w:r w:rsidRPr="002E55DE">
        <w:rPr>
          <w:rFonts w:ascii="Times New Roman" w:eastAsiaTheme="minorEastAsia" w:hAnsi="Times New Roman"/>
          <w:lang w:eastAsia="ko-KR"/>
        </w:rPr>
        <w:t xml:space="preserve"> in th</w:t>
      </w:r>
      <w:r w:rsidR="00B41242" w:rsidRPr="002E55DE">
        <w:rPr>
          <w:rFonts w:ascii="Times New Roman" w:eastAsiaTheme="minorEastAsia" w:hAnsi="Times New Roman"/>
          <w:lang w:eastAsia="ko-KR"/>
        </w:rPr>
        <w:t>e</w:t>
      </w:r>
      <w:r w:rsidRPr="002E55DE">
        <w:rPr>
          <w:rFonts w:ascii="Times New Roman" w:eastAsiaTheme="minorEastAsia" w:hAnsi="Times New Roman"/>
          <w:lang w:eastAsia="ko-KR"/>
        </w:rPr>
        <w:t xml:space="preserve"> paper. Exogenous variables, representing individual and household sociodemographic characteristics, are located on the left side of Figure 1. </w:t>
      </w:r>
      <w:bookmarkStart w:id="34" w:name="_Hlk169957748"/>
      <w:r w:rsidR="00821AB4" w:rsidRPr="002E55DE">
        <w:rPr>
          <w:rFonts w:ascii="Times New Roman" w:hAnsi="Times New Roman"/>
        </w:rPr>
        <w:t>As part of our joint system, we estimate alternative directions of recursivity among the three walking measures</w:t>
      </w:r>
      <w:r w:rsidR="00BF4EDE" w:rsidRPr="002E55DE">
        <w:rPr>
          <w:rFonts w:ascii="Times New Roman" w:hAnsi="Times New Roman"/>
        </w:rPr>
        <w:t xml:space="preserve"> </w:t>
      </w:r>
      <w:r w:rsidR="00821AB4" w:rsidRPr="002E55DE">
        <w:rPr>
          <w:rFonts w:ascii="Times New Roman" w:hAnsi="Times New Roman"/>
        </w:rPr>
        <w:t xml:space="preserve"> (for a total of six possible recursive configurations) and obtain the one that outperforms the others based on data fit considerations</w:t>
      </w:r>
      <w:r w:rsidR="005D5503" w:rsidRPr="002E55DE">
        <w:rPr>
          <w:rFonts w:ascii="Times New Roman" w:hAnsi="Times New Roman"/>
        </w:rPr>
        <w:t xml:space="preserve"> (more on this in Section 4.</w:t>
      </w:r>
      <w:r w:rsidR="00E02D0A" w:rsidRPr="002E55DE">
        <w:rPr>
          <w:rFonts w:ascii="Times New Roman" w:eastAsiaTheme="minorEastAsia" w:hAnsi="Times New Roman" w:hint="eastAsia"/>
          <w:lang w:eastAsia="ko-KR"/>
        </w:rPr>
        <w:t>3</w:t>
      </w:r>
      <w:bookmarkEnd w:id="34"/>
      <w:r w:rsidR="005D5503" w:rsidRPr="002E55DE">
        <w:rPr>
          <w:rFonts w:ascii="Times New Roman" w:hAnsi="Times New Roman"/>
        </w:rPr>
        <w:t>)</w:t>
      </w:r>
      <w:r w:rsidR="00821AB4" w:rsidRPr="002E55DE">
        <w:rPr>
          <w:rFonts w:ascii="Times New Roman" w:hAnsi="Times New Roman"/>
        </w:rPr>
        <w:t>.</w:t>
      </w:r>
      <w:r w:rsidR="00B41242" w:rsidRPr="002E55DE">
        <w:rPr>
          <w:rStyle w:val="FootnoteReference"/>
        </w:rPr>
        <w:footnoteReference w:id="4"/>
      </w:r>
      <w:r w:rsidR="00821AB4" w:rsidRPr="002E55DE">
        <w:rPr>
          <w:rFonts w:ascii="Times New Roman" w:hAnsi="Times New Roman"/>
        </w:rPr>
        <w:t xml:space="preserve"> </w:t>
      </w:r>
      <w:r w:rsidR="00AA1CC1" w:rsidRPr="002E55DE">
        <w:rPr>
          <w:rFonts w:ascii="Times New Roman" w:hAnsi="Times New Roman"/>
        </w:rPr>
        <w:t xml:space="preserve">The final recursive configuration </w:t>
      </w:r>
      <w:r w:rsidR="00B41242" w:rsidRPr="002E55DE">
        <w:rPr>
          <w:rFonts w:ascii="Times New Roman" w:hAnsi="Times New Roman"/>
        </w:rPr>
        <w:t xml:space="preserve">in our analysis </w:t>
      </w:r>
      <w:r w:rsidR="00AA1CC1" w:rsidRPr="002E55DE">
        <w:rPr>
          <w:rFonts w:ascii="Times New Roman" w:hAnsi="Times New Roman"/>
        </w:rPr>
        <w:t>indicate</w:t>
      </w:r>
      <w:r w:rsidR="00B41242" w:rsidRPr="002E55DE">
        <w:rPr>
          <w:rFonts w:ascii="Times New Roman" w:hAnsi="Times New Roman"/>
        </w:rPr>
        <w:t>d</w:t>
      </w:r>
      <w:r w:rsidR="00AA1CC1" w:rsidRPr="002E55DE">
        <w:rPr>
          <w:rFonts w:ascii="Times New Roman" w:hAnsi="Times New Roman"/>
        </w:rPr>
        <w:t xml:space="preserve"> that walking frequency has a direct </w:t>
      </w:r>
      <w:r w:rsidR="00AC011D" w:rsidRPr="002E55DE">
        <w:rPr>
          <w:rFonts w:ascii="Times New Roman" w:eastAsiaTheme="minorEastAsia" w:hAnsi="Times New Roman" w:hint="eastAsia"/>
          <w:lang w:eastAsia="ko-KR"/>
        </w:rPr>
        <w:t xml:space="preserve">positive </w:t>
      </w:r>
      <w:r w:rsidR="00AA1CC1" w:rsidRPr="002E55DE">
        <w:rPr>
          <w:rFonts w:ascii="Times New Roman" w:hAnsi="Times New Roman"/>
        </w:rPr>
        <w:t xml:space="preserve">effect on walking duration, while companionship </w:t>
      </w:r>
      <w:r w:rsidR="00AC011D" w:rsidRPr="002E55DE">
        <w:rPr>
          <w:rFonts w:ascii="Times New Roman" w:eastAsiaTheme="minorEastAsia" w:hAnsi="Times New Roman" w:hint="eastAsia"/>
          <w:lang w:eastAsia="ko-KR"/>
        </w:rPr>
        <w:t xml:space="preserve">positively </w:t>
      </w:r>
      <w:r w:rsidR="00AA1CC1" w:rsidRPr="002E55DE">
        <w:rPr>
          <w:rFonts w:ascii="Times New Roman" w:hAnsi="Times New Roman"/>
        </w:rPr>
        <w:t>influences both walking frequency and the average duration of walking sessions.</w:t>
      </w:r>
      <w:r w:rsidR="00AC011D" w:rsidRPr="002E55DE">
        <w:rPr>
          <w:rFonts w:ascii="Times New Roman" w:eastAsiaTheme="minorEastAsia" w:hAnsi="Times New Roman" w:hint="eastAsia"/>
          <w:lang w:eastAsia="ko-KR"/>
        </w:rPr>
        <w:t xml:space="preserve"> </w:t>
      </w:r>
      <w:r w:rsidR="00E0627B" w:rsidRPr="002E55DE">
        <w:rPr>
          <w:rFonts w:ascii="Times New Roman" w:hAnsi="Times New Roman"/>
        </w:rPr>
        <w:t>Th</w:t>
      </w:r>
      <w:r w:rsidR="008F7709" w:rsidRPr="002E55DE">
        <w:rPr>
          <w:rFonts w:ascii="Times New Roman" w:hAnsi="Times New Roman"/>
        </w:rPr>
        <w:t>ese relationships are</w:t>
      </w:r>
      <w:r w:rsidR="00E0627B" w:rsidRPr="002E55DE">
        <w:rPr>
          <w:rFonts w:ascii="Times New Roman" w:hAnsi="Times New Roman"/>
        </w:rPr>
        <w:t xml:space="preserve"> discussed in more detail in </w:t>
      </w:r>
      <w:r w:rsidR="00F211F2" w:rsidRPr="002E55DE">
        <w:rPr>
          <w:rFonts w:ascii="Times New Roman" w:hAnsi="Times New Roman"/>
        </w:rPr>
        <w:t>S</w:t>
      </w:r>
      <w:r w:rsidR="00E0627B" w:rsidRPr="002E55DE">
        <w:rPr>
          <w:rFonts w:ascii="Times New Roman" w:hAnsi="Times New Roman"/>
        </w:rPr>
        <w:t xml:space="preserve">ections 4.2 and </w:t>
      </w:r>
      <w:r w:rsidR="00340843" w:rsidRPr="002E55DE">
        <w:rPr>
          <w:rFonts w:ascii="Times New Roman" w:hAnsi="Times New Roman"/>
        </w:rPr>
        <w:t>4</w:t>
      </w:r>
      <w:r w:rsidR="00E0627B" w:rsidRPr="002E55DE">
        <w:rPr>
          <w:rFonts w:ascii="Times New Roman" w:hAnsi="Times New Roman"/>
        </w:rPr>
        <w:t>.</w:t>
      </w:r>
      <w:r w:rsidR="00340843" w:rsidRPr="002E55DE">
        <w:rPr>
          <w:rFonts w:ascii="Times New Roman" w:hAnsi="Times New Roman"/>
        </w:rPr>
        <w:t>4</w:t>
      </w:r>
      <w:r w:rsidR="00E0627B" w:rsidRPr="002E55DE">
        <w:rPr>
          <w:rFonts w:ascii="Times New Roman" w:hAnsi="Times New Roman"/>
        </w:rPr>
        <w:t>.</w:t>
      </w:r>
      <w:r w:rsidR="006735AC" w:rsidRPr="002E55DE">
        <w:rPr>
          <w:rFonts w:ascii="Times New Roman" w:eastAsiaTheme="minorEastAsia" w:hAnsi="Times New Roman" w:hint="eastAsia"/>
          <w:lang w:eastAsia="ko-KR"/>
        </w:rPr>
        <w:t xml:space="preserve"> </w:t>
      </w:r>
      <w:r w:rsidR="00AA1CC1" w:rsidRPr="002E55DE">
        <w:rPr>
          <w:rFonts w:ascii="Times New Roman" w:hAnsi="Times New Roman"/>
        </w:rPr>
        <w:t xml:space="preserve">These endogenous effects are </w:t>
      </w:r>
      <w:r w:rsidR="00B41242" w:rsidRPr="002E55DE">
        <w:rPr>
          <w:rFonts w:ascii="Times New Roman" w:hAnsi="Times New Roman"/>
        </w:rPr>
        <w:t xml:space="preserve">the ones </w:t>
      </w:r>
      <w:r w:rsidR="00AA1CC1" w:rsidRPr="002E55DE">
        <w:rPr>
          <w:rFonts w:ascii="Times New Roman" w:hAnsi="Times New Roman"/>
        </w:rPr>
        <w:t xml:space="preserve">represented </w:t>
      </w:r>
      <w:r w:rsidR="00B41242" w:rsidRPr="002E55DE">
        <w:rPr>
          <w:rFonts w:ascii="Times New Roman" w:hAnsi="Times New Roman"/>
        </w:rPr>
        <w:t>(</w:t>
      </w:r>
      <w:r w:rsidR="00AA1CC1" w:rsidRPr="002E55DE">
        <w:rPr>
          <w:rFonts w:ascii="Times New Roman" w:hAnsi="Times New Roman"/>
        </w:rPr>
        <w:t>by the bold lines</w:t>
      </w:r>
      <w:r w:rsidR="00B41242" w:rsidRPr="002E55DE">
        <w:rPr>
          <w:rFonts w:ascii="Times New Roman" w:hAnsi="Times New Roman"/>
        </w:rPr>
        <w:t>) on the right side of the figure within the box labeled “walking outcomes</w:t>
      </w:r>
      <w:r w:rsidR="006F2489" w:rsidRPr="002E55DE">
        <w:rPr>
          <w:rFonts w:ascii="Times New Roman" w:hAnsi="Times New Roman"/>
        </w:rPr>
        <w:t>.”</w:t>
      </w:r>
      <w:r w:rsidR="00B41242" w:rsidRPr="002E55DE">
        <w:rPr>
          <w:rFonts w:ascii="Times New Roman" w:hAnsi="Times New Roman"/>
        </w:rPr>
        <w:t xml:space="preserve"> The dashed lines within the same box characterize </w:t>
      </w:r>
      <w:r w:rsidR="00AA1CC1" w:rsidRPr="002E55DE">
        <w:rPr>
          <w:rFonts w:ascii="Times New Roman" w:hAnsi="Times New Roman"/>
        </w:rPr>
        <w:t>correlations between the outcome variables</w:t>
      </w:r>
      <w:r w:rsidR="00B41242" w:rsidRPr="002E55DE">
        <w:rPr>
          <w:rFonts w:ascii="Times New Roman" w:hAnsi="Times New Roman"/>
        </w:rPr>
        <w:t>.</w:t>
      </w:r>
    </w:p>
    <w:bookmarkEnd w:id="29"/>
    <w:p w14:paraId="64237329" w14:textId="77777777" w:rsidR="001948E5" w:rsidRPr="002E55DE" w:rsidRDefault="001948E5" w:rsidP="007F24B9">
      <w:pPr>
        <w:keepNext/>
        <w:spacing w:before="120"/>
      </w:pPr>
      <w:r w:rsidRPr="002E55DE">
        <w:rPr>
          <w:rFonts w:eastAsiaTheme="minorEastAsia" w:hint="eastAsia"/>
          <w:noProof/>
          <w:lang w:eastAsia="ko-KR"/>
        </w:rPr>
        <w:lastRenderedPageBreak/>
        <w:drawing>
          <wp:inline distT="0" distB="0" distL="0" distR="0" wp14:anchorId="5B712F9D" wp14:editId="6440409E">
            <wp:extent cx="5942757" cy="2346264"/>
            <wp:effectExtent l="0" t="0" r="1270" b="0"/>
            <wp:docPr id="2236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888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2757" cy="2346264"/>
                    </a:xfrm>
                    <a:prstGeom prst="rect">
                      <a:avLst/>
                    </a:prstGeom>
                  </pic:spPr>
                </pic:pic>
              </a:graphicData>
            </a:graphic>
          </wp:inline>
        </w:drawing>
      </w:r>
    </w:p>
    <w:p w14:paraId="244E455F" w14:textId="093AC0B8" w:rsidR="00B41242" w:rsidRPr="002E55DE" w:rsidRDefault="001948E5" w:rsidP="000D6813">
      <w:pPr>
        <w:pStyle w:val="Caption"/>
        <w:jc w:val="center"/>
        <w:rPr>
          <w:rFonts w:ascii="Times New Roman" w:hAnsi="Times New Roman"/>
          <w:b/>
          <w:bCs/>
          <w:i w:val="0"/>
          <w:iCs w:val="0"/>
          <w:color w:val="auto"/>
          <w:sz w:val="24"/>
          <w:szCs w:val="24"/>
        </w:rPr>
      </w:pPr>
      <w:r w:rsidRPr="002E55DE">
        <w:rPr>
          <w:rFonts w:ascii="Times New Roman" w:hAnsi="Times New Roman"/>
          <w:b/>
          <w:bCs/>
          <w:i w:val="0"/>
          <w:iCs w:val="0"/>
          <w:color w:val="auto"/>
          <w:sz w:val="24"/>
          <w:szCs w:val="24"/>
        </w:rPr>
        <w:t xml:space="preserve">Figure </w:t>
      </w:r>
      <w:r w:rsidRPr="002E55DE">
        <w:rPr>
          <w:rFonts w:ascii="Times New Roman" w:hAnsi="Times New Roman"/>
          <w:b/>
          <w:bCs/>
          <w:i w:val="0"/>
          <w:iCs w:val="0"/>
          <w:color w:val="auto"/>
          <w:sz w:val="24"/>
          <w:szCs w:val="24"/>
        </w:rPr>
        <w:fldChar w:fldCharType="begin"/>
      </w:r>
      <w:r w:rsidRPr="002E55DE">
        <w:rPr>
          <w:rFonts w:ascii="Times New Roman" w:hAnsi="Times New Roman"/>
          <w:b/>
          <w:bCs/>
          <w:i w:val="0"/>
          <w:iCs w:val="0"/>
          <w:color w:val="auto"/>
          <w:sz w:val="24"/>
          <w:szCs w:val="24"/>
        </w:rPr>
        <w:instrText xml:space="preserve"> SEQ Figure \* ARABIC </w:instrText>
      </w:r>
      <w:r w:rsidRPr="002E55DE">
        <w:rPr>
          <w:rFonts w:ascii="Times New Roman" w:hAnsi="Times New Roman"/>
          <w:b/>
          <w:bCs/>
          <w:i w:val="0"/>
          <w:iCs w:val="0"/>
          <w:color w:val="auto"/>
          <w:sz w:val="24"/>
          <w:szCs w:val="24"/>
        </w:rPr>
        <w:fldChar w:fldCharType="separate"/>
      </w:r>
      <w:r w:rsidR="006E3826">
        <w:rPr>
          <w:rFonts w:ascii="Times New Roman" w:hAnsi="Times New Roman"/>
          <w:b/>
          <w:bCs/>
          <w:i w:val="0"/>
          <w:iCs w:val="0"/>
          <w:noProof/>
          <w:color w:val="auto"/>
          <w:sz w:val="24"/>
          <w:szCs w:val="24"/>
        </w:rPr>
        <w:t>1</w:t>
      </w:r>
      <w:r w:rsidRPr="002E55DE">
        <w:rPr>
          <w:rFonts w:ascii="Times New Roman" w:hAnsi="Times New Roman"/>
          <w:b/>
          <w:bCs/>
          <w:i w:val="0"/>
          <w:iCs w:val="0"/>
          <w:color w:val="auto"/>
          <w:sz w:val="24"/>
          <w:szCs w:val="24"/>
        </w:rPr>
        <w:fldChar w:fldCharType="end"/>
      </w:r>
      <w:r w:rsidRPr="002E55DE">
        <w:rPr>
          <w:rFonts w:ascii="Times New Roman" w:hAnsi="Times New Roman"/>
          <w:b/>
          <w:bCs/>
          <w:i w:val="0"/>
          <w:iCs w:val="0"/>
          <w:color w:val="auto"/>
          <w:sz w:val="24"/>
          <w:szCs w:val="24"/>
        </w:rPr>
        <w:t xml:space="preserve">. Relationship between Exogenous </w:t>
      </w:r>
      <w:r w:rsidR="0006405F" w:rsidRPr="002E55DE">
        <w:rPr>
          <w:rFonts w:ascii="Times New Roman" w:hAnsi="Times New Roman"/>
          <w:b/>
          <w:bCs/>
          <w:i w:val="0"/>
          <w:iCs w:val="0"/>
          <w:color w:val="auto"/>
          <w:sz w:val="24"/>
          <w:szCs w:val="24"/>
        </w:rPr>
        <w:t xml:space="preserve">Variables </w:t>
      </w:r>
      <w:r w:rsidRPr="002E55DE">
        <w:rPr>
          <w:rFonts w:ascii="Times New Roman" w:hAnsi="Times New Roman"/>
          <w:b/>
          <w:bCs/>
          <w:i w:val="0"/>
          <w:iCs w:val="0"/>
          <w:color w:val="auto"/>
          <w:sz w:val="24"/>
          <w:szCs w:val="24"/>
        </w:rPr>
        <w:t xml:space="preserve">and </w:t>
      </w:r>
      <w:r w:rsidR="00B41242" w:rsidRPr="002E55DE">
        <w:rPr>
          <w:rFonts w:ascii="Times New Roman" w:hAnsi="Times New Roman"/>
          <w:b/>
          <w:bCs/>
          <w:i w:val="0"/>
          <w:iCs w:val="0"/>
          <w:color w:val="auto"/>
          <w:sz w:val="24"/>
          <w:szCs w:val="24"/>
        </w:rPr>
        <w:t xml:space="preserve">Walking </w:t>
      </w:r>
      <w:r w:rsidRPr="002E55DE">
        <w:rPr>
          <w:rFonts w:ascii="Times New Roman" w:hAnsi="Times New Roman"/>
          <w:b/>
          <w:bCs/>
          <w:i w:val="0"/>
          <w:iCs w:val="0"/>
          <w:color w:val="auto"/>
          <w:sz w:val="24"/>
          <w:szCs w:val="24"/>
        </w:rPr>
        <w:t>Outcome</w:t>
      </w:r>
      <w:r w:rsidR="0006405F" w:rsidRPr="002E55DE">
        <w:rPr>
          <w:rFonts w:ascii="Times New Roman" w:hAnsi="Times New Roman"/>
          <w:b/>
          <w:bCs/>
          <w:i w:val="0"/>
          <w:iCs w:val="0"/>
          <w:color w:val="auto"/>
          <w:sz w:val="24"/>
          <w:szCs w:val="24"/>
        </w:rPr>
        <w:t>s</w:t>
      </w:r>
    </w:p>
    <w:p w14:paraId="05497856" w14:textId="77777777" w:rsidR="00A16F8A" w:rsidRPr="002E55DE" w:rsidRDefault="00A16F8A" w:rsidP="00F424E8">
      <w:pPr>
        <w:rPr>
          <w:i/>
          <w:iCs/>
        </w:rPr>
      </w:pPr>
    </w:p>
    <w:p w14:paraId="1505846F" w14:textId="77777777" w:rsidR="00396E1E" w:rsidRPr="002E55DE" w:rsidRDefault="00396E1E" w:rsidP="003518AB">
      <w:pPr>
        <w:pStyle w:val="Heading1"/>
        <w:spacing w:line="240" w:lineRule="auto"/>
        <w:contextualSpacing w:val="0"/>
        <w:rPr>
          <w:rFonts w:eastAsiaTheme="minorEastAsia"/>
          <w:caps/>
          <w:lang w:eastAsia="ko-KR"/>
        </w:rPr>
      </w:pPr>
      <w:r w:rsidRPr="002E55DE">
        <w:rPr>
          <w:caps/>
          <w:lang w:eastAsia="ko-KR"/>
        </w:rPr>
        <w:t>Methodology</w:t>
      </w:r>
    </w:p>
    <w:p w14:paraId="0FB64708" w14:textId="77777777" w:rsidR="00396E1E" w:rsidRPr="002E55DE" w:rsidRDefault="00396E1E" w:rsidP="003518AB">
      <w:pPr>
        <w:pStyle w:val="Heading2"/>
        <w:spacing w:line="240" w:lineRule="auto"/>
        <w:ind w:hanging="540"/>
        <w:contextualSpacing w:val="0"/>
        <w:rPr>
          <w:rFonts w:eastAsiaTheme="minorEastAsia"/>
          <w:lang w:eastAsia="ko-KR"/>
        </w:rPr>
      </w:pPr>
      <w:r w:rsidRPr="002E55DE">
        <w:rPr>
          <w:rFonts w:eastAsiaTheme="minorEastAsia"/>
          <w:lang w:eastAsia="ko-KR"/>
        </w:rPr>
        <w:t>Survey</w:t>
      </w:r>
    </w:p>
    <w:p w14:paraId="613689E0" w14:textId="6174CB9D" w:rsidR="00396E1E" w:rsidRPr="002E55DE" w:rsidRDefault="00FD0043" w:rsidP="003518AB">
      <w:pPr>
        <w:jc w:val="both"/>
        <w:rPr>
          <w:rFonts w:ascii="Times New Roman" w:eastAsiaTheme="minorEastAsia" w:hAnsi="Times New Roman"/>
          <w:lang w:eastAsia="ko-KR"/>
        </w:rPr>
      </w:pPr>
      <w:bookmarkStart w:id="35" w:name="_Hlk169956791"/>
      <w:r w:rsidRPr="002E55DE">
        <w:rPr>
          <w:rFonts w:ascii="Times New Roman" w:eastAsiaTheme="minorEastAsia" w:hAnsi="Times New Roman"/>
          <w:lang w:eastAsia="ko-KR"/>
        </w:rPr>
        <w:t xml:space="preserve">This study utilizes data from </w:t>
      </w:r>
      <w:r w:rsidR="00396E1E" w:rsidRPr="002E55DE">
        <w:rPr>
          <w:rFonts w:ascii="Times New Roman" w:eastAsiaTheme="minorEastAsia" w:hAnsi="Times New Roman"/>
          <w:lang w:eastAsia="ko-KR"/>
        </w:rPr>
        <w:t xml:space="preserve">“AARP Walking Survey: Attitudes and Habits of Adults Aged 50 and Older” </w:t>
      </w:r>
      <w:bookmarkStart w:id="36" w:name="_Hlk169961358"/>
      <w:r w:rsidR="00396E1E"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{"citationID":"o8SvaYZ6","properties":{"formattedCitation":"(AARP, 2023)","plainCitation":"(AARP, 2023)","noteIndex":0},"citationItems":[{"id":"4nY7bDZH/mkdRVrYF","uris":["http://zotero.org/users/10132210/items/5WQ85CII"],"itemData":{"id":999,"type":"article-journal","abstract":"Reasons for walking (16); walking with others (1); frequency of walks (1); duration of walks (1); walk location (1); benefits of walking (8); barriers to walking (17).","DOI":"10.25940/ROPER-31120071","note":"publisher: [object Object]","source":"DOI.org (Datacite)","title":"AARP Walking Survey: Attitudes and Habits of Adults Aged 50 and Older","title-short":"AARP Walking Survey","URL":"https://doi.roper.center?doi=10.25940/ROPER-31120071","author":[{"literal":"AARP"}],"contributor":[{"literal":"AARP"},{"literal":"NORC"}],"accessed":{"date-parts":[["2024",3,11]]},"issued":{"date-parts":[["2023"]]}}}],"schema":"https://github.com/citation-style-language/schema/raw/master/csl-citation.json"} </w:instrText>
      </w:r>
      <w:r w:rsidR="00396E1E" w:rsidRPr="002E55DE">
        <w:rPr>
          <w:rFonts w:ascii="Times New Roman" w:eastAsiaTheme="minorEastAsia" w:hAnsi="Times New Roman"/>
          <w:lang w:eastAsia="ko-KR"/>
        </w:rPr>
        <w:fldChar w:fldCharType="separate"/>
      </w:r>
      <w:r w:rsidR="00396E1E" w:rsidRPr="002E55DE">
        <w:rPr>
          <w:rFonts w:ascii="Times New Roman" w:hAnsi="Times New Roman"/>
        </w:rPr>
        <w:t>(AARP, 2023)</w:t>
      </w:r>
      <w:r w:rsidR="00396E1E" w:rsidRPr="002E55DE">
        <w:rPr>
          <w:rFonts w:ascii="Times New Roman" w:eastAsiaTheme="minorEastAsia" w:hAnsi="Times New Roman"/>
          <w:lang w:eastAsia="ko-KR"/>
        </w:rPr>
        <w:fldChar w:fldCharType="end"/>
      </w:r>
      <w:r w:rsidR="00396E1E" w:rsidRPr="002E55DE">
        <w:rPr>
          <w:rFonts w:ascii="Times New Roman" w:eastAsiaTheme="minorEastAsia" w:hAnsi="Times New Roman"/>
          <w:lang w:eastAsia="ko-KR"/>
        </w:rPr>
        <w:t xml:space="preserve">. </w:t>
      </w:r>
      <w:bookmarkEnd w:id="36"/>
      <w:r w:rsidR="00396E1E" w:rsidRPr="002E55DE">
        <w:rPr>
          <w:rFonts w:ascii="Times New Roman" w:eastAsiaTheme="minorEastAsia" w:hAnsi="Times New Roman"/>
          <w:lang w:eastAsia="ko-KR"/>
        </w:rPr>
        <w:t xml:space="preserve">The survey collected data from 1,691 U.S. adults </w:t>
      </w:r>
      <w:r w:rsidR="00A16F8A" w:rsidRPr="002E55DE">
        <w:rPr>
          <w:rFonts w:ascii="Times New Roman" w:eastAsiaTheme="minorEastAsia" w:hAnsi="Times New Roman"/>
          <w:lang w:eastAsia="ko-KR"/>
        </w:rPr>
        <w:t xml:space="preserve">aged 50 and </w:t>
      </w:r>
      <w:r w:rsidR="007F24B9" w:rsidRPr="002E55DE">
        <w:rPr>
          <w:rFonts w:ascii="Times New Roman" w:eastAsiaTheme="minorEastAsia" w:hAnsi="Times New Roman"/>
          <w:lang w:eastAsia="ko-KR"/>
        </w:rPr>
        <w:t>o</w:t>
      </w:r>
      <w:r w:rsidR="00A16F8A" w:rsidRPr="002E55DE">
        <w:rPr>
          <w:rFonts w:ascii="Times New Roman" w:eastAsiaTheme="minorEastAsia" w:hAnsi="Times New Roman"/>
          <w:lang w:eastAsia="ko-KR"/>
        </w:rPr>
        <w:t xml:space="preserve">lder </w:t>
      </w:r>
      <w:r w:rsidR="00396E1E" w:rsidRPr="002E55DE">
        <w:rPr>
          <w:rFonts w:ascii="Times New Roman" w:eastAsiaTheme="minorEastAsia" w:hAnsi="Times New Roman"/>
          <w:lang w:eastAsia="ko-KR"/>
        </w:rPr>
        <w:t xml:space="preserve">via </w:t>
      </w:r>
      <w:r w:rsidR="0062324F" w:rsidRPr="002E55DE">
        <w:rPr>
          <w:rFonts w:ascii="Times New Roman" w:eastAsiaTheme="minorEastAsia" w:hAnsi="Times New Roman"/>
          <w:lang w:eastAsia="ko-KR"/>
        </w:rPr>
        <w:t xml:space="preserve">the </w:t>
      </w:r>
      <w:r w:rsidR="004D1C48" w:rsidRPr="002E55DE">
        <w:rPr>
          <w:rFonts w:ascii="Times New Roman" w:eastAsiaTheme="minorEastAsia" w:hAnsi="Times New Roman"/>
          <w:lang w:eastAsia="ko-KR"/>
        </w:rPr>
        <w:t>National Opinion Research Center</w:t>
      </w:r>
      <w:r w:rsidR="0062324F" w:rsidRPr="002E55DE">
        <w:rPr>
          <w:rFonts w:ascii="Times New Roman" w:eastAsiaTheme="minorEastAsia" w:hAnsi="Times New Roman"/>
          <w:lang w:eastAsia="ko-KR"/>
        </w:rPr>
        <w:t xml:space="preserve"> </w:t>
      </w:r>
      <w:r w:rsidR="004D1C48" w:rsidRPr="002E55DE">
        <w:rPr>
          <w:rFonts w:ascii="Times New Roman" w:eastAsiaTheme="minorEastAsia" w:hAnsi="Times New Roman"/>
          <w:lang w:eastAsia="ko-KR"/>
        </w:rPr>
        <w:t>(</w:t>
      </w:r>
      <w:r w:rsidR="00396E1E" w:rsidRPr="002E55DE">
        <w:rPr>
          <w:rFonts w:ascii="Times New Roman" w:eastAsiaTheme="minorEastAsia" w:hAnsi="Times New Roman"/>
          <w:lang w:eastAsia="ko-KR"/>
        </w:rPr>
        <w:t>NORC</w:t>
      </w:r>
      <w:r w:rsidR="004D1C48" w:rsidRPr="002E55DE">
        <w:rPr>
          <w:rFonts w:ascii="Times New Roman" w:eastAsiaTheme="minorEastAsia" w:hAnsi="Times New Roman"/>
          <w:lang w:eastAsia="ko-KR"/>
        </w:rPr>
        <w:t>)</w:t>
      </w:r>
      <w:r w:rsidR="00396E1E" w:rsidRPr="002E55DE">
        <w:rPr>
          <w:rFonts w:ascii="Times New Roman" w:eastAsiaTheme="minorEastAsia" w:hAnsi="Times New Roman"/>
          <w:lang w:eastAsia="ko-KR"/>
        </w:rPr>
        <w:t>’s Foresight 50+ panel</w:t>
      </w:r>
      <w:r w:rsidR="00DC71ED" w:rsidRPr="002E55DE">
        <w:rPr>
          <w:rFonts w:ascii="Times New Roman" w:eastAsiaTheme="minorEastAsia" w:hAnsi="Times New Roman"/>
          <w:lang w:eastAsia="ko-KR"/>
        </w:rPr>
        <w:t>.</w:t>
      </w:r>
      <w:r w:rsidR="00E4784E" w:rsidRPr="002E55DE">
        <w:rPr>
          <w:rStyle w:val="FootnoteReference"/>
        </w:rPr>
        <w:footnoteReference w:id="5"/>
      </w:r>
      <w:r w:rsidR="00396E1E" w:rsidRPr="002E55DE">
        <w:rPr>
          <w:rFonts w:ascii="Times New Roman" w:eastAsiaTheme="minorEastAsia" w:hAnsi="Times New Roman"/>
          <w:lang w:eastAsia="ko-KR"/>
        </w:rPr>
        <w:t xml:space="preserve"> </w:t>
      </w:r>
      <w:r w:rsidR="00135C3C" w:rsidRPr="002E55DE">
        <w:rPr>
          <w:rFonts w:ascii="Times New Roman" w:eastAsiaTheme="minorEastAsia" w:hAnsi="Times New Roman"/>
          <w:lang w:eastAsia="ko-KR"/>
        </w:rPr>
        <w:t xml:space="preserve">The survey was conducted </w:t>
      </w:r>
      <w:r w:rsidR="00DC71ED" w:rsidRPr="002E55DE">
        <w:rPr>
          <w:rFonts w:ascii="Times New Roman" w:eastAsiaTheme="minorEastAsia" w:hAnsi="Times New Roman"/>
          <w:lang w:eastAsia="ko-KR"/>
        </w:rPr>
        <w:t>between July 21 and July 26, 2022</w:t>
      </w:r>
      <w:r w:rsidR="0062324F" w:rsidRPr="002E55DE">
        <w:rPr>
          <w:rFonts w:ascii="Times New Roman" w:eastAsiaTheme="minorEastAsia" w:hAnsi="Times New Roman"/>
          <w:lang w:eastAsia="ko-KR"/>
        </w:rPr>
        <w:t>,</w:t>
      </w:r>
      <w:r w:rsidR="00DC71ED" w:rsidRPr="002E55DE">
        <w:rPr>
          <w:rFonts w:ascii="Times New Roman" w:eastAsiaTheme="minorEastAsia" w:hAnsi="Times New Roman"/>
          <w:lang w:eastAsia="ko-KR"/>
        </w:rPr>
        <w:t xml:space="preserve"> </w:t>
      </w:r>
      <w:r w:rsidR="00135C3C" w:rsidRPr="002E55DE">
        <w:rPr>
          <w:rFonts w:ascii="Times New Roman" w:eastAsiaTheme="minorEastAsia" w:hAnsi="Times New Roman"/>
          <w:lang w:eastAsia="ko-KR"/>
        </w:rPr>
        <w:t>a period characterized by widespread vaccination</w:t>
      </w:r>
      <w:r w:rsidR="00396E1E" w:rsidRPr="002E55DE">
        <w:rPr>
          <w:rFonts w:ascii="Times New Roman" w:eastAsiaTheme="minorEastAsia" w:hAnsi="Times New Roman"/>
          <w:lang w:eastAsia="ko-KR"/>
        </w:rPr>
        <w:t xml:space="preserve">, and </w:t>
      </w:r>
      <w:r w:rsidR="0062324F" w:rsidRPr="002E55DE">
        <w:rPr>
          <w:rFonts w:ascii="Times New Roman" w:eastAsiaTheme="minorEastAsia" w:hAnsi="Times New Roman"/>
          <w:lang w:eastAsia="ko-KR"/>
        </w:rPr>
        <w:t xml:space="preserve">the </w:t>
      </w:r>
      <w:r w:rsidR="00DC71ED" w:rsidRPr="002E55DE">
        <w:rPr>
          <w:rFonts w:ascii="Times New Roman" w:eastAsiaTheme="minorEastAsia" w:hAnsi="Times New Roman"/>
          <w:lang w:eastAsia="ko-KR"/>
        </w:rPr>
        <w:t xml:space="preserve">lowest COVID-related </w:t>
      </w:r>
      <w:r w:rsidR="00396E1E" w:rsidRPr="002E55DE">
        <w:rPr>
          <w:rFonts w:ascii="Times New Roman" w:eastAsiaTheme="minorEastAsia" w:hAnsi="Times New Roman"/>
          <w:lang w:eastAsia="ko-KR"/>
        </w:rPr>
        <w:t>death and hospitalization rates</w:t>
      </w:r>
      <w:r w:rsidR="00853655" w:rsidRPr="002E55DE">
        <w:rPr>
          <w:rFonts w:ascii="Times New Roman" w:eastAsiaTheme="minorEastAsia" w:hAnsi="Times New Roman"/>
          <w:lang w:eastAsia="ko-KR"/>
        </w:rPr>
        <w:t xml:space="preserve"> since the beginning of the pandemic</w:t>
      </w:r>
      <w:r w:rsidR="00396E1E" w:rsidRPr="002E55DE">
        <w:rPr>
          <w:rFonts w:ascii="Times New Roman" w:eastAsiaTheme="minorEastAsia" w:hAnsi="Times New Roman"/>
          <w:lang w:eastAsia="ko-KR"/>
        </w:rPr>
        <w:t xml:space="preserve">. </w:t>
      </w:r>
      <w:r w:rsidR="00DC71ED" w:rsidRPr="002E55DE">
        <w:rPr>
          <w:rFonts w:ascii="Times New Roman" w:eastAsiaTheme="minorEastAsia" w:hAnsi="Times New Roman"/>
          <w:lang w:eastAsia="ko-KR"/>
        </w:rPr>
        <w:t>Additionally, at the time of data collection</w:t>
      </w:r>
      <w:r w:rsidR="00426A6E" w:rsidRPr="002E55DE">
        <w:rPr>
          <w:rFonts w:ascii="Times New Roman" w:eastAsiaTheme="minorEastAsia" w:hAnsi="Times New Roman"/>
          <w:lang w:eastAsia="ko-KR"/>
        </w:rPr>
        <w:t>,</w:t>
      </w:r>
      <w:r w:rsidR="00DC71ED" w:rsidRPr="002E55DE">
        <w:rPr>
          <w:rFonts w:ascii="Times New Roman" w:eastAsiaTheme="minorEastAsia" w:hAnsi="Times New Roman"/>
          <w:lang w:eastAsia="ko-KR"/>
        </w:rPr>
        <w:t xml:space="preserve"> m</w:t>
      </w:r>
      <w:r w:rsidR="00396E1E" w:rsidRPr="002E55DE">
        <w:rPr>
          <w:rFonts w:ascii="Times New Roman" w:eastAsiaTheme="minorEastAsia" w:hAnsi="Times New Roman"/>
          <w:lang w:eastAsia="ko-KR"/>
        </w:rPr>
        <w:t>ost of the restrictions, including the mandatory wearing of face masks</w:t>
      </w:r>
      <w:r w:rsidR="0062324F" w:rsidRPr="002E55DE">
        <w:rPr>
          <w:rFonts w:ascii="Times New Roman" w:eastAsiaTheme="minorEastAsia" w:hAnsi="Times New Roman"/>
          <w:lang w:eastAsia="ko-KR"/>
        </w:rPr>
        <w:t xml:space="preserve"> and social distancing</w:t>
      </w:r>
      <w:r w:rsidR="00396E1E" w:rsidRPr="002E55DE">
        <w:rPr>
          <w:rFonts w:ascii="Times New Roman" w:eastAsiaTheme="minorEastAsia" w:hAnsi="Times New Roman"/>
          <w:lang w:eastAsia="ko-KR"/>
        </w:rPr>
        <w:t xml:space="preserve">, </w:t>
      </w:r>
      <w:r w:rsidR="00DC71ED" w:rsidRPr="002E55DE">
        <w:rPr>
          <w:rFonts w:ascii="Times New Roman" w:eastAsiaTheme="minorEastAsia" w:hAnsi="Times New Roman"/>
          <w:lang w:eastAsia="ko-KR"/>
        </w:rPr>
        <w:t xml:space="preserve">had </w:t>
      </w:r>
      <w:r w:rsidR="00396E1E" w:rsidRPr="002E55DE">
        <w:rPr>
          <w:rFonts w:ascii="Times New Roman" w:eastAsiaTheme="minorEastAsia" w:hAnsi="Times New Roman"/>
          <w:lang w:eastAsia="ko-KR"/>
        </w:rPr>
        <w:t xml:space="preserve">been lifted, </w:t>
      </w:r>
      <w:r w:rsidR="00DC71ED" w:rsidRPr="002E55DE">
        <w:rPr>
          <w:rFonts w:ascii="Times New Roman" w:eastAsiaTheme="minorEastAsia" w:hAnsi="Times New Roman"/>
          <w:lang w:eastAsia="ko-KR"/>
        </w:rPr>
        <w:t xml:space="preserve">allowing people to </w:t>
      </w:r>
      <w:r w:rsidR="00315207" w:rsidRPr="002E55DE">
        <w:rPr>
          <w:rFonts w:ascii="Times New Roman" w:eastAsiaTheme="minorEastAsia" w:hAnsi="Times New Roman"/>
          <w:lang w:eastAsia="ko-KR"/>
        </w:rPr>
        <w:t>return to normal</w:t>
      </w:r>
      <w:r w:rsidR="00E4784E" w:rsidRPr="002E55DE">
        <w:rPr>
          <w:rFonts w:ascii="Times New Roman" w:eastAsiaTheme="minorEastAsia" w:hAnsi="Times New Roman"/>
          <w:lang w:eastAsia="ko-KR"/>
        </w:rPr>
        <w:t xml:space="preserve"> daily life</w:t>
      </w:r>
      <w:r w:rsidR="00315207" w:rsidRPr="002E55DE">
        <w:rPr>
          <w:rFonts w:ascii="Times New Roman" w:eastAsiaTheme="minorEastAsia" w:hAnsi="Times New Roman"/>
          <w:lang w:eastAsia="ko-KR"/>
        </w:rPr>
        <w:t xml:space="preserve"> </w:t>
      </w:r>
      <w:r w:rsidR="00396E1E"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{"citationID":"4o2JS4f7","properties":{"formattedCitation":"(Phillips, 2022)","plainCitation":"(Phillips, 2022)","dontUpdate":true,"noteIndex":0},"citationItems":[{"id":"4nY7bDZH/HAYNsyj0","uris":["http://zotero.org/users/10132210/items/LWTHAW28"],"itemData":{"id":998,"type":"article-newspaper","container-title":"Time","title":"This Is the Phase of the Pandemic Where Life Returns To Normal","URL":"https://time.com/6203058/covid-19-pandemic-return-to-normal-column/","author":[{"family":"Phillips","given":"Steven"}],"accessed":{"date-parts":[["2024",3,11]]},"issued":{"date-parts":[["2022",8,3]]}}}],"schema":"https://github.com/citation-style-language/schema/raw/master/csl-citation.json"} </w:instrText>
      </w:r>
      <w:r w:rsidR="00396E1E" w:rsidRPr="002E55DE">
        <w:rPr>
          <w:rFonts w:ascii="Times New Roman" w:eastAsiaTheme="minorEastAsia" w:hAnsi="Times New Roman"/>
          <w:lang w:eastAsia="ko-KR"/>
        </w:rPr>
        <w:fldChar w:fldCharType="separate"/>
      </w:r>
      <w:r w:rsidR="00396E1E" w:rsidRPr="002E55DE">
        <w:rPr>
          <w:rFonts w:ascii="Times New Roman" w:hAnsi="Times New Roman"/>
        </w:rPr>
        <w:t>(Phillips, 2022)</w:t>
      </w:r>
      <w:r w:rsidR="00396E1E" w:rsidRPr="002E55DE">
        <w:rPr>
          <w:rFonts w:ascii="Times New Roman" w:eastAsiaTheme="minorEastAsia" w:hAnsi="Times New Roman"/>
          <w:lang w:eastAsia="ko-KR"/>
        </w:rPr>
        <w:fldChar w:fldCharType="end"/>
      </w:r>
      <w:r w:rsidR="00315207" w:rsidRPr="002E55DE">
        <w:rPr>
          <w:rFonts w:ascii="Times New Roman" w:eastAsiaTheme="minorEastAsia" w:hAnsi="Times New Roman"/>
          <w:lang w:eastAsia="ko-KR"/>
        </w:rPr>
        <w:t>.</w:t>
      </w:r>
      <w:r w:rsidR="00396E1E" w:rsidRPr="002E55DE">
        <w:rPr>
          <w:rFonts w:ascii="Times New Roman" w:eastAsiaTheme="minorEastAsia" w:hAnsi="Times New Roman"/>
          <w:lang w:eastAsia="ko-KR"/>
        </w:rPr>
        <w:t xml:space="preserve"> </w:t>
      </w:r>
      <w:r w:rsidR="00FC275D" w:rsidRPr="002E55DE">
        <w:rPr>
          <w:rFonts w:ascii="Times New Roman" w:eastAsiaTheme="minorEastAsia" w:hAnsi="Times New Roman"/>
          <w:lang w:eastAsia="ko-KR"/>
        </w:rPr>
        <w:t xml:space="preserve">Following extensive data cleaning and the removal of erroneous entries, 1,667 </w:t>
      </w:r>
      <w:r w:rsidR="000E0D83" w:rsidRPr="002E55DE">
        <w:rPr>
          <w:rFonts w:ascii="Times New Roman" w:eastAsiaTheme="minorEastAsia" w:hAnsi="Times New Roman"/>
          <w:lang w:eastAsia="ko-KR"/>
        </w:rPr>
        <w:t xml:space="preserve">observations </w:t>
      </w:r>
      <w:r w:rsidR="00FC275D" w:rsidRPr="002E55DE">
        <w:rPr>
          <w:rFonts w:ascii="Times New Roman" w:eastAsiaTheme="minorEastAsia" w:hAnsi="Times New Roman"/>
          <w:lang w:eastAsia="ko-KR"/>
        </w:rPr>
        <w:t>were retained in the final sample.</w:t>
      </w:r>
    </w:p>
    <w:p w14:paraId="1F594391" w14:textId="77777777" w:rsidR="003518AB" w:rsidRPr="002E55DE" w:rsidRDefault="003518AB" w:rsidP="003518AB">
      <w:pPr>
        <w:jc w:val="both"/>
        <w:rPr>
          <w:rFonts w:ascii="Times New Roman" w:eastAsiaTheme="minorEastAsia" w:hAnsi="Times New Roman"/>
          <w:lang w:eastAsia="ko-KR"/>
        </w:rPr>
      </w:pPr>
    </w:p>
    <w:bookmarkEnd w:id="35"/>
    <w:p w14:paraId="04543D1B" w14:textId="77777777" w:rsidR="00396E1E" w:rsidRPr="002E55DE" w:rsidRDefault="00396E1E" w:rsidP="003518AB">
      <w:pPr>
        <w:pStyle w:val="Heading2"/>
        <w:spacing w:line="240" w:lineRule="auto"/>
        <w:ind w:hanging="540"/>
        <w:contextualSpacing w:val="0"/>
        <w:rPr>
          <w:rFonts w:eastAsiaTheme="minorEastAsia"/>
          <w:lang w:eastAsia="ko-KR"/>
        </w:rPr>
      </w:pPr>
      <w:r w:rsidRPr="002E55DE">
        <w:rPr>
          <w:rFonts w:eastAsiaTheme="minorEastAsia"/>
          <w:lang w:eastAsia="ko-KR"/>
        </w:rPr>
        <w:t>Exogenous Variables</w:t>
      </w:r>
    </w:p>
    <w:p w14:paraId="40624EB5" w14:textId="4B43176B" w:rsidR="00B837E8" w:rsidRPr="002E55DE" w:rsidRDefault="00E4784E" w:rsidP="00447B32">
      <w:pPr>
        <w:autoSpaceDE w:val="0"/>
        <w:autoSpaceDN w:val="0"/>
        <w:adjustRightInd w:val="0"/>
        <w:jc w:val="both"/>
        <w:rPr>
          <w:rFonts w:ascii="Times New Roman" w:eastAsiaTheme="minorEastAsia" w:hAnsi="Times New Roman"/>
          <w:szCs w:val="24"/>
          <w:lang w:eastAsia="ko-KR"/>
        </w:rPr>
      </w:pPr>
      <w:r w:rsidRPr="002E55DE">
        <w:rPr>
          <w:rFonts w:ascii="Times New Roman" w:eastAsiaTheme="minorEastAsia" w:hAnsi="Times New Roman"/>
          <w:lang w:eastAsia="ko-KR"/>
        </w:rPr>
        <w:t>T</w:t>
      </w:r>
      <w:r w:rsidR="00396E1E" w:rsidRPr="002E55DE">
        <w:rPr>
          <w:rFonts w:ascii="Times New Roman" w:eastAsiaTheme="minorEastAsia" w:hAnsi="Times New Roman"/>
          <w:lang w:eastAsia="ko-KR"/>
        </w:rPr>
        <w:t xml:space="preserve">he exogenous variables </w:t>
      </w:r>
      <w:r w:rsidRPr="002E55DE">
        <w:rPr>
          <w:rFonts w:ascii="Times New Roman" w:eastAsiaTheme="minorEastAsia" w:hAnsi="Times New Roman"/>
          <w:lang w:eastAsia="ko-KR"/>
        </w:rPr>
        <w:t xml:space="preserve">are grouped </w:t>
      </w:r>
      <w:r w:rsidR="00396E1E" w:rsidRPr="002E55DE">
        <w:rPr>
          <w:rFonts w:ascii="Times New Roman" w:eastAsiaTheme="minorEastAsia" w:hAnsi="Times New Roman"/>
          <w:lang w:eastAsia="ko-KR"/>
        </w:rPr>
        <w:t>in</w:t>
      </w:r>
      <w:r w:rsidR="00DC71ED" w:rsidRPr="002E55DE">
        <w:rPr>
          <w:rFonts w:ascii="Times New Roman" w:eastAsiaTheme="minorEastAsia" w:hAnsi="Times New Roman"/>
          <w:lang w:eastAsia="ko-KR"/>
        </w:rPr>
        <w:t>to</w:t>
      </w:r>
      <w:r w:rsidR="00396E1E" w:rsidRPr="002E55DE">
        <w:rPr>
          <w:rFonts w:ascii="Times New Roman" w:eastAsiaTheme="minorEastAsia" w:hAnsi="Times New Roman"/>
          <w:lang w:eastAsia="ko-KR"/>
        </w:rPr>
        <w:t xml:space="preserve"> individual and household characteristics. </w:t>
      </w:r>
      <w:bookmarkStart w:id="37" w:name="_Hlk168598481"/>
      <w:r w:rsidR="00396E1E" w:rsidRPr="002E55DE">
        <w:rPr>
          <w:rFonts w:ascii="Times New Roman" w:eastAsiaTheme="minorEastAsia" w:hAnsi="Times New Roman"/>
          <w:lang w:eastAsia="ko-KR"/>
        </w:rPr>
        <w:t xml:space="preserve">Additionally, we </w:t>
      </w:r>
      <w:r w:rsidR="00874470" w:rsidRPr="002E55DE">
        <w:rPr>
          <w:rFonts w:ascii="Times New Roman" w:eastAsiaTheme="minorEastAsia" w:hAnsi="Times New Roman"/>
          <w:lang w:eastAsia="ko-KR"/>
        </w:rPr>
        <w:t xml:space="preserve">also considered regional residence within the U.S. </w:t>
      </w:r>
      <w:r w:rsidR="00396E1E" w:rsidRPr="002E55DE">
        <w:rPr>
          <w:rFonts w:ascii="Times New Roman" w:eastAsiaTheme="minorEastAsia" w:hAnsi="Times New Roman"/>
          <w:lang w:eastAsia="ko-KR"/>
        </w:rPr>
        <w:t xml:space="preserve">to </w:t>
      </w:r>
      <w:r w:rsidR="00874470" w:rsidRPr="002E55DE">
        <w:rPr>
          <w:rFonts w:ascii="Times New Roman" w:eastAsiaTheme="minorEastAsia" w:hAnsi="Times New Roman"/>
          <w:lang w:eastAsia="ko-KR"/>
        </w:rPr>
        <w:t>capture heterogeneity in</w:t>
      </w:r>
      <w:r w:rsidR="00396E1E" w:rsidRPr="002E55DE">
        <w:rPr>
          <w:rFonts w:ascii="Times New Roman" w:eastAsiaTheme="minorEastAsia" w:hAnsi="Times New Roman"/>
          <w:lang w:eastAsia="ko-KR"/>
        </w:rPr>
        <w:t xml:space="preserve"> weather and social </w:t>
      </w:r>
      <w:r w:rsidR="00D37534" w:rsidRPr="002E55DE">
        <w:rPr>
          <w:rFonts w:ascii="Times New Roman" w:eastAsiaTheme="minorEastAsia" w:hAnsi="Times New Roman"/>
          <w:lang w:eastAsia="ko-KR"/>
        </w:rPr>
        <w:t>environment.</w:t>
      </w:r>
      <w:r w:rsidR="00212F6A" w:rsidRPr="002E55DE">
        <w:rPr>
          <w:rStyle w:val="FootnoteReference"/>
          <w:rFonts w:ascii="Times New Roman" w:hAnsi="Times New Roman"/>
        </w:rPr>
        <w:footnoteReference w:id="6"/>
      </w:r>
      <w:r w:rsidR="00396E1E" w:rsidRPr="002E55DE">
        <w:rPr>
          <w:rFonts w:ascii="Times New Roman" w:eastAsiaTheme="minorEastAsia" w:hAnsi="Times New Roman"/>
          <w:lang w:eastAsia="ko-KR"/>
        </w:rPr>
        <w:t xml:space="preserve"> </w:t>
      </w:r>
      <w:bookmarkStart w:id="38" w:name="_Hlk195624565"/>
      <w:bookmarkEnd w:id="37"/>
      <w:r w:rsidR="00B6078C" w:rsidRPr="002E55DE">
        <w:rPr>
          <w:rFonts w:ascii="Times New Roman" w:eastAsiaTheme="minorEastAsia" w:hAnsi="Times New Roman"/>
          <w:lang w:eastAsia="ko-KR"/>
        </w:rPr>
        <w:t>As indicated in footnote 2, u</w:t>
      </w:r>
      <w:r w:rsidR="00FC65E6" w:rsidRPr="002E55DE">
        <w:rPr>
          <w:rFonts w:ascii="Times New Roman" w:eastAsiaTheme="minorEastAsia" w:hAnsi="Times New Roman"/>
          <w:lang w:eastAsia="ko-KR"/>
        </w:rPr>
        <w:t xml:space="preserve">nfortunately, detailed residential built environment (BE) data were unavailable in our dataset and therefore could not be included. </w:t>
      </w:r>
      <w:bookmarkEnd w:id="38"/>
      <w:r w:rsidR="00C67E6D" w:rsidRPr="002E55DE">
        <w:rPr>
          <w:rFonts w:ascii="Times New Roman" w:eastAsiaTheme="minorEastAsia" w:hAnsi="Times New Roman"/>
          <w:lang w:eastAsia="ko-KR"/>
        </w:rPr>
        <w:t>Individual</w:t>
      </w:r>
      <w:r w:rsidR="0062324F" w:rsidRPr="002E55DE">
        <w:rPr>
          <w:rFonts w:ascii="Times New Roman" w:eastAsiaTheme="minorEastAsia" w:hAnsi="Times New Roman"/>
          <w:lang w:eastAsia="ko-KR"/>
        </w:rPr>
        <w:t>-related</w:t>
      </w:r>
      <w:r w:rsidR="00C67E6D" w:rsidRPr="002E55DE">
        <w:rPr>
          <w:rFonts w:ascii="Times New Roman" w:eastAsiaTheme="minorEastAsia" w:hAnsi="Times New Roman"/>
          <w:lang w:eastAsia="ko-KR"/>
        </w:rPr>
        <w:t xml:space="preserve"> factors </w:t>
      </w:r>
      <w:r w:rsidR="00DC71ED" w:rsidRPr="002E55DE">
        <w:rPr>
          <w:rFonts w:ascii="Times New Roman" w:eastAsiaTheme="minorEastAsia" w:hAnsi="Times New Roman"/>
          <w:lang w:eastAsia="ko-KR"/>
        </w:rPr>
        <w:t xml:space="preserve">include </w:t>
      </w:r>
      <w:r w:rsidR="00C67E6D" w:rsidRPr="002E55DE">
        <w:rPr>
          <w:rFonts w:ascii="Times New Roman" w:eastAsiaTheme="minorEastAsia" w:hAnsi="Times New Roman"/>
          <w:lang w:eastAsia="ko-KR"/>
        </w:rPr>
        <w:t>age, gender, education level, employment status, and race</w:t>
      </w:r>
      <w:r w:rsidR="00396E1E" w:rsidRPr="002E55DE">
        <w:rPr>
          <w:rFonts w:ascii="Times New Roman" w:eastAsiaTheme="minorEastAsia" w:hAnsi="Times New Roman"/>
          <w:lang w:eastAsia="ko-KR"/>
        </w:rPr>
        <w:t xml:space="preserve">. </w:t>
      </w:r>
      <w:r w:rsidR="00B00689" w:rsidRPr="002E55DE">
        <w:rPr>
          <w:rFonts w:ascii="Times New Roman" w:eastAsiaTheme="minorEastAsia" w:hAnsi="Times New Roman"/>
          <w:lang w:eastAsia="ko-KR"/>
        </w:rPr>
        <w:t xml:space="preserve">Household characteristics </w:t>
      </w:r>
      <w:r w:rsidR="000E0D83" w:rsidRPr="002E55DE">
        <w:rPr>
          <w:rFonts w:ascii="Times New Roman" w:eastAsiaTheme="minorEastAsia" w:hAnsi="Times New Roman"/>
          <w:lang w:eastAsia="ko-KR"/>
        </w:rPr>
        <w:t xml:space="preserve">include </w:t>
      </w:r>
      <w:r w:rsidR="00B00689" w:rsidRPr="002E55DE">
        <w:rPr>
          <w:rFonts w:ascii="Times New Roman" w:eastAsiaTheme="minorEastAsia" w:hAnsi="Times New Roman"/>
          <w:lang w:eastAsia="ko-KR"/>
        </w:rPr>
        <w:t>household income, marital status, and household composition.</w:t>
      </w:r>
      <w:r w:rsidR="00396E1E" w:rsidRPr="002E55DE">
        <w:rPr>
          <w:rFonts w:ascii="Times New Roman" w:eastAsiaTheme="minorEastAsia" w:hAnsi="Times New Roman"/>
          <w:lang w:eastAsia="ko-KR"/>
        </w:rPr>
        <w:t xml:space="preserve"> </w:t>
      </w:r>
      <w:r w:rsidR="00B00689" w:rsidRPr="002E55DE">
        <w:rPr>
          <w:rFonts w:ascii="Times New Roman" w:eastAsiaTheme="minorEastAsia" w:hAnsi="Times New Roman"/>
          <w:lang w:eastAsia="ko-KR"/>
        </w:rPr>
        <w:lastRenderedPageBreak/>
        <w:t>Benchmark data from NORC’s report, derived from the U</w:t>
      </w:r>
      <w:r w:rsidR="0062324F" w:rsidRPr="002E55DE">
        <w:rPr>
          <w:rFonts w:ascii="Times New Roman" w:eastAsiaTheme="minorEastAsia" w:hAnsi="Times New Roman"/>
          <w:lang w:eastAsia="ko-KR"/>
        </w:rPr>
        <w:t>.</w:t>
      </w:r>
      <w:r w:rsidR="00B00689" w:rsidRPr="002E55DE">
        <w:rPr>
          <w:rFonts w:ascii="Times New Roman" w:eastAsiaTheme="minorEastAsia" w:hAnsi="Times New Roman"/>
          <w:lang w:eastAsia="ko-KR"/>
        </w:rPr>
        <w:t>S</w:t>
      </w:r>
      <w:r w:rsidR="0062324F" w:rsidRPr="002E55DE">
        <w:rPr>
          <w:rFonts w:ascii="Times New Roman" w:eastAsiaTheme="minorEastAsia" w:hAnsi="Times New Roman"/>
          <w:lang w:eastAsia="ko-KR"/>
        </w:rPr>
        <w:t>.</w:t>
      </w:r>
      <w:r w:rsidR="00B00689" w:rsidRPr="002E55DE">
        <w:rPr>
          <w:rFonts w:ascii="Times New Roman" w:eastAsiaTheme="minorEastAsia" w:hAnsi="Times New Roman"/>
          <w:lang w:eastAsia="ko-KR"/>
        </w:rPr>
        <w:t xml:space="preserve"> Census Current Population Survey (CPS) and the American Community Survey, were used to</w:t>
      </w:r>
      <w:r w:rsidR="00DC71ED" w:rsidRPr="002E55DE">
        <w:rPr>
          <w:rFonts w:ascii="Times New Roman" w:eastAsiaTheme="minorEastAsia" w:hAnsi="Times New Roman"/>
          <w:lang w:eastAsia="ko-KR"/>
        </w:rPr>
        <w:t xml:space="preserve"> determine</w:t>
      </w:r>
      <w:r w:rsidR="00B00689" w:rsidRPr="002E55DE">
        <w:rPr>
          <w:rFonts w:ascii="Times New Roman" w:eastAsiaTheme="minorEastAsia" w:hAnsi="Times New Roman"/>
          <w:lang w:eastAsia="ko-KR"/>
        </w:rPr>
        <w:t xml:space="preserve"> the sample</w:t>
      </w:r>
      <w:r w:rsidR="00137F85" w:rsidRPr="002E55DE">
        <w:rPr>
          <w:rFonts w:ascii="Times New Roman" w:eastAsiaTheme="minorEastAsia" w:hAnsi="Times New Roman"/>
          <w:lang w:eastAsia="ko-KR"/>
        </w:rPr>
        <w:t>’</w:t>
      </w:r>
      <w:r w:rsidR="00B00689" w:rsidRPr="002E55DE">
        <w:rPr>
          <w:rFonts w:ascii="Times New Roman" w:eastAsiaTheme="minorEastAsia" w:hAnsi="Times New Roman"/>
          <w:lang w:eastAsia="ko-KR"/>
        </w:rPr>
        <w:t>s representativeness</w:t>
      </w:r>
      <w:r w:rsidR="00DC71ED" w:rsidRPr="002E55DE">
        <w:rPr>
          <w:rFonts w:ascii="Times New Roman" w:eastAsiaTheme="minorEastAsia" w:hAnsi="Times New Roman"/>
          <w:lang w:eastAsia="ko-KR"/>
        </w:rPr>
        <w:t xml:space="preserve"> of the broader </w:t>
      </w:r>
      <w:r w:rsidR="0069558B" w:rsidRPr="002E55DE">
        <w:rPr>
          <w:rFonts w:ascii="Times New Roman" w:eastAsiaTheme="minorEastAsia" w:hAnsi="Times New Roman"/>
          <w:lang w:eastAsia="ko-KR"/>
        </w:rPr>
        <w:t xml:space="preserve">50+ U.S. </w:t>
      </w:r>
      <w:r w:rsidR="00DC71ED" w:rsidRPr="002E55DE">
        <w:rPr>
          <w:rFonts w:ascii="Times New Roman" w:eastAsiaTheme="minorEastAsia" w:hAnsi="Times New Roman"/>
          <w:lang w:eastAsia="ko-KR"/>
        </w:rPr>
        <w:t>population</w:t>
      </w:r>
      <w:r w:rsidR="00B00689" w:rsidRPr="002E55DE">
        <w:rPr>
          <w:rFonts w:ascii="Times New Roman" w:eastAsiaTheme="minorEastAsia" w:hAnsi="Times New Roman"/>
          <w:lang w:eastAsia="ko-KR"/>
        </w:rPr>
        <w:t xml:space="preserve">, as depicted in Table </w:t>
      </w:r>
      <w:r w:rsidR="00137F85" w:rsidRPr="002E55DE">
        <w:rPr>
          <w:rFonts w:ascii="Times New Roman" w:eastAsiaTheme="minorEastAsia" w:hAnsi="Times New Roman"/>
          <w:lang w:eastAsia="ko-KR"/>
        </w:rPr>
        <w:t>2</w:t>
      </w:r>
      <w:r w:rsidR="0033018C"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{"citationID":"Wt7dL4mL","properties":{"formattedCitation":"(AARP &amp; NORC, 2022)","plainCitation":"(AARP &amp; NORC, 2022)","dontUpdate":true,"noteIndex":0},"citationItems":[{"id":"4nY7bDZH/wFxJWonZ","uris":["http://zotero.org/users/10132210/items/WCDFG7HM"],"itemData":{"id":1025,"type":"document","title":"Foresight 50+ demographics report","URL":"https://www.norc.org/content/dam/norc-org/pdfs/FINAL%20-%20Demographic%20Report%20for%20Foresight%2050+%20--%20April%202022.pdf","author":[{"family":"AARP","given":""},{"family":"NORC","given":""}],"issued":{"date-parts":[["2022",4]]}}}],"schema":"https://github.com/citation-style-language/schema/raw/master/csl-citation.json"} </w:instrText>
      </w:r>
      <w:r w:rsidR="0033018C" w:rsidRPr="002E55DE">
        <w:rPr>
          <w:rFonts w:ascii="Times New Roman" w:eastAsiaTheme="minorEastAsia" w:hAnsi="Times New Roman"/>
          <w:szCs w:val="24"/>
          <w:lang w:eastAsia="ko-KR"/>
        </w:rPr>
        <w:fldChar w:fldCharType="separate"/>
      </w:r>
      <w:r w:rsidR="00B00689" w:rsidRPr="002E55DE">
        <w:rPr>
          <w:rFonts w:ascii="Times New Roman" w:eastAsiaTheme="minorEastAsia" w:hAnsi="Times New Roman"/>
          <w:szCs w:val="24"/>
          <w:lang w:eastAsia="ko-KR"/>
        </w:rPr>
        <w:t xml:space="preserve"> </w:t>
      </w:r>
      <w:r w:rsidR="0033018C" w:rsidRPr="002E55DE">
        <w:rPr>
          <w:rFonts w:ascii="Times New Roman" w:hAnsi="Times New Roman"/>
        </w:rPr>
        <w:t xml:space="preserve">(AARP </w:t>
      </w:r>
      <w:r w:rsidR="00F55DF2" w:rsidRPr="002E55DE">
        <w:rPr>
          <w:rFonts w:ascii="Times New Roman" w:hAnsi="Times New Roman"/>
        </w:rPr>
        <w:t>and</w:t>
      </w:r>
      <w:r w:rsidR="0033018C" w:rsidRPr="002E55DE">
        <w:rPr>
          <w:rFonts w:ascii="Times New Roman" w:hAnsi="Times New Roman"/>
        </w:rPr>
        <w:t xml:space="preserve"> NORC, 2022)</w:t>
      </w:r>
      <w:r w:rsidR="0033018C" w:rsidRPr="002E55DE">
        <w:rPr>
          <w:rFonts w:ascii="Times New Roman" w:eastAsiaTheme="minorEastAsia" w:hAnsi="Times New Roman"/>
          <w:szCs w:val="24"/>
          <w:lang w:eastAsia="ko-KR"/>
        </w:rPr>
        <w:fldChar w:fldCharType="end"/>
      </w:r>
      <w:r w:rsidR="0034149A" w:rsidRPr="002E55DE">
        <w:rPr>
          <w:rFonts w:ascii="Times New Roman" w:eastAsiaTheme="minorEastAsia" w:hAnsi="Times New Roman"/>
          <w:szCs w:val="24"/>
          <w:lang w:eastAsia="ko-KR"/>
        </w:rPr>
        <w:t xml:space="preserve">. </w:t>
      </w:r>
      <w:r w:rsidR="0069558B" w:rsidRPr="002E55DE">
        <w:rPr>
          <w:rFonts w:ascii="Times New Roman" w:eastAsiaTheme="minorEastAsia" w:hAnsi="Times New Roman"/>
          <w:szCs w:val="24"/>
          <w:lang w:eastAsia="ko-KR"/>
        </w:rPr>
        <w:t xml:space="preserve">There was a </w:t>
      </w:r>
      <w:r w:rsidR="0069558B" w:rsidRPr="002E55DE">
        <w:rPr>
          <w:rFonts w:ascii="Times New Roman" w:hAnsi="Times New Roman"/>
          <w:szCs w:val="24"/>
        </w:rPr>
        <w:t>deliberate oversampling of individuals of non-white origin in the NORC survey, as evidenced in the 44.8% of white, non-Hispanic individuals relative to the corresponding census statistic is 70.7% for individuals aged 50 and over), and the clear over</w:t>
      </w:r>
      <w:r w:rsidR="00A16F8A" w:rsidRPr="002E55DE">
        <w:rPr>
          <w:rFonts w:ascii="Times New Roman" w:hAnsi="Times New Roman"/>
          <w:szCs w:val="24"/>
        </w:rPr>
        <w:t>-</w:t>
      </w:r>
      <w:r w:rsidR="0069558B" w:rsidRPr="002E55DE">
        <w:rPr>
          <w:rFonts w:ascii="Times New Roman" w:hAnsi="Times New Roman"/>
          <w:szCs w:val="24"/>
        </w:rPr>
        <w:t xml:space="preserve">representation of individuals of non-Hispanic Black, non-Hispanic Asian, and Hispanic origin. </w:t>
      </w:r>
      <w:r w:rsidR="0069558B" w:rsidRPr="002E55DE">
        <w:rPr>
          <w:rFonts w:ascii="Times New Roman" w:hAnsi="Times New Roman"/>
        </w:rPr>
        <w:t xml:space="preserve">The comparisons </w:t>
      </w:r>
      <w:r w:rsidR="00B837E8" w:rsidRPr="002E55DE">
        <w:rPr>
          <w:rFonts w:ascii="Times New Roman" w:hAnsi="Times New Roman"/>
        </w:rPr>
        <w:t xml:space="preserve">also </w:t>
      </w:r>
      <w:r w:rsidR="0069558B" w:rsidRPr="002E55DE">
        <w:rPr>
          <w:rFonts w:ascii="Times New Roman" w:hAnsi="Times New Roman"/>
        </w:rPr>
        <w:t>reveal an over</w:t>
      </w:r>
      <w:r w:rsidR="00A16F8A" w:rsidRPr="002E55DE">
        <w:rPr>
          <w:rFonts w:ascii="Times New Roman" w:hAnsi="Times New Roman"/>
        </w:rPr>
        <w:t>-</w:t>
      </w:r>
      <w:r w:rsidR="0069558B" w:rsidRPr="002E55DE">
        <w:rPr>
          <w:rFonts w:ascii="Times New Roman" w:hAnsi="Times New Roman"/>
        </w:rPr>
        <w:t>representation</w:t>
      </w:r>
      <w:r w:rsidR="0069558B" w:rsidRPr="002E55DE">
        <w:rPr>
          <w:rFonts w:ascii="Times New Roman" w:eastAsiaTheme="minorEastAsia" w:hAnsi="Times New Roman"/>
          <w:lang w:eastAsia="ko-KR"/>
        </w:rPr>
        <w:t xml:space="preserve"> of </w:t>
      </w:r>
      <w:r w:rsidR="00B837E8" w:rsidRPr="002E55DE">
        <w:rPr>
          <w:rFonts w:ascii="Times New Roman" w:eastAsiaTheme="minorEastAsia" w:hAnsi="Times New Roman"/>
          <w:lang w:eastAsia="ko-KR"/>
        </w:rPr>
        <w:t xml:space="preserve">(a) </w:t>
      </w:r>
      <w:r w:rsidR="0069558B" w:rsidRPr="002E55DE">
        <w:rPr>
          <w:rFonts w:ascii="Times New Roman" w:eastAsiaTheme="minorEastAsia" w:hAnsi="Times New Roman"/>
          <w:lang w:eastAsia="ko-KR"/>
        </w:rPr>
        <w:t>senior individuals (65 years or older), men, individuals with middle and higher levels of education, employed</w:t>
      </w:r>
      <w:r w:rsidR="00B837E8" w:rsidRPr="002E55DE">
        <w:rPr>
          <w:rFonts w:ascii="Times New Roman" w:eastAsiaTheme="minorEastAsia" w:hAnsi="Times New Roman"/>
          <w:lang w:eastAsia="ko-KR"/>
        </w:rPr>
        <w:t xml:space="preserve"> individuals</w:t>
      </w:r>
      <w:r w:rsidR="0069558B" w:rsidRPr="002E55DE">
        <w:rPr>
          <w:rFonts w:ascii="Times New Roman" w:eastAsiaTheme="minorEastAsia" w:hAnsi="Times New Roman"/>
          <w:lang w:eastAsia="ko-KR"/>
        </w:rPr>
        <w:t xml:space="preserve">, </w:t>
      </w:r>
      <w:r w:rsidR="00B837E8" w:rsidRPr="002E55DE">
        <w:rPr>
          <w:rFonts w:ascii="Times New Roman" w:eastAsiaTheme="minorEastAsia" w:hAnsi="Times New Roman"/>
          <w:lang w:eastAsia="ko-KR"/>
        </w:rPr>
        <w:t>and never-married individuals, and (b) h</w:t>
      </w:r>
      <w:r w:rsidR="0069558B" w:rsidRPr="002E55DE">
        <w:rPr>
          <w:rFonts w:ascii="Times New Roman" w:eastAsiaTheme="minorEastAsia" w:hAnsi="Times New Roman"/>
          <w:lang w:eastAsia="ko-KR"/>
        </w:rPr>
        <w:t>ouseholds with a middle-income level and those living with children</w:t>
      </w:r>
      <w:r w:rsidR="00FE4B07" w:rsidRPr="002E55DE">
        <w:rPr>
          <w:rFonts w:ascii="Times New Roman" w:eastAsiaTheme="minorEastAsia" w:hAnsi="Times New Roman"/>
          <w:lang w:eastAsia="ko-KR"/>
        </w:rPr>
        <w:t xml:space="preserve"> (a child was defined in the survey as an individual less than the age of 18 years)</w:t>
      </w:r>
      <w:r w:rsidR="0069558B" w:rsidRPr="002E55DE">
        <w:rPr>
          <w:rFonts w:ascii="Times New Roman" w:eastAsiaTheme="minorEastAsia" w:hAnsi="Times New Roman"/>
          <w:lang w:eastAsia="ko-KR"/>
        </w:rPr>
        <w:t>.</w:t>
      </w:r>
      <w:r w:rsidR="00FE4B07" w:rsidRPr="002E55DE">
        <w:rPr>
          <w:rFonts w:ascii="Times New Roman" w:eastAsiaTheme="minorEastAsia" w:hAnsi="Times New Roman"/>
          <w:lang w:eastAsia="ko-KR"/>
        </w:rPr>
        <w:t xml:space="preserve"> </w:t>
      </w:r>
      <w:r w:rsidR="009D02F0" w:rsidRPr="002E55DE">
        <w:rPr>
          <w:rFonts w:ascii="Times New Roman" w:eastAsiaTheme="minorEastAsia" w:hAnsi="Times New Roman"/>
          <w:lang w:eastAsia="ko-KR"/>
        </w:rPr>
        <w:t xml:space="preserve">The subcolumns for walkers and non-walkers show different distributions across socioeconomic groups, but these are </w:t>
      </w:r>
      <w:r w:rsidR="005B5D53" w:rsidRPr="002E55DE">
        <w:rPr>
          <w:rFonts w:ascii="Times New Roman" w:eastAsiaTheme="minorEastAsia" w:hAnsi="Times New Roman" w:hint="eastAsia"/>
          <w:lang w:eastAsia="ko-KR"/>
        </w:rPr>
        <w:t>mere</w:t>
      </w:r>
      <w:r w:rsidR="009D02F0" w:rsidRPr="002E55DE">
        <w:rPr>
          <w:rFonts w:ascii="Times New Roman" w:eastAsiaTheme="minorEastAsia" w:hAnsi="Times New Roman"/>
          <w:lang w:eastAsia="ko-KR"/>
        </w:rPr>
        <w:t xml:space="preserve"> univariate differences. The model results in Section 4 present multivariate differences that control for all correlated sociodemographic variables, providing a more comprehensive analysis.</w:t>
      </w:r>
    </w:p>
    <w:p w14:paraId="692E63FE" w14:textId="26D203F4" w:rsidR="007F24B9" w:rsidRPr="002E55DE" w:rsidRDefault="0069558B" w:rsidP="00D37534">
      <w:pPr>
        <w:ind w:firstLine="720"/>
        <w:jc w:val="both"/>
        <w:rPr>
          <w:rFonts w:ascii="Times New Roman" w:eastAsiaTheme="minorEastAsia" w:hAnsi="Times New Roman"/>
          <w:szCs w:val="24"/>
          <w:lang w:eastAsia="ko-KR"/>
        </w:rPr>
      </w:pPr>
      <w:r w:rsidRPr="002E55DE">
        <w:rPr>
          <w:rFonts w:ascii="Times New Roman" w:hAnsi="Times New Roman"/>
          <w:szCs w:val="24"/>
        </w:rPr>
        <w:t>In estimation, we use the unweighted sample</w:t>
      </w:r>
      <w:r w:rsidR="00FC192E" w:rsidRPr="002E55DE">
        <w:rPr>
          <w:rFonts w:ascii="Times New Roman" w:hAnsi="Times New Roman"/>
          <w:szCs w:val="24"/>
        </w:rPr>
        <w:t>, given our</w:t>
      </w:r>
      <w:r w:rsidRPr="002E55DE">
        <w:rPr>
          <w:rFonts w:ascii="Times New Roman" w:hAnsi="Times New Roman"/>
          <w:szCs w:val="24"/>
        </w:rPr>
        <w:t xml:space="preserve"> focus is </w:t>
      </w:r>
      <w:r w:rsidR="00FC192E" w:rsidRPr="002E55DE">
        <w:rPr>
          <w:rFonts w:ascii="Times New Roman" w:hAnsi="Times New Roman"/>
          <w:szCs w:val="24"/>
        </w:rPr>
        <w:t xml:space="preserve">to </w:t>
      </w:r>
      <w:r w:rsidRPr="002E55DE">
        <w:rPr>
          <w:rFonts w:ascii="Times New Roman" w:hAnsi="Times New Roman"/>
          <w:szCs w:val="24"/>
        </w:rPr>
        <w:t>estimat</w:t>
      </w:r>
      <w:r w:rsidR="00FC192E" w:rsidRPr="002E55DE">
        <w:rPr>
          <w:rFonts w:ascii="Times New Roman" w:hAnsi="Times New Roman"/>
          <w:szCs w:val="24"/>
        </w:rPr>
        <w:t xml:space="preserve">e </w:t>
      </w:r>
      <w:r w:rsidRPr="002E55DE">
        <w:rPr>
          <w:rFonts w:ascii="Times New Roman" w:hAnsi="Times New Roman"/>
          <w:szCs w:val="24"/>
        </w:rPr>
        <w:t xml:space="preserve">individual-level relationships </w:t>
      </w:r>
      <w:r w:rsidR="00FC192E" w:rsidRPr="002E55DE">
        <w:rPr>
          <w:rFonts w:ascii="Times New Roman" w:hAnsi="Times New Roman"/>
          <w:szCs w:val="24"/>
        </w:rPr>
        <w:t xml:space="preserve">of the effect of </w:t>
      </w:r>
      <w:r w:rsidRPr="002E55DE">
        <w:rPr>
          <w:rFonts w:ascii="Times New Roman" w:hAnsi="Times New Roman"/>
          <w:szCs w:val="24"/>
        </w:rPr>
        <w:t xml:space="preserve">changes in exogenous </w:t>
      </w:r>
      <w:r w:rsidR="00FC192E" w:rsidRPr="002E55DE">
        <w:rPr>
          <w:rFonts w:ascii="Times New Roman" w:hAnsi="Times New Roman"/>
          <w:szCs w:val="24"/>
        </w:rPr>
        <w:t>variables</w:t>
      </w:r>
      <w:r w:rsidRPr="002E55DE">
        <w:rPr>
          <w:rFonts w:ascii="Times New Roman" w:hAnsi="Times New Roman"/>
          <w:szCs w:val="24"/>
        </w:rPr>
        <w:t xml:space="preserve"> </w:t>
      </w:r>
      <w:r w:rsidR="00FC192E" w:rsidRPr="002E55DE">
        <w:rPr>
          <w:rFonts w:ascii="Times New Roman" w:hAnsi="Times New Roman"/>
          <w:szCs w:val="24"/>
        </w:rPr>
        <w:t>on the endogenous outcomes</w:t>
      </w:r>
      <w:r w:rsidRPr="002E55DE">
        <w:rPr>
          <w:rFonts w:ascii="Times New Roman" w:hAnsi="Times New Roman"/>
          <w:szCs w:val="24"/>
        </w:rPr>
        <w:t xml:space="preserve">. </w:t>
      </w:r>
      <w:r w:rsidR="00FC192E" w:rsidRPr="002E55DE">
        <w:rPr>
          <w:rFonts w:ascii="Times New Roman" w:hAnsi="Times New Roman"/>
          <w:szCs w:val="24"/>
        </w:rPr>
        <w:t xml:space="preserve">Thus, the main </w:t>
      </w:r>
      <w:r w:rsidRPr="002E55DE">
        <w:rPr>
          <w:rFonts w:ascii="Times New Roman" w:hAnsi="Times New Roman"/>
          <w:szCs w:val="24"/>
        </w:rPr>
        <w:t xml:space="preserve">consideration </w:t>
      </w:r>
      <w:r w:rsidR="00FC192E" w:rsidRPr="002E55DE">
        <w:rPr>
          <w:rFonts w:ascii="Times New Roman" w:hAnsi="Times New Roman"/>
          <w:szCs w:val="24"/>
        </w:rPr>
        <w:t xml:space="preserve">relates to </w:t>
      </w:r>
      <w:r w:rsidRPr="002E55DE">
        <w:rPr>
          <w:rFonts w:ascii="Times New Roman" w:hAnsi="Times New Roman"/>
          <w:szCs w:val="24"/>
        </w:rPr>
        <w:t>whether the</w:t>
      </w:r>
      <w:r w:rsidR="00FC192E" w:rsidRPr="002E55DE">
        <w:rPr>
          <w:rFonts w:ascii="Times New Roman" w:hAnsi="Times New Roman"/>
          <w:szCs w:val="24"/>
        </w:rPr>
        <w:t xml:space="preserve"> </w:t>
      </w:r>
      <w:r w:rsidRPr="002E55DE">
        <w:rPr>
          <w:rFonts w:ascii="Times New Roman" w:hAnsi="Times New Roman"/>
          <w:szCs w:val="24"/>
        </w:rPr>
        <w:t>sampling strategy is endogenous or exogenous to</w:t>
      </w:r>
      <w:r w:rsidR="00A16F8A" w:rsidRPr="002E55DE">
        <w:rPr>
          <w:rFonts w:ascii="Times New Roman" w:hAnsi="Times New Roman"/>
          <w:szCs w:val="24"/>
        </w:rPr>
        <w:t xml:space="preserve"> the</w:t>
      </w:r>
      <w:r w:rsidRPr="002E55DE">
        <w:rPr>
          <w:rFonts w:ascii="Times New Roman" w:hAnsi="Times New Roman"/>
          <w:szCs w:val="24"/>
        </w:rPr>
        <w:t xml:space="preserve"> modeled outcomes. </w:t>
      </w:r>
      <w:r w:rsidR="00FC192E" w:rsidRPr="002E55DE">
        <w:rPr>
          <w:rFonts w:ascii="Times New Roman" w:hAnsi="Times New Roman"/>
          <w:szCs w:val="24"/>
        </w:rPr>
        <w:t xml:space="preserve">Because our sample corresponds to exogenous sampling, </w:t>
      </w:r>
      <w:r w:rsidRPr="002E55DE">
        <w:rPr>
          <w:rFonts w:ascii="Times New Roman" w:hAnsi="Times New Roman"/>
          <w:szCs w:val="24"/>
        </w:rPr>
        <w:t xml:space="preserve">we use the </w:t>
      </w:r>
      <w:r w:rsidR="00FC192E" w:rsidRPr="002E55DE">
        <w:rPr>
          <w:rFonts w:ascii="Times New Roman" w:hAnsi="Times New Roman"/>
          <w:szCs w:val="24"/>
        </w:rPr>
        <w:t xml:space="preserve">efficient and consistent </w:t>
      </w:r>
      <w:r w:rsidRPr="002E55DE">
        <w:rPr>
          <w:rFonts w:ascii="Times New Roman" w:hAnsi="Times New Roman"/>
          <w:szCs w:val="24"/>
        </w:rPr>
        <w:t>unweighted approach (see also</w:t>
      </w:r>
      <w:r w:rsidR="00403B9D" w:rsidRPr="002E55DE">
        <w:rPr>
          <w:rFonts w:ascii="Times New Roman" w:eastAsiaTheme="minorEastAsia" w:hAnsi="Times New Roman"/>
          <w:szCs w:val="24"/>
          <w:lang w:eastAsia="ko-KR"/>
        </w:rPr>
        <w:t xml:space="preserve"> </w:t>
      </w:r>
      <w:r w:rsidR="00403B9D"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{"citationID":"Kl5PdrqL","properties":{"unsorted":true,"formattedCitation":"(Wooldridge, 1995; Solon et al., 2015)","plainCitation":"(Wooldridge, 1995; Solon et al., 2015)","dontUpdate":true,"noteIndex":0},"citationItems":[{"id":"4nY7bDZH/k3Ri0h2r","uris":["http://zotero.org/users/10132210/items/FD8DXMH7"],"itemData":{"id":1247,"type":"article-journal","container-title":"Journal of econometrics","issue":"1","note":"publisher: Elsevier","page":"115–132","title":"Selection corrections for panel data models under conditional mean independence assumptions","volume":"68","author":[{"family":"Wooldridge","given":"Jeffrey M"}],"issued":{"date-parts":[["1995"]]}}},{"id":"4nY7bDZH/tg6dNnEK","uris":["http://zotero.org/users/10132210/items/HFQRXJFP"],"itemData":{"id":1246,"type":"article-journal","container-title":"Journal of Human resources","issue":"2","note":"publisher: University of Wisconsin Press","page":"301–316","title":"What are we weighting for?","volume":"50","author":[{"family":"Solon","given":"Gary"},{"family":"Haider","given":"Steven J"},{"family":"Wooldridge","given":"Jeffrey M"}],"issued":{"date-parts":[["2015"]]}}}],"schema":"https://github.com/citation-style-language/schema/raw/master/csl-citation.json"} </w:instrText>
      </w:r>
      <w:r w:rsidR="00403B9D" w:rsidRPr="002E55DE">
        <w:rPr>
          <w:rFonts w:ascii="Times New Roman" w:eastAsiaTheme="minorEastAsia" w:hAnsi="Times New Roman"/>
          <w:szCs w:val="24"/>
          <w:lang w:eastAsia="ko-KR"/>
        </w:rPr>
        <w:fldChar w:fldCharType="separate"/>
      </w:r>
      <w:r w:rsidR="00656149" w:rsidRPr="002E55DE">
        <w:rPr>
          <w:rFonts w:ascii="Times New Roman" w:hAnsi="Times New Roman"/>
        </w:rPr>
        <w:t>Wooldridge, 1995</w:t>
      </w:r>
      <w:r w:rsidR="00656149" w:rsidRPr="002E55DE">
        <w:rPr>
          <w:rFonts w:ascii="Times New Roman" w:eastAsiaTheme="minorEastAsia" w:hAnsi="Times New Roman"/>
          <w:lang w:eastAsia="ko-KR"/>
        </w:rPr>
        <w:t xml:space="preserve"> and </w:t>
      </w:r>
      <w:r w:rsidR="00656149" w:rsidRPr="002E55DE">
        <w:rPr>
          <w:rFonts w:ascii="Times New Roman" w:hAnsi="Times New Roman"/>
        </w:rPr>
        <w:t>Solon et al., 2015)</w:t>
      </w:r>
      <w:r w:rsidR="00403B9D" w:rsidRPr="002E55DE">
        <w:rPr>
          <w:rFonts w:ascii="Times New Roman" w:eastAsiaTheme="minorEastAsia" w:hAnsi="Times New Roman"/>
          <w:szCs w:val="24"/>
          <w:lang w:eastAsia="ko-KR"/>
        </w:rPr>
        <w:fldChar w:fldCharType="end"/>
      </w:r>
      <w:r w:rsidR="00656149" w:rsidRPr="002E55DE">
        <w:rPr>
          <w:rFonts w:ascii="Times New Roman" w:eastAsiaTheme="minorEastAsia" w:hAnsi="Times New Roman"/>
          <w:szCs w:val="24"/>
          <w:lang w:eastAsia="ko-KR"/>
        </w:rPr>
        <w:t>.</w:t>
      </w:r>
      <w:r w:rsidR="002E3672" w:rsidRPr="002E55DE">
        <w:rPr>
          <w:rFonts w:ascii="Times New Roman" w:eastAsiaTheme="minorEastAsia" w:hAnsi="Times New Roman" w:hint="eastAsia"/>
          <w:szCs w:val="24"/>
          <w:lang w:eastAsia="ko-KR"/>
        </w:rPr>
        <w:t xml:space="preserve"> </w:t>
      </w:r>
      <w:r w:rsidR="005A5C56" w:rsidRPr="002E55DE">
        <w:rPr>
          <w:rFonts w:ascii="Times New Roman" w:eastAsiaTheme="minorEastAsia" w:hAnsi="Times New Roman"/>
          <w:szCs w:val="24"/>
          <w:lang w:eastAsia="ko-KR"/>
        </w:rPr>
        <w:t>When selecting variables for analysis, we applied a 10% minimum threshold for each category to ensure sufficient statistical power and representation across all demographic segments.</w:t>
      </w:r>
    </w:p>
    <w:p w14:paraId="6AD2BE88" w14:textId="76617110" w:rsidR="00A16F8A" w:rsidRPr="002E55DE" w:rsidRDefault="00A16F8A">
      <w:pPr>
        <w:rPr>
          <w:rFonts w:eastAsiaTheme="minorEastAsia"/>
          <w:lang w:eastAsia="ko-KR"/>
        </w:rPr>
      </w:pPr>
    </w:p>
    <w:p w14:paraId="0AC88940" w14:textId="659E63F5" w:rsidR="00E2767C" w:rsidRPr="002E55DE" w:rsidRDefault="00E2767C" w:rsidP="00797FA2">
      <w:pPr>
        <w:rPr>
          <w:rFonts w:ascii="Times New Roman" w:hAnsi="Times New Roman"/>
          <w:b/>
          <w:bCs/>
        </w:rPr>
      </w:pPr>
      <w:r w:rsidRPr="002E55DE">
        <w:rPr>
          <w:rFonts w:ascii="Times New Roman" w:hAnsi="Times New Roman"/>
          <w:b/>
          <w:bCs/>
        </w:rPr>
        <w:t xml:space="preserve">Table </w:t>
      </w:r>
      <w:r w:rsidRPr="002E55DE">
        <w:rPr>
          <w:rFonts w:ascii="Times New Roman" w:hAnsi="Times New Roman"/>
          <w:b/>
          <w:bCs/>
        </w:rPr>
        <w:fldChar w:fldCharType="begin"/>
      </w:r>
      <w:r w:rsidRPr="002E55DE">
        <w:rPr>
          <w:rFonts w:ascii="Times New Roman" w:hAnsi="Times New Roman"/>
          <w:b/>
          <w:bCs/>
        </w:rPr>
        <w:instrText xml:space="preserve"> SEQ Table \* ARABIC </w:instrText>
      </w:r>
      <w:r w:rsidRPr="002E55DE">
        <w:rPr>
          <w:rFonts w:ascii="Times New Roman" w:hAnsi="Times New Roman"/>
          <w:b/>
          <w:bCs/>
        </w:rPr>
        <w:fldChar w:fldCharType="separate"/>
      </w:r>
      <w:r w:rsidR="006E3826">
        <w:rPr>
          <w:rFonts w:ascii="Times New Roman" w:hAnsi="Times New Roman"/>
          <w:b/>
          <w:bCs/>
          <w:noProof/>
        </w:rPr>
        <w:t>2</w:t>
      </w:r>
      <w:r w:rsidRPr="002E55DE">
        <w:rPr>
          <w:rFonts w:ascii="Times New Roman" w:hAnsi="Times New Roman"/>
          <w:b/>
          <w:bCs/>
        </w:rPr>
        <w:fldChar w:fldCharType="end"/>
      </w:r>
      <w:r w:rsidR="00AA7404" w:rsidRPr="002E55DE">
        <w:rPr>
          <w:rFonts w:ascii="Times New Roman" w:hAnsi="Times New Roman"/>
          <w:b/>
          <w:bCs/>
        </w:rPr>
        <w:t>.</w:t>
      </w:r>
      <w:r w:rsidRPr="002E55DE">
        <w:rPr>
          <w:rFonts w:ascii="Times New Roman" w:eastAsiaTheme="minorEastAsia" w:hAnsi="Times New Roman"/>
          <w:b/>
          <w:bCs/>
          <w:lang w:eastAsia="ko-KR"/>
        </w:rPr>
        <w:t xml:space="preserve"> </w:t>
      </w:r>
      <w:r w:rsidR="00A02B56" w:rsidRPr="002E55DE">
        <w:rPr>
          <w:rFonts w:ascii="Times New Roman" w:eastAsiaTheme="minorEastAsia" w:hAnsi="Times New Roman" w:hint="eastAsia"/>
          <w:b/>
          <w:bCs/>
          <w:lang w:eastAsia="ko-KR"/>
        </w:rPr>
        <w:t>S</w:t>
      </w:r>
      <w:r w:rsidR="00A02B56" w:rsidRPr="002E55DE">
        <w:rPr>
          <w:rFonts w:ascii="Times New Roman" w:eastAsiaTheme="minorEastAsia" w:hAnsi="Times New Roman"/>
          <w:b/>
          <w:bCs/>
          <w:lang w:eastAsia="ko-KR"/>
        </w:rPr>
        <w:t>a</w:t>
      </w:r>
      <w:r w:rsidR="00A02B56" w:rsidRPr="002E55DE">
        <w:rPr>
          <w:rFonts w:ascii="Times New Roman" w:eastAsiaTheme="minorEastAsia" w:hAnsi="Times New Roman" w:hint="eastAsia"/>
          <w:b/>
          <w:bCs/>
          <w:lang w:eastAsia="ko-KR"/>
        </w:rPr>
        <w:t>mple Distribution of Exogenous Variables (N = 1,667)</w:t>
      </w:r>
    </w:p>
    <w:tbl>
      <w:tblPr>
        <w:tblStyle w:val="TableGrid"/>
        <w:tblW w:w="933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27"/>
        <w:gridCol w:w="1170"/>
        <w:gridCol w:w="1170"/>
        <w:gridCol w:w="1440"/>
        <w:gridCol w:w="1530"/>
      </w:tblGrid>
      <w:tr w:rsidR="002E55DE" w:rsidRPr="002E55DE" w14:paraId="5A24E94D" w14:textId="77777777" w:rsidTr="007B3FB7">
        <w:trPr>
          <w:trHeight w:val="144"/>
          <w:tblHeader/>
        </w:trPr>
        <w:tc>
          <w:tcPr>
            <w:tcW w:w="4027" w:type="dxa"/>
            <w:vMerge w:val="restart"/>
            <w:tcBorders>
              <w:top w:val="single" w:sz="18" w:space="0" w:color="auto"/>
              <w:left w:val="single" w:sz="18" w:space="0" w:color="auto"/>
            </w:tcBorders>
            <w:noWrap/>
            <w:tcMar>
              <w:left w:w="58" w:type="dxa"/>
              <w:right w:w="58" w:type="dxa"/>
            </w:tcMar>
            <w:vAlign w:val="center"/>
            <w:hideMark/>
          </w:tcPr>
          <w:p w14:paraId="11BC8830"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Variable</w:t>
            </w:r>
          </w:p>
        </w:tc>
        <w:tc>
          <w:tcPr>
            <w:tcW w:w="3780" w:type="dxa"/>
            <w:gridSpan w:val="3"/>
            <w:tcBorders>
              <w:top w:val="single" w:sz="18" w:space="0" w:color="auto"/>
              <w:bottom w:val="single" w:sz="4" w:space="0" w:color="auto"/>
            </w:tcBorders>
            <w:noWrap/>
            <w:tcMar>
              <w:left w:w="58" w:type="dxa"/>
              <w:right w:w="58" w:type="dxa"/>
            </w:tcMar>
            <w:vAlign w:val="center"/>
            <w:hideMark/>
          </w:tcPr>
          <w:p w14:paraId="08C149B2" w14:textId="166DF888" w:rsidR="001029C5" w:rsidRPr="002E55DE" w:rsidRDefault="001029C5" w:rsidP="007B3FB7">
            <w:pPr>
              <w:jc w:val="center"/>
              <w:rPr>
                <w:rFonts w:ascii="Times New Roman" w:eastAsiaTheme="minorEastAsia" w:hAnsi="Times New Roman"/>
                <w:b/>
                <w:bCs/>
                <w:sz w:val="22"/>
                <w:szCs w:val="22"/>
                <w:lang w:eastAsia="ko-KR"/>
              </w:rPr>
            </w:pPr>
            <w:r w:rsidRPr="002E55DE">
              <w:rPr>
                <w:rFonts w:ascii="Times New Roman" w:eastAsia="Times New Roman" w:hAnsi="Times New Roman"/>
                <w:b/>
                <w:bCs/>
                <w:sz w:val="22"/>
                <w:szCs w:val="22"/>
                <w:lang w:eastAsia="ko-KR"/>
              </w:rPr>
              <w:t>% in Sample</w:t>
            </w:r>
          </w:p>
        </w:tc>
        <w:tc>
          <w:tcPr>
            <w:tcW w:w="1530" w:type="dxa"/>
            <w:vMerge w:val="restart"/>
            <w:tcBorders>
              <w:top w:val="single" w:sz="18" w:space="0" w:color="auto"/>
              <w:right w:val="single" w:sz="18" w:space="0" w:color="auto"/>
            </w:tcBorders>
            <w:noWrap/>
            <w:tcMar>
              <w:left w:w="58" w:type="dxa"/>
              <w:right w:w="58" w:type="dxa"/>
            </w:tcMar>
            <w:vAlign w:val="center"/>
            <w:hideMark/>
          </w:tcPr>
          <w:p w14:paraId="7A34E43D" w14:textId="11339D67" w:rsidR="001029C5" w:rsidRPr="002E55DE" w:rsidRDefault="001029C5" w:rsidP="007B3FB7">
            <w:pPr>
              <w:jc w:val="cente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 xml:space="preserve">% in </w:t>
            </w:r>
            <w:r w:rsidR="00447B32">
              <w:rPr>
                <w:rFonts w:ascii="Times New Roman" w:eastAsia="Times New Roman" w:hAnsi="Times New Roman"/>
                <w:b/>
                <w:bCs/>
                <w:sz w:val="22"/>
                <w:szCs w:val="22"/>
                <w:lang w:eastAsia="ko-KR"/>
              </w:rPr>
              <w:t>B</w:t>
            </w:r>
            <w:r w:rsidRPr="002E55DE">
              <w:rPr>
                <w:rFonts w:ascii="Times New Roman" w:eastAsia="Times New Roman" w:hAnsi="Times New Roman"/>
                <w:b/>
                <w:bCs/>
                <w:sz w:val="22"/>
                <w:szCs w:val="22"/>
                <w:lang w:eastAsia="ko-KR"/>
              </w:rPr>
              <w:t xml:space="preserve">enchmark </w:t>
            </w:r>
            <w:r w:rsidR="00447B32">
              <w:rPr>
                <w:rFonts w:ascii="Times New Roman" w:eastAsia="Times New Roman" w:hAnsi="Times New Roman"/>
                <w:b/>
                <w:bCs/>
                <w:sz w:val="22"/>
                <w:szCs w:val="22"/>
                <w:lang w:eastAsia="ko-KR"/>
              </w:rPr>
              <w:t xml:space="preserve">Data </w:t>
            </w:r>
            <w:r w:rsidRPr="002E55DE">
              <w:rPr>
                <w:rFonts w:ascii="Times New Roman" w:eastAsia="Times New Roman" w:hAnsi="Times New Roman"/>
                <w:b/>
                <w:bCs/>
                <w:sz w:val="22"/>
                <w:szCs w:val="22"/>
                <w:lang w:eastAsia="ko-KR"/>
              </w:rPr>
              <w:t>(2021)</w:t>
            </w:r>
          </w:p>
        </w:tc>
      </w:tr>
      <w:tr w:rsidR="002E55DE" w:rsidRPr="002E55DE" w14:paraId="46FC59E1" w14:textId="77777777" w:rsidTr="007B3FB7">
        <w:trPr>
          <w:trHeight w:val="144"/>
        </w:trPr>
        <w:tc>
          <w:tcPr>
            <w:tcW w:w="4027" w:type="dxa"/>
            <w:vMerge/>
            <w:tcBorders>
              <w:left w:val="single" w:sz="18" w:space="0" w:color="auto"/>
              <w:bottom w:val="dashSmallGap" w:sz="4" w:space="0" w:color="auto"/>
            </w:tcBorders>
            <w:noWrap/>
            <w:tcMar>
              <w:left w:w="58" w:type="dxa"/>
              <w:right w:w="58" w:type="dxa"/>
            </w:tcMar>
            <w:vAlign w:val="center"/>
          </w:tcPr>
          <w:p w14:paraId="223AAD52" w14:textId="77777777" w:rsidR="001029C5" w:rsidRPr="002E55DE" w:rsidRDefault="001029C5" w:rsidP="007B3FB7">
            <w:pPr>
              <w:rPr>
                <w:rFonts w:ascii="Times New Roman" w:eastAsia="Times New Roman" w:hAnsi="Times New Roman"/>
                <w:b/>
                <w:bCs/>
                <w:sz w:val="22"/>
                <w:szCs w:val="22"/>
                <w:lang w:eastAsia="ko-KR"/>
              </w:rPr>
            </w:pPr>
          </w:p>
        </w:tc>
        <w:tc>
          <w:tcPr>
            <w:tcW w:w="1170" w:type="dxa"/>
            <w:tcBorders>
              <w:top w:val="single" w:sz="4" w:space="0" w:color="auto"/>
              <w:bottom w:val="dashSmallGap" w:sz="4" w:space="0" w:color="auto"/>
              <w:right w:val="dashSmallGap" w:sz="4" w:space="0" w:color="auto"/>
            </w:tcBorders>
            <w:noWrap/>
            <w:tcMar>
              <w:left w:w="58" w:type="dxa"/>
              <w:right w:w="58" w:type="dxa"/>
            </w:tcMar>
            <w:vAlign w:val="center"/>
          </w:tcPr>
          <w:p w14:paraId="18ED2F52" w14:textId="333C446F" w:rsidR="001029C5" w:rsidRPr="002E55DE" w:rsidRDefault="001029C5" w:rsidP="007B3FB7">
            <w:pPr>
              <w:jc w:val="center"/>
              <w:rPr>
                <w:rFonts w:ascii="Times New Roman" w:eastAsiaTheme="minorEastAsia" w:hAnsi="Times New Roman"/>
                <w:b/>
                <w:bCs/>
                <w:sz w:val="22"/>
                <w:szCs w:val="22"/>
                <w:lang w:eastAsia="ko-KR"/>
              </w:rPr>
            </w:pPr>
            <w:r w:rsidRPr="002E55DE">
              <w:rPr>
                <w:rFonts w:ascii="Times New Roman" w:eastAsiaTheme="minorEastAsia" w:hAnsi="Times New Roman"/>
                <w:b/>
                <w:bCs/>
                <w:sz w:val="22"/>
                <w:szCs w:val="22"/>
                <w:lang w:eastAsia="ko-KR"/>
              </w:rPr>
              <w:t>Total</w:t>
            </w:r>
            <w:r w:rsidR="008360C3" w:rsidRPr="002E55DE">
              <w:rPr>
                <w:rFonts w:ascii="Times New Roman" w:eastAsiaTheme="minorEastAsia" w:hAnsi="Times New Roman"/>
                <w:b/>
                <w:bCs/>
                <w:sz w:val="22"/>
                <w:szCs w:val="22"/>
                <w:lang w:eastAsia="ko-KR"/>
              </w:rPr>
              <w:t xml:space="preserve"> (N=1667)</w:t>
            </w: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5E3D294A" w14:textId="65E3D8E6" w:rsidR="001029C5" w:rsidRPr="002E55DE" w:rsidRDefault="001029C5" w:rsidP="007B3FB7">
            <w:pPr>
              <w:jc w:val="center"/>
              <w:rPr>
                <w:rFonts w:ascii="Times New Roman" w:eastAsiaTheme="minorEastAsia" w:hAnsi="Times New Roman"/>
                <w:b/>
                <w:bCs/>
                <w:sz w:val="22"/>
                <w:szCs w:val="22"/>
                <w:lang w:eastAsia="ko-KR"/>
              </w:rPr>
            </w:pPr>
            <w:r w:rsidRPr="002E55DE">
              <w:rPr>
                <w:rFonts w:ascii="Times New Roman" w:eastAsiaTheme="minorEastAsia" w:hAnsi="Times New Roman"/>
                <w:b/>
                <w:bCs/>
                <w:sz w:val="22"/>
                <w:szCs w:val="22"/>
                <w:lang w:eastAsia="ko-KR"/>
              </w:rPr>
              <w:t>Walker</w:t>
            </w:r>
            <w:r w:rsidR="008360C3" w:rsidRPr="002E55DE">
              <w:rPr>
                <w:rFonts w:ascii="Times New Roman" w:eastAsiaTheme="minorEastAsia" w:hAnsi="Times New Roman"/>
                <w:b/>
                <w:bCs/>
                <w:sz w:val="22"/>
                <w:szCs w:val="22"/>
                <w:lang w:eastAsia="ko-KR"/>
              </w:rPr>
              <w:t xml:space="preserve"> </w:t>
            </w:r>
            <w:r w:rsidR="008360C3" w:rsidRPr="002E55DE">
              <w:rPr>
                <w:rFonts w:ascii="Times New Roman" w:hAnsi="Times New Roman"/>
                <w:b/>
                <w:bCs/>
                <w:sz w:val="22"/>
                <w:szCs w:val="22"/>
              </w:rPr>
              <w:t>(N=1352)</w:t>
            </w:r>
          </w:p>
        </w:tc>
        <w:tc>
          <w:tcPr>
            <w:tcW w:w="1440" w:type="dxa"/>
            <w:tcBorders>
              <w:top w:val="single" w:sz="4" w:space="0" w:color="auto"/>
              <w:left w:val="dashSmallGap" w:sz="4" w:space="0" w:color="auto"/>
              <w:bottom w:val="dashSmallGap" w:sz="4" w:space="0" w:color="auto"/>
            </w:tcBorders>
            <w:tcMar>
              <w:left w:w="58" w:type="dxa"/>
              <w:right w:w="58" w:type="dxa"/>
            </w:tcMar>
            <w:vAlign w:val="center"/>
          </w:tcPr>
          <w:p w14:paraId="4017DCAC" w14:textId="3784EE97" w:rsidR="001029C5" w:rsidRPr="002E55DE" w:rsidRDefault="001029C5" w:rsidP="007B3FB7">
            <w:pPr>
              <w:jc w:val="center"/>
              <w:rPr>
                <w:rFonts w:ascii="Times New Roman" w:eastAsiaTheme="minorEastAsia" w:hAnsi="Times New Roman"/>
                <w:b/>
                <w:bCs/>
                <w:sz w:val="22"/>
                <w:szCs w:val="22"/>
                <w:lang w:eastAsia="ko-KR"/>
              </w:rPr>
            </w:pPr>
            <w:r w:rsidRPr="002E55DE">
              <w:rPr>
                <w:rFonts w:ascii="Times New Roman" w:eastAsiaTheme="minorEastAsia" w:hAnsi="Times New Roman"/>
                <w:b/>
                <w:bCs/>
                <w:sz w:val="22"/>
                <w:szCs w:val="22"/>
                <w:lang w:eastAsia="ko-KR"/>
              </w:rPr>
              <w:t>Non-walker</w:t>
            </w:r>
            <w:r w:rsidR="008360C3" w:rsidRPr="002E55DE">
              <w:rPr>
                <w:rFonts w:ascii="Times New Roman" w:eastAsiaTheme="minorEastAsia" w:hAnsi="Times New Roman"/>
                <w:b/>
                <w:bCs/>
                <w:sz w:val="22"/>
                <w:szCs w:val="22"/>
                <w:lang w:eastAsia="ko-KR"/>
              </w:rPr>
              <w:t xml:space="preserve"> </w:t>
            </w:r>
            <w:r w:rsidR="008360C3" w:rsidRPr="002E55DE">
              <w:rPr>
                <w:rFonts w:ascii="Times New Roman" w:hAnsi="Times New Roman"/>
                <w:b/>
                <w:bCs/>
                <w:sz w:val="22"/>
                <w:szCs w:val="22"/>
              </w:rPr>
              <w:t>(N=315)</w:t>
            </w:r>
          </w:p>
        </w:tc>
        <w:tc>
          <w:tcPr>
            <w:tcW w:w="1530" w:type="dxa"/>
            <w:vMerge/>
            <w:tcBorders>
              <w:bottom w:val="dashSmallGap" w:sz="4" w:space="0" w:color="auto"/>
              <w:right w:val="single" w:sz="18" w:space="0" w:color="auto"/>
            </w:tcBorders>
            <w:noWrap/>
            <w:tcMar>
              <w:left w:w="58" w:type="dxa"/>
              <w:right w:w="58" w:type="dxa"/>
            </w:tcMar>
            <w:vAlign w:val="center"/>
          </w:tcPr>
          <w:p w14:paraId="6E798551" w14:textId="77777777" w:rsidR="001029C5" w:rsidRPr="002E55DE" w:rsidRDefault="001029C5" w:rsidP="007B3FB7">
            <w:pPr>
              <w:jc w:val="right"/>
              <w:rPr>
                <w:rFonts w:ascii="Times New Roman" w:eastAsia="Times New Roman" w:hAnsi="Times New Roman"/>
                <w:sz w:val="22"/>
                <w:szCs w:val="22"/>
                <w:lang w:eastAsia="ko-KR"/>
              </w:rPr>
            </w:pPr>
          </w:p>
        </w:tc>
      </w:tr>
      <w:tr w:rsidR="002E55DE" w:rsidRPr="002E55DE" w14:paraId="5CE004EF"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5517139A"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Age</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670101FB" w14:textId="77777777" w:rsidR="001029C5" w:rsidRPr="002E55DE" w:rsidRDefault="001029C5" w:rsidP="007B3FB7">
            <w:pPr>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2CB5D90B" w14:textId="77777777" w:rsidR="001029C5" w:rsidRPr="002E55DE" w:rsidRDefault="001029C5" w:rsidP="007B3FB7">
            <w:pPr>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7157D29C" w14:textId="17CB22C1" w:rsidR="001029C5" w:rsidRPr="002E55DE" w:rsidRDefault="001029C5" w:rsidP="007B3FB7">
            <w:pPr>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51379871" w14:textId="77777777" w:rsidR="001029C5" w:rsidRPr="002E55DE" w:rsidRDefault="001029C5" w:rsidP="007B3FB7">
            <w:pPr>
              <w:jc w:val="right"/>
              <w:rPr>
                <w:rFonts w:ascii="Times New Roman" w:eastAsia="Times New Roman" w:hAnsi="Times New Roman"/>
                <w:sz w:val="22"/>
                <w:szCs w:val="22"/>
                <w:lang w:eastAsia="ko-KR"/>
              </w:rPr>
            </w:pPr>
          </w:p>
        </w:tc>
      </w:tr>
      <w:tr w:rsidR="002E55DE" w:rsidRPr="002E55DE" w14:paraId="67FE32C4"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192A3585"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50-64</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61142015"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43.4</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5C1FBABE" w14:textId="0C98CB27" w:rsidR="001029C5" w:rsidRPr="002E55DE" w:rsidRDefault="00EF52BA"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58.7</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0353E9FD" w14:textId="5D3F1F20" w:rsidR="001029C5" w:rsidRPr="002E55DE" w:rsidRDefault="00EF52BA"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47.6</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45444B01"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52.1</w:t>
            </w:r>
          </w:p>
        </w:tc>
      </w:tr>
      <w:tr w:rsidR="002E55DE" w:rsidRPr="002E55DE" w14:paraId="5B0C5B25" w14:textId="77777777" w:rsidTr="007B3FB7">
        <w:trPr>
          <w:trHeight w:val="144"/>
        </w:trPr>
        <w:tc>
          <w:tcPr>
            <w:tcW w:w="4027" w:type="dxa"/>
            <w:tcBorders>
              <w:top w:val="dashSmallGap" w:sz="4" w:space="0" w:color="auto"/>
              <w:left w:val="single" w:sz="18" w:space="0" w:color="auto"/>
              <w:bottom w:val="single" w:sz="4" w:space="0" w:color="auto"/>
              <w:right w:val="dashSmallGap" w:sz="4" w:space="0" w:color="auto"/>
            </w:tcBorders>
            <w:noWrap/>
            <w:tcMar>
              <w:left w:w="58" w:type="dxa"/>
              <w:right w:w="58" w:type="dxa"/>
            </w:tcMar>
            <w:vAlign w:val="center"/>
            <w:hideMark/>
          </w:tcPr>
          <w:p w14:paraId="1DEE6C09"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65 and above</w:t>
            </w:r>
          </w:p>
        </w:tc>
        <w:tc>
          <w:tcPr>
            <w:tcW w:w="1170" w:type="dxa"/>
            <w:tcBorders>
              <w:top w:val="dashSmallGap" w:sz="4" w:space="0" w:color="auto"/>
              <w:left w:val="dashSmallGap" w:sz="4" w:space="0" w:color="auto"/>
              <w:bottom w:val="single" w:sz="4" w:space="0" w:color="auto"/>
              <w:right w:val="dashSmallGap" w:sz="4" w:space="0" w:color="auto"/>
            </w:tcBorders>
            <w:noWrap/>
            <w:tcMar>
              <w:left w:w="58" w:type="dxa"/>
              <w:right w:w="58" w:type="dxa"/>
            </w:tcMar>
            <w:vAlign w:val="center"/>
          </w:tcPr>
          <w:p w14:paraId="6FF16B6D"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56.6</w:t>
            </w:r>
          </w:p>
        </w:tc>
        <w:tc>
          <w:tcPr>
            <w:tcW w:w="117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1BB32451" w14:textId="3EF71107" w:rsidR="001029C5" w:rsidRPr="002E55DE" w:rsidRDefault="00A7732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41.3</w:t>
            </w:r>
          </w:p>
        </w:tc>
        <w:tc>
          <w:tcPr>
            <w:tcW w:w="144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5EB35F26" w14:textId="40938362" w:rsidR="001029C5" w:rsidRPr="002E55DE" w:rsidRDefault="00A7732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52.4</w:t>
            </w:r>
          </w:p>
        </w:tc>
        <w:tc>
          <w:tcPr>
            <w:tcW w:w="1530" w:type="dxa"/>
            <w:tcBorders>
              <w:top w:val="dashSmallGap" w:sz="4" w:space="0" w:color="auto"/>
              <w:left w:val="dashSmallGap" w:sz="4" w:space="0" w:color="auto"/>
              <w:bottom w:val="single" w:sz="4" w:space="0" w:color="auto"/>
              <w:right w:val="single" w:sz="18" w:space="0" w:color="auto"/>
            </w:tcBorders>
            <w:noWrap/>
            <w:tcMar>
              <w:left w:w="58" w:type="dxa"/>
              <w:right w:w="58" w:type="dxa"/>
            </w:tcMar>
            <w:vAlign w:val="center"/>
          </w:tcPr>
          <w:p w14:paraId="22561264"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47.9</w:t>
            </w:r>
          </w:p>
        </w:tc>
      </w:tr>
      <w:tr w:rsidR="002E55DE" w:rsidRPr="002E55DE" w14:paraId="56E7C114"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04118BF6"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Gender</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2B5778F4"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55C7ED6C"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303316F6" w14:textId="22156F31"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3304B6DB" w14:textId="77777777" w:rsidR="001029C5" w:rsidRPr="002E55DE" w:rsidRDefault="001029C5" w:rsidP="007B3FB7">
            <w:pPr>
              <w:ind w:right="60"/>
              <w:jc w:val="right"/>
              <w:rPr>
                <w:rFonts w:ascii="Times New Roman" w:eastAsia="Times New Roman" w:hAnsi="Times New Roman"/>
                <w:sz w:val="22"/>
                <w:szCs w:val="22"/>
                <w:lang w:eastAsia="ko-KR"/>
              </w:rPr>
            </w:pPr>
          </w:p>
        </w:tc>
      </w:tr>
      <w:tr w:rsidR="002E55DE" w:rsidRPr="002E55DE" w14:paraId="659A6303"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13E70E16" w14:textId="49AC5085"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Women</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2EC7448F"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47.9</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2D9DE756" w14:textId="32C94A30" w:rsidR="001029C5" w:rsidRPr="002E55DE" w:rsidRDefault="00B82284"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46.8</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22141219" w14:textId="40DA20FC" w:rsidR="001029C5" w:rsidRPr="002E55DE" w:rsidRDefault="00B82284"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52.7</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77071415"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52.8</w:t>
            </w:r>
          </w:p>
        </w:tc>
      </w:tr>
      <w:tr w:rsidR="002E55DE" w:rsidRPr="002E55DE" w14:paraId="75F299C1" w14:textId="77777777" w:rsidTr="007B3FB7">
        <w:trPr>
          <w:trHeight w:val="144"/>
        </w:trPr>
        <w:tc>
          <w:tcPr>
            <w:tcW w:w="4027" w:type="dxa"/>
            <w:tcBorders>
              <w:top w:val="dashSmallGap" w:sz="4" w:space="0" w:color="auto"/>
              <w:left w:val="single" w:sz="18" w:space="0" w:color="auto"/>
              <w:bottom w:val="single" w:sz="4" w:space="0" w:color="auto"/>
              <w:right w:val="dashSmallGap" w:sz="4" w:space="0" w:color="auto"/>
            </w:tcBorders>
            <w:noWrap/>
            <w:tcMar>
              <w:left w:w="58" w:type="dxa"/>
              <w:right w:w="58" w:type="dxa"/>
            </w:tcMar>
            <w:vAlign w:val="center"/>
            <w:hideMark/>
          </w:tcPr>
          <w:p w14:paraId="6ED54DD1" w14:textId="7569E1C0"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Men</w:t>
            </w:r>
          </w:p>
        </w:tc>
        <w:tc>
          <w:tcPr>
            <w:tcW w:w="1170" w:type="dxa"/>
            <w:tcBorders>
              <w:top w:val="dashSmallGap" w:sz="4" w:space="0" w:color="auto"/>
              <w:left w:val="dashSmallGap" w:sz="4" w:space="0" w:color="auto"/>
              <w:bottom w:val="single" w:sz="4" w:space="0" w:color="auto"/>
              <w:right w:val="dashSmallGap" w:sz="4" w:space="0" w:color="auto"/>
            </w:tcBorders>
            <w:noWrap/>
            <w:tcMar>
              <w:left w:w="58" w:type="dxa"/>
              <w:right w:w="58" w:type="dxa"/>
            </w:tcMar>
            <w:vAlign w:val="center"/>
          </w:tcPr>
          <w:p w14:paraId="29113BE2"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52.1</w:t>
            </w:r>
          </w:p>
        </w:tc>
        <w:tc>
          <w:tcPr>
            <w:tcW w:w="117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15331928" w14:textId="24D83999" w:rsidR="001029C5" w:rsidRPr="002E55DE" w:rsidRDefault="00EF52BA"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53.2</w:t>
            </w:r>
          </w:p>
        </w:tc>
        <w:tc>
          <w:tcPr>
            <w:tcW w:w="144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08174211" w14:textId="73D79E30" w:rsidR="001029C5" w:rsidRPr="002E55DE" w:rsidRDefault="00191A1E"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47.3</w:t>
            </w:r>
          </w:p>
        </w:tc>
        <w:tc>
          <w:tcPr>
            <w:tcW w:w="1530" w:type="dxa"/>
            <w:tcBorders>
              <w:top w:val="dashSmallGap" w:sz="4" w:space="0" w:color="auto"/>
              <w:left w:val="dashSmallGap" w:sz="4" w:space="0" w:color="auto"/>
              <w:bottom w:val="single" w:sz="4" w:space="0" w:color="auto"/>
              <w:right w:val="single" w:sz="18" w:space="0" w:color="auto"/>
            </w:tcBorders>
            <w:noWrap/>
            <w:tcMar>
              <w:left w:w="58" w:type="dxa"/>
              <w:right w:w="58" w:type="dxa"/>
            </w:tcMar>
            <w:vAlign w:val="center"/>
          </w:tcPr>
          <w:p w14:paraId="7F4E3274"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47.2</w:t>
            </w:r>
          </w:p>
        </w:tc>
      </w:tr>
      <w:tr w:rsidR="002E55DE" w:rsidRPr="002E55DE" w14:paraId="1028CBC3"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770166A3"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Education</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002412DC"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02F43075"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0BCB8037" w14:textId="78D78C08"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19028158" w14:textId="77777777" w:rsidR="001029C5" w:rsidRPr="002E55DE" w:rsidRDefault="001029C5" w:rsidP="007B3FB7">
            <w:pPr>
              <w:ind w:right="60"/>
              <w:jc w:val="right"/>
              <w:rPr>
                <w:rFonts w:ascii="Times New Roman" w:eastAsia="Times New Roman" w:hAnsi="Times New Roman"/>
                <w:sz w:val="22"/>
                <w:szCs w:val="22"/>
                <w:lang w:eastAsia="ko-KR"/>
              </w:rPr>
            </w:pPr>
          </w:p>
        </w:tc>
      </w:tr>
      <w:tr w:rsidR="002E55DE" w:rsidRPr="002E55DE" w14:paraId="17265290"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081DB390"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High school or less</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1F7FF93A"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23.2</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0B88F75F" w14:textId="249BC8DC" w:rsidR="001029C5" w:rsidRPr="002E55DE" w:rsidRDefault="00B82284"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22.3</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767E45DE" w14:textId="4F83F358" w:rsidR="001029C5" w:rsidRPr="002E55DE" w:rsidRDefault="00B82284"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26.7</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654B5C71"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40.8</w:t>
            </w:r>
          </w:p>
        </w:tc>
      </w:tr>
      <w:tr w:rsidR="002E55DE" w:rsidRPr="002E55DE" w14:paraId="151A5EF7"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343A2D4A"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Some college or Bachelor</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0162B2F7"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62.2</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427851C5" w14:textId="729D6306" w:rsidR="001029C5" w:rsidRPr="002E55DE" w:rsidRDefault="00191A1E"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61.9</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36E83498" w14:textId="4B6C5D3B" w:rsidR="001029C5" w:rsidRPr="002E55DE" w:rsidRDefault="00191A1E"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63.5</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0536745A"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44.9</w:t>
            </w:r>
          </w:p>
        </w:tc>
      </w:tr>
      <w:tr w:rsidR="002E55DE" w:rsidRPr="002E55DE" w14:paraId="68A9DFC1" w14:textId="77777777" w:rsidTr="007B3FB7">
        <w:trPr>
          <w:trHeight w:val="144"/>
        </w:trPr>
        <w:tc>
          <w:tcPr>
            <w:tcW w:w="4027" w:type="dxa"/>
            <w:tcBorders>
              <w:top w:val="dashSmallGap" w:sz="4" w:space="0" w:color="auto"/>
              <w:left w:val="single" w:sz="18" w:space="0" w:color="auto"/>
              <w:bottom w:val="single" w:sz="4" w:space="0" w:color="auto"/>
              <w:right w:val="dashSmallGap" w:sz="4" w:space="0" w:color="auto"/>
            </w:tcBorders>
            <w:noWrap/>
            <w:tcMar>
              <w:left w:w="58" w:type="dxa"/>
              <w:right w:w="58" w:type="dxa"/>
            </w:tcMar>
            <w:vAlign w:val="center"/>
            <w:hideMark/>
          </w:tcPr>
          <w:p w14:paraId="2FB9DB09"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Some graduate degree</w:t>
            </w:r>
          </w:p>
        </w:tc>
        <w:tc>
          <w:tcPr>
            <w:tcW w:w="1170" w:type="dxa"/>
            <w:tcBorders>
              <w:top w:val="dashSmallGap" w:sz="4" w:space="0" w:color="auto"/>
              <w:left w:val="dashSmallGap" w:sz="4" w:space="0" w:color="auto"/>
              <w:bottom w:val="single" w:sz="4" w:space="0" w:color="auto"/>
              <w:right w:val="dashSmallGap" w:sz="4" w:space="0" w:color="auto"/>
            </w:tcBorders>
            <w:noWrap/>
            <w:tcMar>
              <w:left w:w="58" w:type="dxa"/>
              <w:right w:w="58" w:type="dxa"/>
            </w:tcMar>
            <w:vAlign w:val="center"/>
          </w:tcPr>
          <w:p w14:paraId="15ECF323"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14.6</w:t>
            </w:r>
          </w:p>
        </w:tc>
        <w:tc>
          <w:tcPr>
            <w:tcW w:w="117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3E383F56" w14:textId="2B82B135" w:rsidR="001029C5" w:rsidRPr="002E55DE" w:rsidRDefault="00B82284"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15.8</w:t>
            </w:r>
          </w:p>
        </w:tc>
        <w:tc>
          <w:tcPr>
            <w:tcW w:w="144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0814AFAE" w14:textId="53134DC1" w:rsidR="001029C5" w:rsidRPr="002E55DE" w:rsidRDefault="00B82284"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9.8</w:t>
            </w:r>
          </w:p>
        </w:tc>
        <w:tc>
          <w:tcPr>
            <w:tcW w:w="1530" w:type="dxa"/>
            <w:tcBorders>
              <w:top w:val="dashSmallGap" w:sz="4" w:space="0" w:color="auto"/>
              <w:left w:val="dashSmallGap" w:sz="4" w:space="0" w:color="auto"/>
              <w:bottom w:val="single" w:sz="4" w:space="0" w:color="auto"/>
              <w:right w:val="single" w:sz="18" w:space="0" w:color="auto"/>
            </w:tcBorders>
            <w:noWrap/>
            <w:tcMar>
              <w:left w:w="58" w:type="dxa"/>
              <w:right w:w="58" w:type="dxa"/>
            </w:tcMar>
            <w:vAlign w:val="center"/>
          </w:tcPr>
          <w:p w14:paraId="1CA45DA9"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14.3</w:t>
            </w:r>
          </w:p>
        </w:tc>
      </w:tr>
      <w:tr w:rsidR="002E55DE" w:rsidRPr="002E55DE" w14:paraId="362C16FC"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57F9D444"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Employment status</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397919B1"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75DB63C1"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265116C9" w14:textId="782B8ACF"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0FE3EDF2" w14:textId="77777777" w:rsidR="001029C5" w:rsidRPr="002E55DE" w:rsidRDefault="001029C5" w:rsidP="007B3FB7">
            <w:pPr>
              <w:ind w:right="60"/>
              <w:jc w:val="right"/>
              <w:rPr>
                <w:rFonts w:ascii="Times New Roman" w:eastAsia="Times New Roman" w:hAnsi="Times New Roman"/>
                <w:sz w:val="22"/>
                <w:szCs w:val="22"/>
                <w:lang w:eastAsia="ko-KR"/>
              </w:rPr>
            </w:pPr>
          </w:p>
        </w:tc>
      </w:tr>
      <w:tr w:rsidR="002E55DE" w:rsidRPr="002E55DE" w14:paraId="7AAFF4CF"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547A929E"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Employed</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01102635"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48.1</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63966BD6" w14:textId="3DCA4E0D" w:rsidR="001029C5" w:rsidRPr="002E55DE" w:rsidRDefault="00F839F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51.0</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7D57A5C4" w14:textId="3B1B9BE5" w:rsidR="001029C5" w:rsidRPr="002E55DE" w:rsidRDefault="00F839F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35.6</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267F3F66"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45.3</w:t>
            </w:r>
          </w:p>
        </w:tc>
      </w:tr>
      <w:tr w:rsidR="002E55DE" w:rsidRPr="002E55DE" w14:paraId="38D5454E" w14:textId="77777777" w:rsidTr="007B3FB7">
        <w:trPr>
          <w:trHeight w:val="144"/>
        </w:trPr>
        <w:tc>
          <w:tcPr>
            <w:tcW w:w="4027" w:type="dxa"/>
            <w:tcBorders>
              <w:top w:val="dashSmallGap" w:sz="4" w:space="0" w:color="auto"/>
              <w:left w:val="single" w:sz="18" w:space="0" w:color="auto"/>
              <w:bottom w:val="single" w:sz="4" w:space="0" w:color="auto"/>
              <w:right w:val="dashSmallGap" w:sz="4" w:space="0" w:color="auto"/>
            </w:tcBorders>
            <w:noWrap/>
            <w:tcMar>
              <w:left w:w="58" w:type="dxa"/>
              <w:right w:w="58" w:type="dxa"/>
            </w:tcMar>
            <w:vAlign w:val="center"/>
            <w:hideMark/>
          </w:tcPr>
          <w:p w14:paraId="4B4F9159"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Retired/Not employed</w:t>
            </w:r>
          </w:p>
        </w:tc>
        <w:tc>
          <w:tcPr>
            <w:tcW w:w="1170" w:type="dxa"/>
            <w:tcBorders>
              <w:top w:val="dashSmallGap" w:sz="4" w:space="0" w:color="auto"/>
              <w:left w:val="dashSmallGap" w:sz="4" w:space="0" w:color="auto"/>
              <w:bottom w:val="single" w:sz="4" w:space="0" w:color="auto"/>
              <w:right w:val="dashSmallGap" w:sz="4" w:space="0" w:color="auto"/>
            </w:tcBorders>
            <w:noWrap/>
            <w:tcMar>
              <w:left w:w="58" w:type="dxa"/>
              <w:right w:w="58" w:type="dxa"/>
            </w:tcMar>
            <w:vAlign w:val="center"/>
          </w:tcPr>
          <w:p w14:paraId="6DBC214B"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51.9</w:t>
            </w:r>
          </w:p>
        </w:tc>
        <w:tc>
          <w:tcPr>
            <w:tcW w:w="117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65562AF0" w14:textId="47C0C335" w:rsidR="001029C5" w:rsidRPr="002E55DE" w:rsidRDefault="00191A1E"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49.0</w:t>
            </w:r>
          </w:p>
        </w:tc>
        <w:tc>
          <w:tcPr>
            <w:tcW w:w="144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4687EFC1" w14:textId="15C6BE26" w:rsidR="001029C5" w:rsidRPr="002E55DE" w:rsidRDefault="00191A1E"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64.4</w:t>
            </w:r>
          </w:p>
        </w:tc>
        <w:tc>
          <w:tcPr>
            <w:tcW w:w="1530" w:type="dxa"/>
            <w:tcBorders>
              <w:top w:val="dashSmallGap" w:sz="4" w:space="0" w:color="auto"/>
              <w:left w:val="dashSmallGap" w:sz="4" w:space="0" w:color="auto"/>
              <w:bottom w:val="single" w:sz="4" w:space="0" w:color="auto"/>
              <w:right w:val="single" w:sz="18" w:space="0" w:color="auto"/>
            </w:tcBorders>
            <w:noWrap/>
            <w:tcMar>
              <w:left w:w="58" w:type="dxa"/>
              <w:right w:w="58" w:type="dxa"/>
            </w:tcMar>
            <w:vAlign w:val="center"/>
          </w:tcPr>
          <w:p w14:paraId="68059295"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54.7</w:t>
            </w:r>
          </w:p>
        </w:tc>
      </w:tr>
      <w:tr w:rsidR="002E55DE" w:rsidRPr="002E55DE" w14:paraId="26C187DA"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68D09FBE" w14:textId="77777777" w:rsidR="001029C5" w:rsidRPr="002E55DE" w:rsidRDefault="001029C5" w:rsidP="007B3FB7">
            <w:pPr>
              <w:rPr>
                <w:rFonts w:ascii="Times New Roman" w:eastAsia="Times New Roman" w:hAnsi="Times New Roman"/>
                <w:sz w:val="22"/>
                <w:szCs w:val="22"/>
                <w:lang w:eastAsia="ko-KR"/>
              </w:rPr>
            </w:pPr>
            <w:r w:rsidRPr="002E55DE">
              <w:rPr>
                <w:rFonts w:ascii="Times New Roman" w:eastAsia="Times New Roman" w:hAnsi="Times New Roman"/>
                <w:b/>
                <w:bCs/>
                <w:sz w:val="22"/>
                <w:szCs w:val="22"/>
                <w:lang w:eastAsia="ko-KR"/>
              </w:rPr>
              <w:t>Race</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5C7AA610"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684193CB"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268D3722" w14:textId="1CC569DB"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1288D78A" w14:textId="77777777" w:rsidR="001029C5" w:rsidRPr="002E55DE" w:rsidRDefault="001029C5" w:rsidP="007B3FB7">
            <w:pPr>
              <w:ind w:right="60"/>
              <w:jc w:val="right"/>
              <w:rPr>
                <w:rFonts w:ascii="Times New Roman" w:eastAsia="Times New Roman" w:hAnsi="Times New Roman"/>
                <w:sz w:val="22"/>
                <w:szCs w:val="22"/>
                <w:lang w:eastAsia="ko-KR"/>
              </w:rPr>
            </w:pPr>
          </w:p>
        </w:tc>
      </w:tr>
      <w:tr w:rsidR="002E55DE" w:rsidRPr="002E55DE" w14:paraId="012BFF69" w14:textId="77777777" w:rsidTr="007B3FB7">
        <w:trPr>
          <w:trHeight w:val="144"/>
        </w:trPr>
        <w:tc>
          <w:tcPr>
            <w:tcW w:w="4027" w:type="dxa"/>
            <w:tcBorders>
              <w:top w:val="dashSmallGap" w:sz="4" w:space="0" w:color="auto"/>
              <w:left w:val="single" w:sz="18" w:space="0" w:color="auto"/>
              <w:bottom w:val="dashSmallGap" w:sz="4" w:space="0" w:color="000000" w:themeColor="text1"/>
              <w:right w:val="dashSmallGap" w:sz="4" w:space="0" w:color="auto"/>
            </w:tcBorders>
            <w:noWrap/>
            <w:tcMar>
              <w:left w:w="58" w:type="dxa"/>
              <w:right w:w="58" w:type="dxa"/>
            </w:tcMar>
            <w:vAlign w:val="center"/>
            <w:hideMark/>
          </w:tcPr>
          <w:p w14:paraId="69856AF1"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White, non-Hispanic</w:t>
            </w:r>
          </w:p>
        </w:tc>
        <w:tc>
          <w:tcPr>
            <w:tcW w:w="1170" w:type="dxa"/>
            <w:tcBorders>
              <w:top w:val="dashSmallGap" w:sz="4" w:space="0" w:color="auto"/>
              <w:left w:val="dashSmallGap" w:sz="4" w:space="0" w:color="auto"/>
              <w:bottom w:val="dashSmallGap" w:sz="4" w:space="0" w:color="000000" w:themeColor="text1"/>
              <w:right w:val="dashSmallGap" w:sz="4" w:space="0" w:color="auto"/>
            </w:tcBorders>
            <w:noWrap/>
            <w:tcMar>
              <w:left w:w="58" w:type="dxa"/>
              <w:right w:w="58" w:type="dxa"/>
            </w:tcMar>
            <w:vAlign w:val="center"/>
          </w:tcPr>
          <w:p w14:paraId="6FA3B60C"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44.8</w:t>
            </w:r>
          </w:p>
        </w:tc>
        <w:tc>
          <w:tcPr>
            <w:tcW w:w="1170" w:type="dxa"/>
            <w:tcBorders>
              <w:top w:val="dashSmallGap" w:sz="4" w:space="0" w:color="auto"/>
              <w:left w:val="dashSmallGap" w:sz="4" w:space="0" w:color="auto"/>
              <w:bottom w:val="dashSmallGap" w:sz="4" w:space="0" w:color="000000" w:themeColor="text1"/>
              <w:right w:val="dashSmallGap" w:sz="4" w:space="0" w:color="auto"/>
            </w:tcBorders>
            <w:tcMar>
              <w:left w:w="58" w:type="dxa"/>
              <w:right w:w="58" w:type="dxa"/>
            </w:tcMar>
            <w:vAlign w:val="center"/>
          </w:tcPr>
          <w:p w14:paraId="768BE23E" w14:textId="490F89F0"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42.2</w:t>
            </w:r>
          </w:p>
        </w:tc>
        <w:tc>
          <w:tcPr>
            <w:tcW w:w="1440" w:type="dxa"/>
            <w:tcBorders>
              <w:top w:val="dashSmallGap" w:sz="4" w:space="0" w:color="auto"/>
              <w:left w:val="dashSmallGap" w:sz="4" w:space="0" w:color="auto"/>
              <w:bottom w:val="dashSmallGap" w:sz="4" w:space="0" w:color="000000" w:themeColor="text1"/>
              <w:right w:val="dashSmallGap" w:sz="4" w:space="0" w:color="auto"/>
            </w:tcBorders>
            <w:tcMar>
              <w:left w:w="58" w:type="dxa"/>
              <w:right w:w="58" w:type="dxa"/>
            </w:tcMar>
            <w:vAlign w:val="center"/>
          </w:tcPr>
          <w:p w14:paraId="3E649AF5" w14:textId="0698F0EF" w:rsidR="001029C5" w:rsidRPr="002E55DE" w:rsidRDefault="006A1A02"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56.2</w:t>
            </w:r>
          </w:p>
        </w:tc>
        <w:tc>
          <w:tcPr>
            <w:tcW w:w="1530" w:type="dxa"/>
            <w:tcBorders>
              <w:top w:val="dashSmallGap" w:sz="4" w:space="0" w:color="auto"/>
              <w:left w:val="dashSmallGap" w:sz="4" w:space="0" w:color="auto"/>
              <w:bottom w:val="dashSmallGap" w:sz="4" w:space="0" w:color="000000" w:themeColor="text1"/>
              <w:right w:val="single" w:sz="18" w:space="0" w:color="auto"/>
            </w:tcBorders>
            <w:noWrap/>
            <w:tcMar>
              <w:left w:w="58" w:type="dxa"/>
              <w:right w:w="58" w:type="dxa"/>
            </w:tcMar>
            <w:vAlign w:val="center"/>
          </w:tcPr>
          <w:p w14:paraId="34998910"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70.7</w:t>
            </w:r>
          </w:p>
        </w:tc>
      </w:tr>
      <w:tr w:rsidR="002E55DE" w:rsidRPr="002E55DE" w14:paraId="0D41A453" w14:textId="77777777" w:rsidTr="007B3FB7">
        <w:trPr>
          <w:trHeight w:val="144"/>
        </w:trPr>
        <w:tc>
          <w:tcPr>
            <w:tcW w:w="4027" w:type="dxa"/>
            <w:tcBorders>
              <w:top w:val="dashSmallGap" w:sz="4" w:space="0" w:color="000000" w:themeColor="text1"/>
              <w:left w:val="single" w:sz="18" w:space="0" w:color="auto"/>
              <w:bottom w:val="dashSmallGap" w:sz="4" w:space="0" w:color="auto"/>
              <w:right w:val="dashSmallGap" w:sz="4" w:space="0" w:color="000000" w:themeColor="text1"/>
            </w:tcBorders>
            <w:noWrap/>
            <w:tcMar>
              <w:left w:w="58" w:type="dxa"/>
              <w:right w:w="58" w:type="dxa"/>
            </w:tcMar>
            <w:vAlign w:val="center"/>
            <w:hideMark/>
          </w:tcPr>
          <w:p w14:paraId="0FF21565"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Hispanic</w:t>
            </w:r>
          </w:p>
        </w:tc>
        <w:tc>
          <w:tcPr>
            <w:tcW w:w="1170" w:type="dxa"/>
            <w:tcBorders>
              <w:top w:val="dashSmallGap" w:sz="4" w:space="0" w:color="000000" w:themeColor="text1"/>
              <w:left w:val="dashSmallGap" w:sz="4" w:space="0" w:color="000000" w:themeColor="text1"/>
              <w:bottom w:val="dashSmallGap" w:sz="4" w:space="0" w:color="auto"/>
              <w:right w:val="dashSmallGap" w:sz="4" w:space="0" w:color="000000" w:themeColor="text1"/>
            </w:tcBorders>
            <w:noWrap/>
            <w:tcMar>
              <w:left w:w="58" w:type="dxa"/>
              <w:right w:w="58" w:type="dxa"/>
            </w:tcMar>
            <w:vAlign w:val="center"/>
          </w:tcPr>
          <w:p w14:paraId="6871FFA1"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22.9</w:t>
            </w:r>
          </w:p>
        </w:tc>
        <w:tc>
          <w:tcPr>
            <w:tcW w:w="1170" w:type="dxa"/>
            <w:tcBorders>
              <w:top w:val="dashSmallGap" w:sz="4" w:space="0" w:color="000000" w:themeColor="text1"/>
              <w:left w:val="dashSmallGap" w:sz="4" w:space="0" w:color="000000" w:themeColor="text1"/>
              <w:bottom w:val="dashSmallGap" w:sz="4" w:space="0" w:color="auto"/>
              <w:right w:val="dashSmallGap" w:sz="4" w:space="0" w:color="000000" w:themeColor="text1"/>
            </w:tcBorders>
            <w:tcMar>
              <w:left w:w="58" w:type="dxa"/>
              <w:right w:w="58" w:type="dxa"/>
            </w:tcMar>
            <w:vAlign w:val="center"/>
          </w:tcPr>
          <w:p w14:paraId="7868A9EA" w14:textId="09344DEB" w:rsidR="001029C5" w:rsidRPr="002E55DE" w:rsidRDefault="00F839F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24.0</w:t>
            </w:r>
          </w:p>
        </w:tc>
        <w:tc>
          <w:tcPr>
            <w:tcW w:w="1440" w:type="dxa"/>
            <w:tcBorders>
              <w:top w:val="dashSmallGap" w:sz="4" w:space="0" w:color="000000" w:themeColor="text1"/>
              <w:left w:val="dashSmallGap" w:sz="4" w:space="0" w:color="000000" w:themeColor="text1"/>
              <w:bottom w:val="dashSmallGap" w:sz="4" w:space="0" w:color="auto"/>
              <w:right w:val="dashSmallGap" w:sz="4" w:space="0" w:color="000000" w:themeColor="text1"/>
            </w:tcBorders>
            <w:tcMar>
              <w:left w:w="58" w:type="dxa"/>
              <w:right w:w="58" w:type="dxa"/>
            </w:tcMar>
            <w:vAlign w:val="center"/>
          </w:tcPr>
          <w:p w14:paraId="552B8AA6" w14:textId="625DAD46" w:rsidR="001029C5" w:rsidRPr="002E55DE" w:rsidRDefault="00F839F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18.1</w:t>
            </w:r>
          </w:p>
        </w:tc>
        <w:tc>
          <w:tcPr>
            <w:tcW w:w="1530" w:type="dxa"/>
            <w:tcBorders>
              <w:top w:val="dashSmallGap" w:sz="4" w:space="0" w:color="000000" w:themeColor="text1"/>
              <w:left w:val="dashSmallGap" w:sz="4" w:space="0" w:color="000000" w:themeColor="text1"/>
              <w:bottom w:val="dashSmallGap" w:sz="4" w:space="0" w:color="auto"/>
              <w:right w:val="single" w:sz="18" w:space="0" w:color="auto"/>
            </w:tcBorders>
            <w:noWrap/>
            <w:tcMar>
              <w:left w:w="58" w:type="dxa"/>
              <w:right w:w="58" w:type="dxa"/>
            </w:tcMar>
            <w:vAlign w:val="center"/>
          </w:tcPr>
          <w:p w14:paraId="0272E82C"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11.7</w:t>
            </w:r>
          </w:p>
        </w:tc>
      </w:tr>
      <w:tr w:rsidR="002E55DE" w:rsidRPr="002E55DE" w14:paraId="12F80148"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000000" w:themeColor="text1"/>
            </w:tcBorders>
            <w:noWrap/>
            <w:tcMar>
              <w:left w:w="58" w:type="dxa"/>
              <w:right w:w="58" w:type="dxa"/>
            </w:tcMar>
            <w:vAlign w:val="center"/>
          </w:tcPr>
          <w:p w14:paraId="2A49AA72"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Black, non-Hispanic</w:t>
            </w:r>
          </w:p>
        </w:tc>
        <w:tc>
          <w:tcPr>
            <w:tcW w:w="1170" w:type="dxa"/>
            <w:tcBorders>
              <w:top w:val="dashSmallGap" w:sz="4" w:space="0" w:color="auto"/>
              <w:left w:val="dashSmallGap" w:sz="4" w:space="0" w:color="000000" w:themeColor="text1"/>
              <w:bottom w:val="dashSmallGap" w:sz="4" w:space="0" w:color="auto"/>
              <w:right w:val="dashSmallGap" w:sz="4" w:space="0" w:color="000000" w:themeColor="text1"/>
            </w:tcBorders>
            <w:noWrap/>
            <w:tcMar>
              <w:left w:w="58" w:type="dxa"/>
              <w:right w:w="58" w:type="dxa"/>
            </w:tcMar>
            <w:vAlign w:val="center"/>
          </w:tcPr>
          <w:p w14:paraId="09C7CA42"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21.6</w:t>
            </w:r>
          </w:p>
        </w:tc>
        <w:tc>
          <w:tcPr>
            <w:tcW w:w="1170" w:type="dxa"/>
            <w:tcBorders>
              <w:top w:val="dashSmallGap" w:sz="4" w:space="0" w:color="auto"/>
              <w:left w:val="dashSmallGap" w:sz="4" w:space="0" w:color="000000" w:themeColor="text1"/>
              <w:bottom w:val="dashSmallGap" w:sz="4" w:space="0" w:color="auto"/>
              <w:right w:val="dashSmallGap" w:sz="4" w:space="0" w:color="000000" w:themeColor="text1"/>
            </w:tcBorders>
            <w:tcMar>
              <w:left w:w="58" w:type="dxa"/>
              <w:right w:w="58" w:type="dxa"/>
            </w:tcMar>
            <w:vAlign w:val="center"/>
          </w:tcPr>
          <w:p w14:paraId="50A6F508" w14:textId="460D25B5" w:rsidR="001029C5" w:rsidRPr="002E55DE" w:rsidRDefault="009531E5"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22.2</w:t>
            </w:r>
          </w:p>
        </w:tc>
        <w:tc>
          <w:tcPr>
            <w:tcW w:w="1440" w:type="dxa"/>
            <w:tcBorders>
              <w:top w:val="dashSmallGap" w:sz="4" w:space="0" w:color="auto"/>
              <w:left w:val="dashSmallGap" w:sz="4" w:space="0" w:color="000000" w:themeColor="text1"/>
              <w:bottom w:val="dashSmallGap" w:sz="4" w:space="0" w:color="auto"/>
              <w:right w:val="dashSmallGap" w:sz="4" w:space="0" w:color="000000" w:themeColor="text1"/>
            </w:tcBorders>
            <w:tcMar>
              <w:left w:w="58" w:type="dxa"/>
              <w:right w:w="58" w:type="dxa"/>
            </w:tcMar>
            <w:vAlign w:val="center"/>
          </w:tcPr>
          <w:p w14:paraId="671C9AEA" w14:textId="549BDD1B" w:rsidR="001029C5" w:rsidRPr="002E55DE" w:rsidRDefault="00F839F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19.0</w:t>
            </w:r>
          </w:p>
        </w:tc>
        <w:tc>
          <w:tcPr>
            <w:tcW w:w="1530" w:type="dxa"/>
            <w:tcBorders>
              <w:top w:val="dashSmallGap" w:sz="4" w:space="0" w:color="auto"/>
              <w:left w:val="dashSmallGap" w:sz="4" w:space="0" w:color="000000" w:themeColor="text1"/>
              <w:bottom w:val="dashSmallGap" w:sz="4" w:space="0" w:color="auto"/>
              <w:right w:val="single" w:sz="18" w:space="0" w:color="auto"/>
            </w:tcBorders>
            <w:noWrap/>
            <w:tcMar>
              <w:left w:w="58" w:type="dxa"/>
              <w:right w:w="58" w:type="dxa"/>
            </w:tcMar>
            <w:vAlign w:val="center"/>
          </w:tcPr>
          <w:p w14:paraId="4F6FE6D9"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10.7</w:t>
            </w:r>
          </w:p>
        </w:tc>
      </w:tr>
      <w:tr w:rsidR="002E55DE" w:rsidRPr="002E55DE" w14:paraId="073D1599"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000000" w:themeColor="text1"/>
            </w:tcBorders>
            <w:noWrap/>
            <w:tcMar>
              <w:left w:w="58" w:type="dxa"/>
              <w:right w:w="58" w:type="dxa"/>
            </w:tcMar>
            <w:vAlign w:val="center"/>
          </w:tcPr>
          <w:p w14:paraId="4F55D097"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Asian, non-Hispanic</w:t>
            </w:r>
          </w:p>
        </w:tc>
        <w:tc>
          <w:tcPr>
            <w:tcW w:w="1170" w:type="dxa"/>
            <w:tcBorders>
              <w:top w:val="dashSmallGap" w:sz="4" w:space="0" w:color="auto"/>
              <w:left w:val="dashSmallGap" w:sz="4" w:space="0" w:color="000000" w:themeColor="text1"/>
              <w:bottom w:val="dashSmallGap" w:sz="4" w:space="0" w:color="auto"/>
              <w:right w:val="dashSmallGap" w:sz="4" w:space="0" w:color="000000" w:themeColor="text1"/>
            </w:tcBorders>
            <w:noWrap/>
            <w:tcMar>
              <w:left w:w="58" w:type="dxa"/>
              <w:right w:w="58" w:type="dxa"/>
            </w:tcMar>
            <w:vAlign w:val="center"/>
          </w:tcPr>
          <w:p w14:paraId="73A1D9D2"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9.7</w:t>
            </w:r>
          </w:p>
        </w:tc>
        <w:tc>
          <w:tcPr>
            <w:tcW w:w="1170" w:type="dxa"/>
            <w:tcBorders>
              <w:top w:val="dashSmallGap" w:sz="4" w:space="0" w:color="auto"/>
              <w:left w:val="dashSmallGap" w:sz="4" w:space="0" w:color="000000" w:themeColor="text1"/>
              <w:bottom w:val="dashSmallGap" w:sz="4" w:space="0" w:color="auto"/>
              <w:right w:val="dashSmallGap" w:sz="4" w:space="0" w:color="000000" w:themeColor="text1"/>
            </w:tcBorders>
            <w:tcMar>
              <w:left w:w="58" w:type="dxa"/>
              <w:right w:w="58" w:type="dxa"/>
            </w:tcMar>
            <w:vAlign w:val="center"/>
          </w:tcPr>
          <w:p w14:paraId="232E4447" w14:textId="64CBADF4" w:rsidR="001029C5" w:rsidRPr="002E55DE" w:rsidRDefault="009531E5"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10.7</w:t>
            </w:r>
          </w:p>
        </w:tc>
        <w:tc>
          <w:tcPr>
            <w:tcW w:w="1440" w:type="dxa"/>
            <w:tcBorders>
              <w:top w:val="dashSmallGap" w:sz="4" w:space="0" w:color="auto"/>
              <w:left w:val="dashSmallGap" w:sz="4" w:space="0" w:color="000000" w:themeColor="text1"/>
              <w:bottom w:val="dashSmallGap" w:sz="4" w:space="0" w:color="auto"/>
              <w:right w:val="dashSmallGap" w:sz="4" w:space="0" w:color="000000" w:themeColor="text1"/>
            </w:tcBorders>
            <w:tcMar>
              <w:left w:w="58" w:type="dxa"/>
              <w:right w:w="58" w:type="dxa"/>
            </w:tcMar>
            <w:vAlign w:val="center"/>
          </w:tcPr>
          <w:p w14:paraId="2A301BDB" w14:textId="0A2B4B16" w:rsidR="001029C5" w:rsidRPr="002E55DE" w:rsidRDefault="00F839F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5.4</w:t>
            </w:r>
          </w:p>
        </w:tc>
        <w:tc>
          <w:tcPr>
            <w:tcW w:w="1530" w:type="dxa"/>
            <w:tcBorders>
              <w:top w:val="dashSmallGap" w:sz="4" w:space="0" w:color="auto"/>
              <w:left w:val="dashSmallGap" w:sz="4" w:space="0" w:color="000000" w:themeColor="text1"/>
              <w:bottom w:val="dashSmallGap" w:sz="4" w:space="0" w:color="auto"/>
              <w:right w:val="single" w:sz="18" w:space="0" w:color="auto"/>
            </w:tcBorders>
            <w:noWrap/>
            <w:tcMar>
              <w:left w:w="58" w:type="dxa"/>
              <w:right w:w="58" w:type="dxa"/>
            </w:tcMar>
            <w:vAlign w:val="center"/>
          </w:tcPr>
          <w:p w14:paraId="12A962B9"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5.4</w:t>
            </w:r>
          </w:p>
        </w:tc>
      </w:tr>
      <w:tr w:rsidR="002E55DE" w:rsidRPr="002E55DE" w14:paraId="533E9700" w14:textId="77777777" w:rsidTr="007B3FB7">
        <w:trPr>
          <w:trHeight w:val="144"/>
        </w:trPr>
        <w:tc>
          <w:tcPr>
            <w:tcW w:w="4027" w:type="dxa"/>
            <w:tcBorders>
              <w:top w:val="dashSmallGap" w:sz="4" w:space="0" w:color="auto"/>
              <w:left w:val="single" w:sz="18" w:space="0" w:color="auto"/>
              <w:bottom w:val="single" w:sz="4" w:space="0" w:color="000000" w:themeColor="text1"/>
              <w:right w:val="dashSmallGap" w:sz="4" w:space="0" w:color="000000" w:themeColor="text1"/>
            </w:tcBorders>
            <w:noWrap/>
            <w:tcMar>
              <w:left w:w="58" w:type="dxa"/>
              <w:right w:w="58" w:type="dxa"/>
            </w:tcMar>
            <w:vAlign w:val="center"/>
          </w:tcPr>
          <w:p w14:paraId="4D723F82"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Others</w:t>
            </w:r>
          </w:p>
        </w:tc>
        <w:tc>
          <w:tcPr>
            <w:tcW w:w="1170" w:type="dxa"/>
            <w:tcBorders>
              <w:top w:val="dashSmallGap" w:sz="4" w:space="0" w:color="auto"/>
              <w:left w:val="dashSmallGap" w:sz="4" w:space="0" w:color="000000" w:themeColor="text1"/>
              <w:bottom w:val="single" w:sz="4" w:space="0" w:color="000000" w:themeColor="text1"/>
              <w:right w:val="dashSmallGap" w:sz="4" w:space="0" w:color="000000" w:themeColor="text1"/>
            </w:tcBorders>
            <w:noWrap/>
            <w:tcMar>
              <w:left w:w="58" w:type="dxa"/>
              <w:right w:w="58" w:type="dxa"/>
            </w:tcMar>
            <w:vAlign w:val="center"/>
          </w:tcPr>
          <w:p w14:paraId="71773660"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1.0</w:t>
            </w:r>
          </w:p>
        </w:tc>
        <w:tc>
          <w:tcPr>
            <w:tcW w:w="1170" w:type="dxa"/>
            <w:tcBorders>
              <w:top w:val="dashSmallGap" w:sz="4" w:space="0" w:color="auto"/>
              <w:left w:val="dashSmallGap" w:sz="4" w:space="0" w:color="000000" w:themeColor="text1"/>
              <w:bottom w:val="single" w:sz="4" w:space="0" w:color="000000" w:themeColor="text1"/>
              <w:right w:val="dashSmallGap" w:sz="4" w:space="0" w:color="000000" w:themeColor="text1"/>
            </w:tcBorders>
            <w:tcMar>
              <w:left w:w="58" w:type="dxa"/>
              <w:right w:w="58" w:type="dxa"/>
            </w:tcMar>
            <w:vAlign w:val="center"/>
          </w:tcPr>
          <w:p w14:paraId="056E0713" w14:textId="654DFD3E" w:rsidR="001029C5" w:rsidRPr="002E55DE" w:rsidRDefault="00182B25"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0.9</w:t>
            </w:r>
          </w:p>
        </w:tc>
        <w:tc>
          <w:tcPr>
            <w:tcW w:w="1440" w:type="dxa"/>
            <w:tcBorders>
              <w:top w:val="dashSmallGap" w:sz="4" w:space="0" w:color="auto"/>
              <w:left w:val="dashSmallGap" w:sz="4" w:space="0" w:color="000000" w:themeColor="text1"/>
              <w:bottom w:val="single" w:sz="4" w:space="0" w:color="000000" w:themeColor="text1"/>
              <w:right w:val="dashSmallGap" w:sz="4" w:space="0" w:color="000000" w:themeColor="text1"/>
            </w:tcBorders>
            <w:tcMar>
              <w:left w:w="58" w:type="dxa"/>
              <w:right w:w="58" w:type="dxa"/>
            </w:tcMar>
            <w:vAlign w:val="center"/>
          </w:tcPr>
          <w:p w14:paraId="32FB4F85" w14:textId="36FA305F" w:rsidR="001029C5" w:rsidRPr="002E55DE" w:rsidRDefault="00182B25"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1.3</w:t>
            </w:r>
          </w:p>
        </w:tc>
        <w:tc>
          <w:tcPr>
            <w:tcW w:w="1530" w:type="dxa"/>
            <w:tcBorders>
              <w:top w:val="dashSmallGap" w:sz="4" w:space="0" w:color="auto"/>
              <w:left w:val="dashSmallGap" w:sz="4" w:space="0" w:color="000000" w:themeColor="text1"/>
              <w:bottom w:val="single" w:sz="4" w:space="0" w:color="000000" w:themeColor="text1"/>
              <w:right w:val="single" w:sz="18" w:space="0" w:color="auto"/>
            </w:tcBorders>
            <w:noWrap/>
            <w:tcMar>
              <w:left w:w="58" w:type="dxa"/>
              <w:right w:w="58" w:type="dxa"/>
            </w:tcMar>
            <w:vAlign w:val="center"/>
          </w:tcPr>
          <w:p w14:paraId="6E266D5E"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1.5</w:t>
            </w:r>
          </w:p>
        </w:tc>
      </w:tr>
      <w:tr w:rsidR="002E55DE" w:rsidRPr="002E55DE" w14:paraId="73B5E2A7" w14:textId="77777777" w:rsidTr="007B3FB7">
        <w:trPr>
          <w:trHeight w:val="144"/>
        </w:trPr>
        <w:tc>
          <w:tcPr>
            <w:tcW w:w="4027" w:type="dxa"/>
            <w:tcBorders>
              <w:top w:val="single" w:sz="4" w:space="0" w:color="000000" w:themeColor="text1"/>
              <w:left w:val="single" w:sz="18" w:space="0" w:color="auto"/>
              <w:bottom w:val="dashSmallGap" w:sz="4" w:space="0" w:color="auto"/>
              <w:right w:val="dashSmallGap" w:sz="4" w:space="0" w:color="auto"/>
            </w:tcBorders>
            <w:noWrap/>
            <w:tcMar>
              <w:left w:w="58" w:type="dxa"/>
              <w:right w:w="58" w:type="dxa"/>
            </w:tcMar>
            <w:vAlign w:val="center"/>
          </w:tcPr>
          <w:p w14:paraId="2333AB8D" w14:textId="77777777" w:rsidR="001029C5" w:rsidRPr="002E55DE" w:rsidRDefault="001029C5" w:rsidP="007B3FB7">
            <w:pPr>
              <w:rPr>
                <w:rFonts w:ascii="Times New Roman" w:eastAsia="Times New Roman" w:hAnsi="Times New Roman"/>
                <w:sz w:val="22"/>
                <w:szCs w:val="22"/>
                <w:lang w:eastAsia="ko-KR"/>
              </w:rPr>
            </w:pPr>
            <w:r w:rsidRPr="002E55DE">
              <w:rPr>
                <w:rFonts w:ascii="Times New Roman" w:eastAsia="Times New Roman" w:hAnsi="Times New Roman"/>
                <w:b/>
                <w:bCs/>
                <w:sz w:val="22"/>
                <w:szCs w:val="22"/>
                <w:lang w:eastAsia="ko-KR"/>
              </w:rPr>
              <w:t>Household Income</w:t>
            </w:r>
          </w:p>
        </w:tc>
        <w:tc>
          <w:tcPr>
            <w:tcW w:w="1170" w:type="dxa"/>
            <w:tcBorders>
              <w:top w:val="single" w:sz="4" w:space="0" w:color="000000" w:themeColor="text1"/>
              <w:left w:val="dashSmallGap" w:sz="4" w:space="0" w:color="auto"/>
              <w:bottom w:val="dashSmallGap" w:sz="4" w:space="0" w:color="auto"/>
              <w:right w:val="dashSmallGap" w:sz="4" w:space="0" w:color="auto"/>
            </w:tcBorders>
            <w:noWrap/>
            <w:tcMar>
              <w:left w:w="58" w:type="dxa"/>
              <w:right w:w="58" w:type="dxa"/>
            </w:tcMar>
            <w:vAlign w:val="center"/>
          </w:tcPr>
          <w:p w14:paraId="59B327D9"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000000" w:themeColor="text1"/>
              <w:left w:val="dashSmallGap" w:sz="4" w:space="0" w:color="auto"/>
              <w:bottom w:val="dashSmallGap" w:sz="4" w:space="0" w:color="auto"/>
              <w:right w:val="dashSmallGap" w:sz="4" w:space="0" w:color="auto"/>
            </w:tcBorders>
            <w:tcMar>
              <w:left w:w="58" w:type="dxa"/>
              <w:right w:w="58" w:type="dxa"/>
            </w:tcMar>
            <w:vAlign w:val="center"/>
          </w:tcPr>
          <w:p w14:paraId="490C9DD4"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000000" w:themeColor="text1"/>
              <w:left w:val="dashSmallGap" w:sz="4" w:space="0" w:color="auto"/>
              <w:bottom w:val="dashSmallGap" w:sz="4" w:space="0" w:color="auto"/>
              <w:right w:val="dashSmallGap" w:sz="4" w:space="0" w:color="auto"/>
            </w:tcBorders>
            <w:tcMar>
              <w:left w:w="58" w:type="dxa"/>
              <w:right w:w="58" w:type="dxa"/>
            </w:tcMar>
            <w:vAlign w:val="center"/>
          </w:tcPr>
          <w:p w14:paraId="1048FDD1" w14:textId="283022C8"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000000" w:themeColor="text1"/>
              <w:left w:val="dashSmallGap" w:sz="4" w:space="0" w:color="auto"/>
              <w:bottom w:val="dashSmallGap" w:sz="4" w:space="0" w:color="auto"/>
              <w:right w:val="single" w:sz="18" w:space="0" w:color="auto"/>
            </w:tcBorders>
            <w:noWrap/>
            <w:tcMar>
              <w:left w:w="58" w:type="dxa"/>
              <w:right w:w="58" w:type="dxa"/>
            </w:tcMar>
            <w:vAlign w:val="center"/>
          </w:tcPr>
          <w:p w14:paraId="5B3DFA3D" w14:textId="77777777" w:rsidR="001029C5" w:rsidRPr="002E55DE" w:rsidDel="00474B6C" w:rsidRDefault="001029C5" w:rsidP="007B3FB7">
            <w:pPr>
              <w:ind w:right="60"/>
              <w:jc w:val="right"/>
              <w:rPr>
                <w:rFonts w:ascii="Times New Roman" w:eastAsia="Times New Roman" w:hAnsi="Times New Roman"/>
                <w:sz w:val="22"/>
                <w:szCs w:val="22"/>
                <w:lang w:eastAsia="ko-KR"/>
              </w:rPr>
            </w:pPr>
          </w:p>
        </w:tc>
      </w:tr>
      <w:tr w:rsidR="002E55DE" w:rsidRPr="002E55DE" w14:paraId="1F2B0379"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23C52179"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Less than $50,000</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422B8906"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19.1</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1B348745" w14:textId="2EDDECA8"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39.2</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5CA1DBB9" w14:textId="67F10E5C"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50.5</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48772DF6"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35.7</w:t>
            </w:r>
          </w:p>
        </w:tc>
      </w:tr>
      <w:tr w:rsidR="002E55DE" w:rsidRPr="002E55DE" w14:paraId="1852D864"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hideMark/>
          </w:tcPr>
          <w:p w14:paraId="5030E8E9"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$50,000 - $99,999</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14CDC85D"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46.4</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358C517B" w14:textId="0D08FE84" w:rsidR="001029C5" w:rsidRPr="002E55DE" w:rsidRDefault="00182B25"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33.3</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7F641612" w14:textId="14BD4BAE" w:rsidR="001029C5" w:rsidRPr="002E55DE" w:rsidRDefault="00182B25"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32.4</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3DAFB22A"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27.9</w:t>
            </w:r>
          </w:p>
        </w:tc>
      </w:tr>
      <w:tr w:rsidR="002E55DE" w:rsidRPr="002E55DE" w14:paraId="4ACAC2DD" w14:textId="77777777" w:rsidTr="007B3FB7">
        <w:trPr>
          <w:trHeight w:val="144"/>
        </w:trPr>
        <w:tc>
          <w:tcPr>
            <w:tcW w:w="4027" w:type="dxa"/>
            <w:tcBorders>
              <w:top w:val="dashSmallGap" w:sz="4" w:space="0" w:color="auto"/>
              <w:left w:val="single" w:sz="18" w:space="0" w:color="auto"/>
              <w:bottom w:val="single" w:sz="4" w:space="0" w:color="auto"/>
              <w:right w:val="dashSmallGap" w:sz="4" w:space="0" w:color="auto"/>
            </w:tcBorders>
            <w:noWrap/>
            <w:tcMar>
              <w:left w:w="58" w:type="dxa"/>
              <w:right w:w="58" w:type="dxa"/>
            </w:tcMar>
            <w:vAlign w:val="center"/>
            <w:hideMark/>
          </w:tcPr>
          <w:p w14:paraId="3D4433B8"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lastRenderedPageBreak/>
              <w:t>More than $100,000</w:t>
            </w:r>
          </w:p>
        </w:tc>
        <w:tc>
          <w:tcPr>
            <w:tcW w:w="1170" w:type="dxa"/>
            <w:tcBorders>
              <w:top w:val="dashSmallGap" w:sz="4" w:space="0" w:color="auto"/>
              <w:left w:val="dashSmallGap" w:sz="4" w:space="0" w:color="auto"/>
              <w:bottom w:val="single" w:sz="4" w:space="0" w:color="auto"/>
              <w:right w:val="dashSmallGap" w:sz="4" w:space="0" w:color="auto"/>
            </w:tcBorders>
            <w:noWrap/>
            <w:tcMar>
              <w:left w:w="58" w:type="dxa"/>
              <w:right w:w="58" w:type="dxa"/>
            </w:tcMar>
            <w:vAlign w:val="center"/>
          </w:tcPr>
          <w:p w14:paraId="54193CE2"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34.5</w:t>
            </w:r>
          </w:p>
        </w:tc>
        <w:tc>
          <w:tcPr>
            <w:tcW w:w="117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67417ED8" w14:textId="399E790E"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27.5</w:t>
            </w:r>
          </w:p>
        </w:tc>
        <w:tc>
          <w:tcPr>
            <w:tcW w:w="144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7C80E6F1" w14:textId="7B804539"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17.1</w:t>
            </w:r>
          </w:p>
        </w:tc>
        <w:tc>
          <w:tcPr>
            <w:tcW w:w="1530" w:type="dxa"/>
            <w:tcBorders>
              <w:top w:val="dashSmallGap" w:sz="4" w:space="0" w:color="auto"/>
              <w:left w:val="dashSmallGap" w:sz="4" w:space="0" w:color="auto"/>
              <w:bottom w:val="single" w:sz="4" w:space="0" w:color="auto"/>
              <w:right w:val="single" w:sz="18" w:space="0" w:color="auto"/>
            </w:tcBorders>
            <w:noWrap/>
            <w:tcMar>
              <w:left w:w="58" w:type="dxa"/>
              <w:right w:w="58" w:type="dxa"/>
            </w:tcMar>
            <w:vAlign w:val="center"/>
          </w:tcPr>
          <w:p w14:paraId="7828A83A"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36.4</w:t>
            </w:r>
          </w:p>
        </w:tc>
      </w:tr>
      <w:tr w:rsidR="002E55DE" w:rsidRPr="002E55DE" w14:paraId="6FD8BA5A"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5FA2739F"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Marital status</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219766FD"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4856B80C"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763A84B5" w14:textId="1A82A8EE"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3E020DD0" w14:textId="77777777" w:rsidR="001029C5" w:rsidRPr="002E55DE" w:rsidRDefault="001029C5" w:rsidP="007B3FB7">
            <w:pPr>
              <w:ind w:right="60"/>
              <w:jc w:val="right"/>
              <w:rPr>
                <w:rFonts w:ascii="Times New Roman" w:eastAsia="Times New Roman" w:hAnsi="Times New Roman"/>
                <w:sz w:val="22"/>
                <w:szCs w:val="22"/>
                <w:lang w:eastAsia="ko-KR"/>
              </w:rPr>
            </w:pPr>
          </w:p>
        </w:tc>
      </w:tr>
      <w:tr w:rsidR="002E55DE" w:rsidRPr="002E55DE" w14:paraId="6755C402"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tcPr>
          <w:p w14:paraId="68720E12"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Married</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7270EAC2"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54.7</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70EB192C" w14:textId="63F4BEC0"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55.0</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7A92C0A5" w14:textId="09691502"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53.7</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6AF580A9"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58.1</w:t>
            </w:r>
          </w:p>
        </w:tc>
      </w:tr>
      <w:tr w:rsidR="002E55DE" w:rsidRPr="002E55DE" w14:paraId="3DC5F10F" w14:textId="77777777" w:rsidTr="007B3FB7">
        <w:trPr>
          <w:trHeight w:val="144"/>
        </w:trPr>
        <w:tc>
          <w:tcPr>
            <w:tcW w:w="4027" w:type="dxa"/>
            <w:tcBorders>
              <w:top w:val="dashSmallGap" w:sz="4" w:space="0" w:color="auto"/>
              <w:left w:val="single" w:sz="18" w:space="0" w:color="auto"/>
              <w:bottom w:val="dashSmallGap" w:sz="4" w:space="0" w:color="auto"/>
              <w:right w:val="dashSmallGap" w:sz="4" w:space="0" w:color="auto"/>
            </w:tcBorders>
            <w:noWrap/>
            <w:tcMar>
              <w:left w:w="58" w:type="dxa"/>
              <w:right w:w="58" w:type="dxa"/>
            </w:tcMar>
            <w:vAlign w:val="center"/>
          </w:tcPr>
          <w:p w14:paraId="604D813A"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Divorced/Separated/Widowed</w:t>
            </w:r>
          </w:p>
        </w:tc>
        <w:tc>
          <w:tcPr>
            <w:tcW w:w="1170" w:type="dxa"/>
            <w:tcBorders>
              <w:top w:val="dashSmallGap"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02E36231"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31.0</w:t>
            </w:r>
          </w:p>
        </w:tc>
        <w:tc>
          <w:tcPr>
            <w:tcW w:w="117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683A952A" w14:textId="2716C139" w:rsidR="001029C5" w:rsidRPr="002E55DE" w:rsidRDefault="00401C9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30.4</w:t>
            </w:r>
          </w:p>
        </w:tc>
        <w:tc>
          <w:tcPr>
            <w:tcW w:w="1440" w:type="dxa"/>
            <w:tcBorders>
              <w:top w:val="dashSmallGap" w:sz="4" w:space="0" w:color="auto"/>
              <w:left w:val="dashSmallGap" w:sz="4" w:space="0" w:color="auto"/>
              <w:bottom w:val="dashSmallGap" w:sz="4" w:space="0" w:color="auto"/>
              <w:right w:val="dashSmallGap" w:sz="4" w:space="0" w:color="auto"/>
            </w:tcBorders>
            <w:tcMar>
              <w:left w:w="58" w:type="dxa"/>
              <w:right w:w="58" w:type="dxa"/>
            </w:tcMar>
            <w:vAlign w:val="center"/>
          </w:tcPr>
          <w:p w14:paraId="18637B9E" w14:textId="616CCC40" w:rsidR="001029C5" w:rsidRPr="002E55DE" w:rsidRDefault="00401C9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33.0</w:t>
            </w:r>
          </w:p>
        </w:tc>
        <w:tc>
          <w:tcPr>
            <w:tcW w:w="1530" w:type="dxa"/>
            <w:tcBorders>
              <w:top w:val="dashSmallGap" w:sz="4" w:space="0" w:color="auto"/>
              <w:left w:val="dashSmallGap" w:sz="4" w:space="0" w:color="auto"/>
              <w:bottom w:val="dashSmallGap" w:sz="4" w:space="0" w:color="auto"/>
              <w:right w:val="single" w:sz="18" w:space="0" w:color="auto"/>
            </w:tcBorders>
            <w:noWrap/>
            <w:tcMar>
              <w:left w:w="58" w:type="dxa"/>
              <w:right w:w="58" w:type="dxa"/>
            </w:tcMar>
            <w:vAlign w:val="center"/>
          </w:tcPr>
          <w:p w14:paraId="3B8A254E"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34.2</w:t>
            </w:r>
          </w:p>
        </w:tc>
      </w:tr>
      <w:tr w:rsidR="002E55DE" w:rsidRPr="002E55DE" w14:paraId="6C59A65C" w14:textId="77777777" w:rsidTr="007B3FB7">
        <w:trPr>
          <w:trHeight w:val="144"/>
        </w:trPr>
        <w:tc>
          <w:tcPr>
            <w:tcW w:w="4027" w:type="dxa"/>
            <w:tcBorders>
              <w:top w:val="dashSmallGap" w:sz="4" w:space="0" w:color="auto"/>
              <w:left w:val="single" w:sz="18" w:space="0" w:color="auto"/>
              <w:bottom w:val="single" w:sz="4" w:space="0" w:color="auto"/>
              <w:right w:val="dashSmallGap" w:sz="4" w:space="0" w:color="auto"/>
            </w:tcBorders>
            <w:noWrap/>
            <w:tcMar>
              <w:left w:w="58" w:type="dxa"/>
              <w:right w:w="58" w:type="dxa"/>
            </w:tcMar>
            <w:vAlign w:val="center"/>
          </w:tcPr>
          <w:p w14:paraId="6DBDB07A" w14:textId="77777777"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Never married</w:t>
            </w:r>
          </w:p>
        </w:tc>
        <w:tc>
          <w:tcPr>
            <w:tcW w:w="1170" w:type="dxa"/>
            <w:tcBorders>
              <w:top w:val="dashSmallGap" w:sz="4" w:space="0" w:color="auto"/>
              <w:left w:val="dashSmallGap" w:sz="4" w:space="0" w:color="auto"/>
              <w:bottom w:val="single" w:sz="4" w:space="0" w:color="auto"/>
              <w:right w:val="dashSmallGap" w:sz="4" w:space="0" w:color="auto"/>
            </w:tcBorders>
            <w:noWrap/>
            <w:tcMar>
              <w:left w:w="58" w:type="dxa"/>
              <w:right w:w="58" w:type="dxa"/>
            </w:tcMar>
            <w:vAlign w:val="center"/>
          </w:tcPr>
          <w:p w14:paraId="7379DC57"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14.3</w:t>
            </w:r>
          </w:p>
        </w:tc>
        <w:tc>
          <w:tcPr>
            <w:tcW w:w="117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2506F549" w14:textId="6C8C9686" w:rsidR="001029C5" w:rsidRPr="002E55DE" w:rsidRDefault="00570E3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14.6</w:t>
            </w:r>
          </w:p>
        </w:tc>
        <w:tc>
          <w:tcPr>
            <w:tcW w:w="1440" w:type="dxa"/>
            <w:tcBorders>
              <w:top w:val="dashSmallGap" w:sz="4" w:space="0" w:color="auto"/>
              <w:left w:val="dashSmallGap" w:sz="4" w:space="0" w:color="auto"/>
              <w:bottom w:val="single" w:sz="4" w:space="0" w:color="auto"/>
              <w:right w:val="dashSmallGap" w:sz="4" w:space="0" w:color="auto"/>
            </w:tcBorders>
            <w:tcMar>
              <w:left w:w="58" w:type="dxa"/>
              <w:right w:w="58" w:type="dxa"/>
            </w:tcMar>
            <w:vAlign w:val="center"/>
          </w:tcPr>
          <w:p w14:paraId="212824F8" w14:textId="05A6F7D3" w:rsidR="001029C5" w:rsidRPr="002E55DE" w:rsidRDefault="00570E36" w:rsidP="007B3FB7">
            <w:pPr>
              <w:ind w:right="164"/>
              <w:jc w:val="right"/>
              <w:rPr>
                <w:rFonts w:ascii="Times New Roman" w:eastAsia="Times New Roman" w:hAnsi="Times New Roman"/>
                <w:sz w:val="22"/>
                <w:szCs w:val="22"/>
                <w:lang w:eastAsia="ko-KR"/>
              </w:rPr>
            </w:pPr>
            <w:r w:rsidRPr="002E55DE">
              <w:rPr>
                <w:rFonts w:ascii="Times New Roman" w:eastAsiaTheme="minorEastAsia" w:hAnsi="Times New Roman"/>
                <w:sz w:val="22"/>
                <w:szCs w:val="22"/>
                <w:lang w:eastAsia="ko-KR"/>
              </w:rPr>
              <w:t>13.3</w:t>
            </w:r>
          </w:p>
        </w:tc>
        <w:tc>
          <w:tcPr>
            <w:tcW w:w="1530" w:type="dxa"/>
            <w:tcBorders>
              <w:top w:val="dashSmallGap" w:sz="4" w:space="0" w:color="auto"/>
              <w:left w:val="dashSmallGap" w:sz="4" w:space="0" w:color="auto"/>
              <w:bottom w:val="single" w:sz="4" w:space="0" w:color="auto"/>
              <w:right w:val="single" w:sz="18" w:space="0" w:color="auto"/>
            </w:tcBorders>
            <w:noWrap/>
            <w:tcMar>
              <w:left w:w="58" w:type="dxa"/>
              <w:right w:w="58" w:type="dxa"/>
            </w:tcMar>
            <w:vAlign w:val="center"/>
          </w:tcPr>
          <w:p w14:paraId="1C1F0042"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7.7</w:t>
            </w:r>
          </w:p>
        </w:tc>
      </w:tr>
      <w:tr w:rsidR="002E55DE" w:rsidRPr="002E55DE" w14:paraId="3F3674B9" w14:textId="77777777" w:rsidTr="007B3FB7">
        <w:trPr>
          <w:trHeight w:val="144"/>
        </w:trPr>
        <w:tc>
          <w:tcPr>
            <w:tcW w:w="4027" w:type="dxa"/>
            <w:tcBorders>
              <w:top w:val="single" w:sz="4" w:space="0" w:color="auto"/>
              <w:left w:val="single" w:sz="18" w:space="0" w:color="auto"/>
              <w:bottom w:val="dashSmallGap" w:sz="4" w:space="0" w:color="auto"/>
              <w:right w:val="dashSmallGap" w:sz="4" w:space="0" w:color="auto"/>
            </w:tcBorders>
            <w:noWrap/>
            <w:tcMar>
              <w:left w:w="58" w:type="dxa"/>
              <w:right w:w="58" w:type="dxa"/>
            </w:tcMar>
            <w:vAlign w:val="center"/>
          </w:tcPr>
          <w:p w14:paraId="46501514" w14:textId="77777777" w:rsidR="001029C5" w:rsidRPr="002E55DE" w:rsidRDefault="001029C5" w:rsidP="007B3FB7">
            <w:pPr>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Household composition</w:t>
            </w:r>
          </w:p>
        </w:tc>
        <w:tc>
          <w:tcPr>
            <w:tcW w:w="1170" w:type="dxa"/>
            <w:tcBorders>
              <w:top w:val="single" w:sz="4" w:space="0" w:color="auto"/>
              <w:left w:val="dashSmallGap" w:sz="4" w:space="0" w:color="auto"/>
              <w:bottom w:val="dashSmallGap" w:sz="4" w:space="0" w:color="auto"/>
              <w:right w:val="dashSmallGap" w:sz="4" w:space="0" w:color="auto"/>
            </w:tcBorders>
            <w:noWrap/>
            <w:tcMar>
              <w:left w:w="58" w:type="dxa"/>
              <w:right w:w="58" w:type="dxa"/>
            </w:tcMar>
            <w:vAlign w:val="center"/>
          </w:tcPr>
          <w:p w14:paraId="36202C26"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17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0B4A78D0" w14:textId="77777777" w:rsidR="001029C5" w:rsidRPr="002E55DE" w:rsidRDefault="001029C5" w:rsidP="007B3FB7">
            <w:pPr>
              <w:ind w:right="164"/>
              <w:jc w:val="right"/>
              <w:rPr>
                <w:rFonts w:ascii="Times New Roman" w:eastAsia="Times New Roman" w:hAnsi="Times New Roman"/>
                <w:sz w:val="22"/>
                <w:szCs w:val="22"/>
                <w:lang w:eastAsia="ko-KR"/>
              </w:rPr>
            </w:pPr>
          </w:p>
        </w:tc>
        <w:tc>
          <w:tcPr>
            <w:tcW w:w="1440" w:type="dxa"/>
            <w:tcBorders>
              <w:top w:val="single" w:sz="4" w:space="0" w:color="auto"/>
              <w:left w:val="dashSmallGap" w:sz="4" w:space="0" w:color="auto"/>
              <w:bottom w:val="dashSmallGap" w:sz="4" w:space="0" w:color="auto"/>
              <w:right w:val="dashSmallGap" w:sz="4" w:space="0" w:color="auto"/>
            </w:tcBorders>
            <w:tcMar>
              <w:left w:w="58" w:type="dxa"/>
              <w:right w:w="58" w:type="dxa"/>
            </w:tcMar>
            <w:vAlign w:val="center"/>
          </w:tcPr>
          <w:p w14:paraId="09456B46" w14:textId="52663586" w:rsidR="001029C5" w:rsidRPr="002E55DE" w:rsidRDefault="001029C5" w:rsidP="007B3FB7">
            <w:pPr>
              <w:ind w:right="164"/>
              <w:jc w:val="right"/>
              <w:rPr>
                <w:rFonts w:ascii="Times New Roman" w:eastAsia="Times New Roman" w:hAnsi="Times New Roman"/>
                <w:sz w:val="22"/>
                <w:szCs w:val="22"/>
                <w:lang w:eastAsia="ko-KR"/>
              </w:rPr>
            </w:pPr>
          </w:p>
        </w:tc>
        <w:tc>
          <w:tcPr>
            <w:tcW w:w="1530" w:type="dxa"/>
            <w:tcBorders>
              <w:top w:val="single" w:sz="4" w:space="0" w:color="auto"/>
              <w:left w:val="dashSmallGap" w:sz="4" w:space="0" w:color="auto"/>
              <w:bottom w:val="dashSmallGap" w:sz="4" w:space="0" w:color="auto"/>
              <w:right w:val="single" w:sz="18" w:space="0" w:color="auto"/>
            </w:tcBorders>
            <w:noWrap/>
            <w:tcMar>
              <w:left w:w="58" w:type="dxa"/>
              <w:right w:w="58" w:type="dxa"/>
            </w:tcMar>
            <w:vAlign w:val="center"/>
          </w:tcPr>
          <w:p w14:paraId="47310916" w14:textId="77777777" w:rsidR="001029C5" w:rsidRPr="002E55DE" w:rsidRDefault="001029C5" w:rsidP="007B3FB7">
            <w:pPr>
              <w:ind w:right="60"/>
              <w:jc w:val="right"/>
              <w:rPr>
                <w:rFonts w:ascii="Times New Roman" w:eastAsia="Times New Roman" w:hAnsi="Times New Roman"/>
                <w:sz w:val="22"/>
                <w:szCs w:val="22"/>
                <w:lang w:eastAsia="ko-KR"/>
              </w:rPr>
            </w:pPr>
          </w:p>
        </w:tc>
      </w:tr>
      <w:tr w:rsidR="002E55DE" w:rsidRPr="002E55DE" w14:paraId="4539912B" w14:textId="77777777" w:rsidTr="007B3FB7">
        <w:trPr>
          <w:trHeight w:val="144"/>
        </w:trPr>
        <w:tc>
          <w:tcPr>
            <w:tcW w:w="4027" w:type="dxa"/>
            <w:tcBorders>
              <w:top w:val="dashSmallGap" w:sz="4" w:space="0" w:color="auto"/>
              <w:left w:val="single" w:sz="18" w:space="0" w:color="auto"/>
              <w:bottom w:val="single" w:sz="18" w:space="0" w:color="auto"/>
              <w:right w:val="dashSmallGap" w:sz="4" w:space="0" w:color="auto"/>
            </w:tcBorders>
            <w:noWrap/>
            <w:tcMar>
              <w:left w:w="58" w:type="dxa"/>
              <w:right w:w="58" w:type="dxa"/>
            </w:tcMar>
            <w:vAlign w:val="center"/>
          </w:tcPr>
          <w:p w14:paraId="33FA280C" w14:textId="138A7939"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 xml:space="preserve">No child </w:t>
            </w:r>
          </w:p>
        </w:tc>
        <w:tc>
          <w:tcPr>
            <w:tcW w:w="1170" w:type="dxa"/>
            <w:tcBorders>
              <w:top w:val="dashSmallGap" w:sz="4" w:space="0" w:color="auto"/>
              <w:left w:val="dashSmallGap" w:sz="4" w:space="0" w:color="auto"/>
              <w:bottom w:val="single" w:sz="18" w:space="0" w:color="auto"/>
              <w:right w:val="dashSmallGap" w:sz="4" w:space="0" w:color="auto"/>
            </w:tcBorders>
            <w:noWrap/>
            <w:tcMar>
              <w:left w:w="58" w:type="dxa"/>
              <w:right w:w="58" w:type="dxa"/>
            </w:tcMar>
            <w:vAlign w:val="center"/>
          </w:tcPr>
          <w:p w14:paraId="7A0BE8A6"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81.9</w:t>
            </w:r>
          </w:p>
        </w:tc>
        <w:tc>
          <w:tcPr>
            <w:tcW w:w="1170" w:type="dxa"/>
            <w:tcBorders>
              <w:top w:val="dashSmallGap" w:sz="4" w:space="0" w:color="auto"/>
              <w:left w:val="dashSmallGap" w:sz="4" w:space="0" w:color="auto"/>
              <w:bottom w:val="single" w:sz="18" w:space="0" w:color="auto"/>
              <w:right w:val="dashSmallGap" w:sz="4" w:space="0" w:color="auto"/>
            </w:tcBorders>
            <w:tcMar>
              <w:left w:w="58" w:type="dxa"/>
              <w:right w:w="58" w:type="dxa"/>
            </w:tcMar>
            <w:vAlign w:val="center"/>
          </w:tcPr>
          <w:p w14:paraId="35E93073" w14:textId="4FF49B09" w:rsidR="001029C5" w:rsidRPr="002E55DE" w:rsidRDefault="00401C9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82.0</w:t>
            </w:r>
          </w:p>
        </w:tc>
        <w:tc>
          <w:tcPr>
            <w:tcW w:w="1440" w:type="dxa"/>
            <w:tcBorders>
              <w:top w:val="dashSmallGap" w:sz="4" w:space="0" w:color="auto"/>
              <w:left w:val="dashSmallGap" w:sz="4" w:space="0" w:color="auto"/>
              <w:bottom w:val="single" w:sz="18" w:space="0" w:color="auto"/>
              <w:right w:val="dashSmallGap" w:sz="4" w:space="0" w:color="auto"/>
            </w:tcBorders>
            <w:tcMar>
              <w:left w:w="58" w:type="dxa"/>
              <w:right w:w="58" w:type="dxa"/>
            </w:tcMar>
            <w:vAlign w:val="center"/>
          </w:tcPr>
          <w:p w14:paraId="1EDF3432" w14:textId="14F392F9" w:rsidR="001029C5" w:rsidRPr="002E55DE" w:rsidRDefault="00401C9C"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81.6</w:t>
            </w:r>
          </w:p>
        </w:tc>
        <w:tc>
          <w:tcPr>
            <w:tcW w:w="1530" w:type="dxa"/>
            <w:tcBorders>
              <w:top w:val="dashSmallGap" w:sz="4" w:space="0" w:color="auto"/>
              <w:left w:val="dashSmallGap" w:sz="4" w:space="0" w:color="auto"/>
              <w:bottom w:val="single" w:sz="18" w:space="0" w:color="auto"/>
              <w:right w:val="single" w:sz="18" w:space="0" w:color="auto"/>
            </w:tcBorders>
            <w:noWrap/>
            <w:tcMar>
              <w:left w:w="58" w:type="dxa"/>
              <w:right w:w="58" w:type="dxa"/>
            </w:tcMar>
            <w:vAlign w:val="center"/>
          </w:tcPr>
          <w:p w14:paraId="73E221DA" w14:textId="2308B594"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86.4</w:t>
            </w:r>
          </w:p>
        </w:tc>
      </w:tr>
      <w:tr w:rsidR="001029C5" w:rsidRPr="002E55DE" w14:paraId="48CC464D" w14:textId="77777777" w:rsidTr="007B3FB7">
        <w:trPr>
          <w:trHeight w:val="144"/>
        </w:trPr>
        <w:tc>
          <w:tcPr>
            <w:tcW w:w="4027" w:type="dxa"/>
            <w:tcBorders>
              <w:top w:val="dashSmallGap" w:sz="4" w:space="0" w:color="auto"/>
              <w:left w:val="single" w:sz="18" w:space="0" w:color="auto"/>
              <w:bottom w:val="single" w:sz="18" w:space="0" w:color="auto"/>
              <w:right w:val="dashSmallGap" w:sz="4" w:space="0" w:color="auto"/>
            </w:tcBorders>
            <w:noWrap/>
            <w:tcMar>
              <w:left w:w="58" w:type="dxa"/>
              <w:right w:w="58" w:type="dxa"/>
            </w:tcMar>
            <w:vAlign w:val="center"/>
          </w:tcPr>
          <w:p w14:paraId="2728ADFB" w14:textId="299AFEDE" w:rsidR="001029C5" w:rsidRPr="002E55DE" w:rsidRDefault="001029C5" w:rsidP="007B3FB7">
            <w:pPr>
              <w:ind w:left="240"/>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Live with a child (“child” is defined as an individual less than 18 years of age)</w:t>
            </w:r>
          </w:p>
        </w:tc>
        <w:tc>
          <w:tcPr>
            <w:tcW w:w="1170" w:type="dxa"/>
            <w:tcBorders>
              <w:top w:val="dashSmallGap" w:sz="4" w:space="0" w:color="auto"/>
              <w:left w:val="dashSmallGap" w:sz="4" w:space="0" w:color="auto"/>
              <w:bottom w:val="single" w:sz="18" w:space="0" w:color="auto"/>
              <w:right w:val="dashSmallGap" w:sz="4" w:space="0" w:color="auto"/>
            </w:tcBorders>
            <w:noWrap/>
            <w:tcMar>
              <w:left w:w="58" w:type="dxa"/>
              <w:right w:w="58" w:type="dxa"/>
            </w:tcMar>
            <w:vAlign w:val="center"/>
          </w:tcPr>
          <w:p w14:paraId="2DFCF184" w14:textId="77777777" w:rsidR="001029C5" w:rsidRPr="002E55DE" w:rsidRDefault="001029C5" w:rsidP="007B3FB7">
            <w:pPr>
              <w:ind w:right="164"/>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18.1</w:t>
            </w:r>
          </w:p>
        </w:tc>
        <w:tc>
          <w:tcPr>
            <w:tcW w:w="1170" w:type="dxa"/>
            <w:tcBorders>
              <w:top w:val="dashSmallGap" w:sz="4" w:space="0" w:color="auto"/>
              <w:left w:val="dashSmallGap" w:sz="4" w:space="0" w:color="auto"/>
              <w:bottom w:val="single" w:sz="18" w:space="0" w:color="auto"/>
              <w:right w:val="dashSmallGap" w:sz="4" w:space="0" w:color="auto"/>
            </w:tcBorders>
            <w:tcMar>
              <w:left w:w="58" w:type="dxa"/>
              <w:right w:w="58" w:type="dxa"/>
            </w:tcMar>
            <w:vAlign w:val="center"/>
          </w:tcPr>
          <w:p w14:paraId="5BCA0E59" w14:textId="74F0872F" w:rsidR="001029C5" w:rsidRPr="002E55DE" w:rsidRDefault="00052286"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18.</w:t>
            </w:r>
            <w:r w:rsidR="00D40939" w:rsidRPr="002E55DE">
              <w:rPr>
                <w:rFonts w:ascii="Times New Roman" w:eastAsiaTheme="minorEastAsia" w:hAnsi="Times New Roman"/>
                <w:sz w:val="22"/>
                <w:szCs w:val="22"/>
                <w:lang w:eastAsia="ko-KR"/>
              </w:rPr>
              <w:t>0</w:t>
            </w:r>
          </w:p>
        </w:tc>
        <w:tc>
          <w:tcPr>
            <w:tcW w:w="1440" w:type="dxa"/>
            <w:tcBorders>
              <w:top w:val="dashSmallGap" w:sz="4" w:space="0" w:color="auto"/>
              <w:left w:val="dashSmallGap" w:sz="4" w:space="0" w:color="auto"/>
              <w:bottom w:val="single" w:sz="18" w:space="0" w:color="auto"/>
              <w:right w:val="dashSmallGap" w:sz="4" w:space="0" w:color="auto"/>
            </w:tcBorders>
            <w:tcMar>
              <w:left w:w="58" w:type="dxa"/>
              <w:right w:w="58" w:type="dxa"/>
            </w:tcMar>
            <w:vAlign w:val="center"/>
          </w:tcPr>
          <w:p w14:paraId="5EA748AE" w14:textId="3EA45797" w:rsidR="001029C5" w:rsidRPr="002E55DE" w:rsidRDefault="00D40939" w:rsidP="007B3FB7">
            <w:pPr>
              <w:ind w:right="164"/>
              <w:jc w:val="right"/>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18.4</w:t>
            </w:r>
          </w:p>
        </w:tc>
        <w:tc>
          <w:tcPr>
            <w:tcW w:w="1530" w:type="dxa"/>
            <w:tcBorders>
              <w:top w:val="dashSmallGap" w:sz="4" w:space="0" w:color="auto"/>
              <w:left w:val="dashSmallGap" w:sz="4" w:space="0" w:color="auto"/>
              <w:bottom w:val="single" w:sz="18" w:space="0" w:color="auto"/>
              <w:right w:val="single" w:sz="18" w:space="0" w:color="auto"/>
            </w:tcBorders>
            <w:noWrap/>
            <w:tcMar>
              <w:left w:w="58" w:type="dxa"/>
              <w:right w:w="58" w:type="dxa"/>
            </w:tcMar>
            <w:vAlign w:val="center"/>
          </w:tcPr>
          <w:p w14:paraId="529C1486" w14:textId="77777777" w:rsidR="001029C5" w:rsidRPr="002E55DE" w:rsidRDefault="001029C5" w:rsidP="007B3FB7">
            <w:pPr>
              <w:ind w:right="60"/>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13.6</w:t>
            </w:r>
          </w:p>
        </w:tc>
      </w:tr>
    </w:tbl>
    <w:p w14:paraId="107D4479" w14:textId="30B8902D" w:rsidR="003A14A0" w:rsidRPr="002E55DE" w:rsidRDefault="003A14A0" w:rsidP="003518AB">
      <w:pPr>
        <w:rPr>
          <w:rFonts w:eastAsiaTheme="minorEastAsia"/>
          <w:lang w:eastAsia="ko-KR"/>
        </w:rPr>
      </w:pPr>
    </w:p>
    <w:p w14:paraId="1CD884EF" w14:textId="5289D5EF" w:rsidR="00E9231A" w:rsidRPr="002E55DE" w:rsidRDefault="001C479F" w:rsidP="003518AB">
      <w:pPr>
        <w:pStyle w:val="Heading2"/>
        <w:spacing w:line="240" w:lineRule="auto"/>
        <w:ind w:hanging="540"/>
        <w:contextualSpacing w:val="0"/>
        <w:rPr>
          <w:lang w:eastAsia="ko-KR"/>
        </w:rPr>
      </w:pPr>
      <w:r w:rsidRPr="002E55DE">
        <w:rPr>
          <w:lang w:eastAsia="ko-KR"/>
        </w:rPr>
        <w:t xml:space="preserve">Walking </w:t>
      </w:r>
      <w:r w:rsidR="00E9231A" w:rsidRPr="002E55DE">
        <w:rPr>
          <w:lang w:eastAsia="ko-KR"/>
        </w:rPr>
        <w:t>Outcome</w:t>
      </w:r>
    </w:p>
    <w:p w14:paraId="527DF0AD" w14:textId="3C851109" w:rsidR="00BF4EDE" w:rsidRPr="002E55DE" w:rsidRDefault="00DB0D5B" w:rsidP="007B3FB7">
      <w:pPr>
        <w:spacing w:after="120"/>
        <w:jc w:val="both"/>
        <w:rPr>
          <w:rFonts w:eastAsiaTheme="minorEastAsia"/>
          <w:lang w:eastAsia="ko-KR"/>
        </w:rPr>
      </w:pPr>
      <w:bookmarkStart w:id="39" w:name="_Hlk169956819"/>
      <w:r w:rsidRPr="002E55DE">
        <w:rPr>
          <w:rFonts w:eastAsiaTheme="minorEastAsia"/>
          <w:lang w:eastAsia="ko-KR"/>
        </w:rPr>
        <w:t xml:space="preserve">The </w:t>
      </w:r>
      <w:r w:rsidR="001C479F" w:rsidRPr="002E55DE">
        <w:rPr>
          <w:rFonts w:eastAsiaTheme="minorEastAsia"/>
          <w:lang w:eastAsia="ko-KR"/>
        </w:rPr>
        <w:t>walking (</w:t>
      </w:r>
      <w:r w:rsidRPr="002E55DE">
        <w:rPr>
          <w:rFonts w:eastAsiaTheme="minorEastAsia"/>
          <w:lang w:eastAsia="ko-KR"/>
        </w:rPr>
        <w:t>dependent</w:t>
      </w:r>
      <w:r w:rsidR="001C479F" w:rsidRPr="002E55DE">
        <w:rPr>
          <w:rFonts w:eastAsiaTheme="minorEastAsia"/>
          <w:lang w:eastAsia="ko-KR"/>
        </w:rPr>
        <w:t xml:space="preserve">) outcomes </w:t>
      </w:r>
      <w:r w:rsidRPr="002E55DE">
        <w:rPr>
          <w:rFonts w:eastAsiaTheme="minorEastAsia"/>
          <w:lang w:eastAsia="ko-KR"/>
        </w:rPr>
        <w:t xml:space="preserve">in this study include the number of days per week spent walking for more than ten minutes at a </w:t>
      </w:r>
      <w:r w:rsidR="00DC71ED" w:rsidRPr="002E55DE">
        <w:rPr>
          <w:rFonts w:eastAsiaTheme="minorEastAsia"/>
          <w:lang w:eastAsia="ko-KR"/>
        </w:rPr>
        <w:t>time</w:t>
      </w:r>
      <w:r w:rsidR="0062324F" w:rsidRPr="002E55DE">
        <w:rPr>
          <w:rFonts w:eastAsiaTheme="minorEastAsia"/>
          <w:lang w:eastAsia="ko-KR"/>
        </w:rPr>
        <w:t xml:space="preserve"> (also referred to as walking frequency)</w:t>
      </w:r>
      <w:r w:rsidRPr="002E55DE">
        <w:rPr>
          <w:rFonts w:eastAsiaTheme="minorEastAsia"/>
          <w:lang w:eastAsia="ko-KR"/>
        </w:rPr>
        <w:t xml:space="preserve">, the </w:t>
      </w:r>
      <w:r w:rsidR="00CF4B4C" w:rsidRPr="002E55DE">
        <w:rPr>
          <w:rFonts w:eastAsiaTheme="minorEastAsia"/>
          <w:lang w:eastAsia="ko-KR"/>
        </w:rPr>
        <w:t xml:space="preserve">average daily walking duration on days walked </w:t>
      </w:r>
      <w:r w:rsidR="0062324F" w:rsidRPr="002E55DE">
        <w:rPr>
          <w:rFonts w:eastAsiaTheme="minorEastAsia"/>
          <w:lang w:eastAsia="ko-KR"/>
        </w:rPr>
        <w:t>(also referred to as walking duration)</w:t>
      </w:r>
      <w:r w:rsidR="00853655" w:rsidRPr="002E55DE">
        <w:rPr>
          <w:rFonts w:eastAsiaTheme="minorEastAsia"/>
          <w:lang w:eastAsia="ko-KR"/>
        </w:rPr>
        <w:t>, and</w:t>
      </w:r>
      <w:r w:rsidRPr="002E55DE">
        <w:rPr>
          <w:rFonts w:eastAsiaTheme="minorEastAsia"/>
          <w:lang w:eastAsia="ko-KR"/>
        </w:rPr>
        <w:t xml:space="preserve"> </w:t>
      </w:r>
      <w:r w:rsidR="00853655" w:rsidRPr="002E55DE">
        <w:rPr>
          <w:rFonts w:eastAsiaTheme="minorEastAsia"/>
          <w:lang w:eastAsia="ko-KR"/>
        </w:rPr>
        <w:t xml:space="preserve">the propensity to walk with others (also referred to as walking companionship). </w:t>
      </w:r>
      <w:r w:rsidR="00BF4EDE" w:rsidRPr="002E55DE">
        <w:rPr>
          <w:rFonts w:eastAsiaTheme="minorEastAsia"/>
          <w:lang w:eastAsia="ko-KR"/>
        </w:rPr>
        <w:t>The outcome</w:t>
      </w:r>
      <w:r w:rsidR="001C479F" w:rsidRPr="002E55DE">
        <w:rPr>
          <w:rFonts w:eastAsiaTheme="minorEastAsia"/>
          <w:lang w:eastAsia="ko-KR"/>
        </w:rPr>
        <w:t>s</w:t>
      </w:r>
      <w:r w:rsidR="00BF4EDE" w:rsidRPr="002E55DE">
        <w:rPr>
          <w:rFonts w:eastAsiaTheme="minorEastAsia"/>
          <w:lang w:eastAsia="ko-KR"/>
        </w:rPr>
        <w:t xml:space="preserve"> were constructed based on the responden</w:t>
      </w:r>
      <w:r w:rsidR="003123FA" w:rsidRPr="002E55DE">
        <w:rPr>
          <w:rFonts w:eastAsiaTheme="minorEastAsia" w:hint="eastAsia"/>
          <w:lang w:eastAsia="ko-KR"/>
        </w:rPr>
        <w:t>t</w:t>
      </w:r>
      <w:r w:rsidR="00BF4EDE" w:rsidRPr="002E55DE">
        <w:rPr>
          <w:rFonts w:eastAsiaTheme="minorEastAsia"/>
          <w:lang w:eastAsia="ko-KR"/>
        </w:rPr>
        <w:t>s’ answers to the following survey questions:</w:t>
      </w:r>
    </w:p>
    <w:p w14:paraId="2F3B86E0" w14:textId="584F895D" w:rsidR="00BF4EDE" w:rsidRPr="002E55DE" w:rsidRDefault="00BF4EDE" w:rsidP="009E3EB3">
      <w:pPr>
        <w:pStyle w:val="ListParagraph"/>
        <w:numPr>
          <w:ilvl w:val="0"/>
          <w:numId w:val="35"/>
        </w:numPr>
        <w:spacing w:after="60"/>
        <w:contextualSpacing w:val="0"/>
        <w:jc w:val="both"/>
        <w:rPr>
          <w:rFonts w:ascii="Times New Roman" w:eastAsia="Times New Roman" w:hAnsi="Times New Roman"/>
          <w:szCs w:val="24"/>
        </w:rPr>
      </w:pPr>
      <w:r w:rsidRPr="002E55DE">
        <w:rPr>
          <w:rFonts w:ascii="Times New Roman" w:eastAsia="Times New Roman" w:hAnsi="Times New Roman"/>
          <w:szCs w:val="24"/>
        </w:rPr>
        <w:t xml:space="preserve">Frequency of walking: </w:t>
      </w:r>
      <w:r w:rsidR="007B3FB7" w:rsidRPr="002E55DE">
        <w:rPr>
          <w:rFonts w:ascii="Times New Roman" w:eastAsia="Times New Roman" w:hAnsi="Times New Roman"/>
          <w:szCs w:val="24"/>
        </w:rPr>
        <w:t>“</w:t>
      </w:r>
      <w:r w:rsidRPr="002E55DE">
        <w:rPr>
          <w:rFonts w:ascii="Times New Roman" w:eastAsia="Times New Roman" w:hAnsi="Times New Roman"/>
          <w:szCs w:val="24"/>
        </w:rPr>
        <w:t>In a typical week, how many days do you walk for at least 10 consecutive minutes, regardless of the reason?</w:t>
      </w:r>
      <w:r w:rsidR="007B3FB7" w:rsidRPr="002E55DE">
        <w:rPr>
          <w:rFonts w:ascii="Times New Roman" w:eastAsia="Times New Roman" w:hAnsi="Times New Roman"/>
          <w:szCs w:val="24"/>
        </w:rPr>
        <w:t>”</w:t>
      </w:r>
      <w:r w:rsidRPr="002E55DE">
        <w:rPr>
          <w:rFonts w:ascii="Times New Roman" w:eastAsia="Times New Roman" w:hAnsi="Times New Roman"/>
          <w:szCs w:val="24"/>
        </w:rPr>
        <w:t xml:space="preserve"> (Response options include</w:t>
      </w:r>
      <w:r w:rsidRPr="002E55DE">
        <w:rPr>
          <w:rFonts w:eastAsiaTheme="minorEastAsia"/>
          <w:lang w:eastAsia="ko-KR"/>
        </w:rPr>
        <w:t xml:space="preserve"> </w:t>
      </w:r>
      <w:r w:rsidR="001C479F" w:rsidRPr="002E55DE">
        <w:rPr>
          <w:rFonts w:eastAsiaTheme="minorEastAsia"/>
          <w:lang w:eastAsia="ko-KR"/>
        </w:rPr>
        <w:t>N</w:t>
      </w:r>
      <w:r w:rsidRPr="002E55DE">
        <w:rPr>
          <w:rFonts w:eastAsiaTheme="minorEastAsia"/>
          <w:lang w:eastAsia="ko-KR"/>
        </w:rPr>
        <w:t>ever, 1-2, 3-4, 5-6, or 7 days per week)</w:t>
      </w:r>
      <w:r w:rsidR="00CF4B4C" w:rsidRPr="002E55DE">
        <w:rPr>
          <w:rFonts w:eastAsiaTheme="minorEastAsia"/>
          <w:lang w:eastAsia="ko-KR"/>
        </w:rPr>
        <w:t>.</w:t>
      </w:r>
      <w:r w:rsidR="0091212F" w:rsidRPr="002E55DE">
        <w:rPr>
          <w:rFonts w:eastAsiaTheme="minorEastAsia"/>
          <w:lang w:eastAsia="ko-KR"/>
        </w:rPr>
        <w:t xml:space="preserve"> </w:t>
      </w:r>
    </w:p>
    <w:p w14:paraId="19B2018A" w14:textId="2D05B761" w:rsidR="00BF4EDE" w:rsidRPr="002E55DE" w:rsidRDefault="0091212F" w:rsidP="009E3EB3">
      <w:pPr>
        <w:pStyle w:val="ListParagraph"/>
        <w:numPr>
          <w:ilvl w:val="0"/>
          <w:numId w:val="35"/>
        </w:numPr>
        <w:spacing w:after="60"/>
        <w:contextualSpacing w:val="0"/>
        <w:jc w:val="both"/>
        <w:rPr>
          <w:rFonts w:ascii="Times New Roman" w:eastAsia="Times New Roman" w:hAnsi="Times New Roman"/>
          <w:szCs w:val="24"/>
        </w:rPr>
      </w:pPr>
      <w:r w:rsidRPr="002E55DE">
        <w:rPr>
          <w:rFonts w:ascii="Times New Roman" w:eastAsia="Times New Roman" w:hAnsi="Times New Roman"/>
          <w:szCs w:val="24"/>
        </w:rPr>
        <w:t xml:space="preserve">Daily </w:t>
      </w:r>
      <w:r w:rsidR="00BF4EDE" w:rsidRPr="002E55DE">
        <w:rPr>
          <w:rFonts w:ascii="Times New Roman" w:eastAsia="Times New Roman" w:hAnsi="Times New Roman"/>
          <w:szCs w:val="24"/>
        </w:rPr>
        <w:t xml:space="preserve">walking duration: </w:t>
      </w:r>
      <w:r w:rsidR="007B3FB7" w:rsidRPr="002E55DE">
        <w:rPr>
          <w:rFonts w:ascii="Times New Roman" w:eastAsia="Times New Roman" w:hAnsi="Times New Roman"/>
          <w:szCs w:val="24"/>
        </w:rPr>
        <w:t>“</w:t>
      </w:r>
      <w:r w:rsidR="00BF4EDE" w:rsidRPr="002E55DE">
        <w:rPr>
          <w:rFonts w:ascii="Times New Roman" w:eastAsia="Times New Roman" w:hAnsi="Times New Roman"/>
          <w:szCs w:val="24"/>
        </w:rPr>
        <w:t>On days when you walk, approximately how many minutes do you spend walking on average?</w:t>
      </w:r>
      <w:r w:rsidR="007B3FB7" w:rsidRPr="002E55DE">
        <w:rPr>
          <w:rFonts w:ascii="Times New Roman" w:eastAsia="Times New Roman" w:hAnsi="Times New Roman"/>
          <w:szCs w:val="24"/>
        </w:rPr>
        <w:t>”</w:t>
      </w:r>
      <w:r w:rsidR="00BF4EDE" w:rsidRPr="002E55DE">
        <w:rPr>
          <w:rFonts w:ascii="Times New Roman" w:eastAsia="Times New Roman" w:hAnsi="Times New Roman"/>
          <w:szCs w:val="24"/>
        </w:rPr>
        <w:t xml:space="preserve"> (Response options include</w:t>
      </w:r>
      <w:r w:rsidR="00BF4EDE" w:rsidRPr="002E55DE">
        <w:rPr>
          <w:rFonts w:ascii="Times New Roman" w:eastAsiaTheme="minorEastAsia" w:hAnsi="Times New Roman"/>
          <w:lang w:eastAsia="ko-KR"/>
        </w:rPr>
        <w:t xml:space="preserve"> 10, 11-29, 30-59, or 60 or more minutes)</w:t>
      </w:r>
      <w:r w:rsidRPr="002E55DE">
        <w:rPr>
          <w:rFonts w:ascii="Times New Roman" w:eastAsiaTheme="minorEastAsia" w:hAnsi="Times New Roman"/>
          <w:lang w:eastAsia="ko-KR"/>
        </w:rPr>
        <w:t xml:space="preserve">; for ease, in the rest of this paper, we will refer to this dimension simply as </w:t>
      </w:r>
      <w:r w:rsidR="00CF4B4C" w:rsidRPr="002E55DE">
        <w:rPr>
          <w:rFonts w:ascii="Times New Roman" w:eastAsiaTheme="minorEastAsia" w:hAnsi="Times New Roman"/>
          <w:lang w:eastAsia="ko-KR"/>
        </w:rPr>
        <w:t>“</w:t>
      </w:r>
      <w:r w:rsidRPr="002E55DE">
        <w:rPr>
          <w:rFonts w:ascii="Times New Roman" w:eastAsiaTheme="minorEastAsia" w:hAnsi="Times New Roman"/>
          <w:lang w:eastAsia="ko-KR"/>
        </w:rPr>
        <w:t>walking duration.</w:t>
      </w:r>
      <w:r w:rsidR="00CF4B4C" w:rsidRPr="002E55DE">
        <w:rPr>
          <w:rFonts w:ascii="Times New Roman" w:eastAsiaTheme="minorEastAsia" w:hAnsi="Times New Roman"/>
          <w:lang w:eastAsia="ko-KR"/>
        </w:rPr>
        <w:t>”</w:t>
      </w:r>
      <w:r w:rsidRPr="002E55DE">
        <w:rPr>
          <w:rFonts w:ascii="Times New Roman" w:eastAsiaTheme="minorEastAsia" w:hAnsi="Times New Roman"/>
          <w:lang w:eastAsia="ko-KR"/>
        </w:rPr>
        <w:t xml:space="preserve"> </w:t>
      </w:r>
    </w:p>
    <w:p w14:paraId="09AA26EF" w14:textId="66D4A5EA" w:rsidR="00BF4EDE" w:rsidRPr="002E55DE" w:rsidRDefault="00CF4B4C" w:rsidP="003518AB">
      <w:pPr>
        <w:pStyle w:val="ListParagraph"/>
        <w:numPr>
          <w:ilvl w:val="0"/>
          <w:numId w:val="35"/>
        </w:numPr>
        <w:contextualSpacing w:val="0"/>
        <w:jc w:val="both"/>
        <w:rPr>
          <w:rFonts w:ascii="Times New Roman" w:eastAsia="Times New Roman" w:hAnsi="Times New Roman"/>
          <w:szCs w:val="24"/>
        </w:rPr>
      </w:pPr>
      <w:r w:rsidRPr="002E55DE">
        <w:rPr>
          <w:rFonts w:ascii="Times New Roman" w:eastAsia="Times New Roman" w:hAnsi="Times New Roman"/>
          <w:szCs w:val="24"/>
        </w:rPr>
        <w:t>Social</w:t>
      </w:r>
      <w:r w:rsidR="00BF4EDE" w:rsidRPr="002E55DE">
        <w:rPr>
          <w:rFonts w:ascii="Times New Roman" w:eastAsia="Times New Roman" w:hAnsi="Times New Roman"/>
          <w:szCs w:val="24"/>
        </w:rPr>
        <w:t xml:space="preserve"> companionship: </w:t>
      </w:r>
      <w:r w:rsidR="007B3FB7" w:rsidRPr="002E55DE">
        <w:rPr>
          <w:rFonts w:ascii="Times New Roman" w:eastAsia="Times New Roman" w:hAnsi="Times New Roman"/>
          <w:szCs w:val="24"/>
        </w:rPr>
        <w:t>“</w:t>
      </w:r>
      <w:r w:rsidR="00BF4EDE" w:rsidRPr="002E55DE">
        <w:rPr>
          <w:rFonts w:ascii="Times New Roman" w:eastAsia="Times New Roman" w:hAnsi="Times New Roman"/>
          <w:szCs w:val="24"/>
        </w:rPr>
        <w:t>In general, when you walk for any reason, how often do you walk with someone else?</w:t>
      </w:r>
      <w:r w:rsidR="007B3FB7" w:rsidRPr="002E55DE">
        <w:rPr>
          <w:rFonts w:ascii="Times New Roman" w:eastAsia="Times New Roman" w:hAnsi="Times New Roman"/>
          <w:szCs w:val="24"/>
        </w:rPr>
        <w:t>”</w:t>
      </w:r>
      <w:r w:rsidR="00BF4EDE" w:rsidRPr="002E55DE">
        <w:rPr>
          <w:rFonts w:ascii="Times New Roman" w:eastAsia="Times New Roman" w:hAnsi="Times New Roman"/>
          <w:szCs w:val="24"/>
        </w:rPr>
        <w:t xml:space="preserve"> (Response options include </w:t>
      </w:r>
      <w:r w:rsidR="001C479F" w:rsidRPr="002E55DE">
        <w:rPr>
          <w:rFonts w:ascii="Times New Roman" w:eastAsia="Times New Roman" w:hAnsi="Times New Roman"/>
          <w:szCs w:val="24"/>
        </w:rPr>
        <w:t>N</w:t>
      </w:r>
      <w:r w:rsidR="00BF4EDE" w:rsidRPr="002E55DE">
        <w:rPr>
          <w:rFonts w:ascii="Times New Roman" w:eastAsia="Times New Roman" w:hAnsi="Times New Roman"/>
          <w:szCs w:val="24"/>
        </w:rPr>
        <w:t>ever, Rarely, Sometimes, Often, Always)</w:t>
      </w:r>
      <w:r w:rsidR="00FA0B71" w:rsidRPr="002E55DE">
        <w:rPr>
          <w:rFonts w:ascii="Times New Roman" w:eastAsia="Times New Roman" w:hAnsi="Times New Roman"/>
          <w:szCs w:val="24"/>
        </w:rPr>
        <w:t xml:space="preserve">; </w:t>
      </w:r>
      <w:r w:rsidR="00FA0B71" w:rsidRPr="002E55DE">
        <w:rPr>
          <w:rFonts w:ascii="Times New Roman" w:eastAsiaTheme="minorEastAsia" w:hAnsi="Times New Roman"/>
          <w:lang w:eastAsia="ko-KR"/>
        </w:rPr>
        <w:t>for ease, in the rest of this paper, we will refer to this dimension simply as “SC</w:t>
      </w:r>
      <w:r w:rsidR="00A16F8A" w:rsidRPr="002E55DE">
        <w:rPr>
          <w:rFonts w:ascii="Times New Roman" w:eastAsiaTheme="minorEastAsia" w:hAnsi="Times New Roman"/>
          <w:lang w:eastAsia="ko-KR"/>
        </w:rPr>
        <w:t>.</w:t>
      </w:r>
      <w:r w:rsidR="00FA0B71" w:rsidRPr="002E55DE">
        <w:rPr>
          <w:rFonts w:ascii="Times New Roman" w:eastAsiaTheme="minorEastAsia" w:hAnsi="Times New Roman"/>
          <w:lang w:eastAsia="ko-KR"/>
        </w:rPr>
        <w:t>”</w:t>
      </w:r>
    </w:p>
    <w:bookmarkEnd w:id="39"/>
    <w:p w14:paraId="668247D0" w14:textId="77777777" w:rsidR="003518AB" w:rsidRPr="002E55DE" w:rsidRDefault="003518AB" w:rsidP="003518AB">
      <w:pPr>
        <w:ind w:firstLine="720"/>
        <w:jc w:val="both"/>
        <w:rPr>
          <w:rFonts w:ascii="Times New Roman" w:eastAsiaTheme="minorEastAsia" w:hAnsi="Times New Roman"/>
          <w:lang w:eastAsia="ko-KR"/>
        </w:rPr>
      </w:pPr>
    </w:p>
    <w:p w14:paraId="31F2693C" w14:textId="6124DEE3" w:rsidR="00E2767C" w:rsidRPr="002E55DE" w:rsidRDefault="00BF4EDE" w:rsidP="003518AB">
      <w:pPr>
        <w:ind w:firstLine="720"/>
        <w:jc w:val="both"/>
        <w:rPr>
          <w:rFonts w:ascii="Times New Roman" w:eastAsiaTheme="minorEastAsia" w:hAnsi="Times New Roman"/>
          <w:lang w:eastAsia="ko-KR"/>
        </w:rPr>
      </w:pPr>
      <w:r w:rsidRPr="002E55DE">
        <w:rPr>
          <w:rFonts w:ascii="Times New Roman" w:eastAsiaTheme="minorEastAsia" w:hAnsi="Times New Roman"/>
          <w:lang w:eastAsia="ko-KR"/>
        </w:rPr>
        <w:t>The 10-minute walking duration is especially relevant as it aligns with the</w:t>
      </w:r>
      <w:r w:rsidR="00A94D0C" w:rsidRPr="002E55DE">
        <w:rPr>
          <w:rFonts w:ascii="Times New Roman" w:eastAsiaTheme="minorEastAsia" w:hAnsi="Times New Roman"/>
          <w:lang w:eastAsia="ko-KR"/>
        </w:rPr>
        <w:t xml:space="preserve"> World Health Organization’s (2010) </w:t>
      </w:r>
      <w:r w:rsidRPr="002E55DE">
        <w:rPr>
          <w:rFonts w:ascii="Times New Roman" w:eastAsiaTheme="minorEastAsia" w:hAnsi="Times New Roman"/>
          <w:lang w:eastAsia="ko-KR"/>
        </w:rPr>
        <w:t>recommendation that aerobic activity should be performed in bouts of at least 10 minutes</w:t>
      </w:r>
      <w:r w:rsidR="00447B32">
        <w:rPr>
          <w:rFonts w:ascii="Times New Roman" w:eastAsiaTheme="minorEastAsia" w:hAnsi="Times New Roman"/>
          <w:lang w:eastAsia="ko-KR"/>
        </w:rPr>
        <w:t>.</w:t>
      </w:r>
      <w:r w:rsidRPr="002E55DE">
        <w:rPr>
          <w:rStyle w:val="FootnoteReference"/>
        </w:rPr>
        <w:footnoteReference w:id="7"/>
      </w:r>
      <w:r w:rsidRPr="002E55DE">
        <w:rPr>
          <w:rFonts w:ascii="Times New Roman" w:eastAsiaTheme="minorEastAsia" w:hAnsi="Times New Roman"/>
          <w:lang w:eastAsia="ko-KR"/>
        </w:rPr>
        <w:t xml:space="preserve"> </w:t>
      </w:r>
      <w:r w:rsidR="008F7709" w:rsidRPr="002E55DE">
        <w:t xml:space="preserve">Table 3 shows the distribution of the three outcome variables. Of the total sample (N=1,667), 315 respondents reported never walking more than ten minutes per day. These non-walking respondents were not asked subsequent questions about their walking duration and social companionship, </w:t>
      </w:r>
      <w:r w:rsidR="00263A20" w:rsidRPr="002E55DE">
        <w:t xml:space="preserve">and therefore do not feature in the analyses of these two outcomes (resulting in </w:t>
      </w:r>
      <w:r w:rsidR="004D606A" w:rsidRPr="002E55DE">
        <w:rPr>
          <w:rFonts w:eastAsiaTheme="minorEastAsia" w:hint="eastAsia"/>
          <w:lang w:eastAsia="ko-KR"/>
        </w:rPr>
        <w:t xml:space="preserve">a </w:t>
      </w:r>
      <w:r w:rsidR="00263A20" w:rsidRPr="002E55DE">
        <w:t>total sample of N=1</w:t>
      </w:r>
      <w:r w:rsidR="00743EED" w:rsidRPr="002E55DE">
        <w:rPr>
          <w:rFonts w:eastAsiaTheme="minorEastAsia" w:hint="eastAsia"/>
          <w:lang w:eastAsia="ko-KR"/>
        </w:rPr>
        <w:t>,</w:t>
      </w:r>
      <w:r w:rsidR="00263A20" w:rsidRPr="002E55DE">
        <w:t>667 for the walking frequency dimension, but only a subsample of N=1,352 for the walking duration and social companionship dimensions of the analysis)</w:t>
      </w:r>
      <w:r w:rsidR="00EC6A7D" w:rsidRPr="002E55DE">
        <w:t>.</w:t>
      </w:r>
      <w:r w:rsidR="008F7709" w:rsidRPr="002E55DE">
        <w:t xml:space="preserve"> </w:t>
      </w:r>
      <w:r w:rsidRPr="002E55DE">
        <w:rPr>
          <w:rFonts w:ascii="Times New Roman" w:eastAsiaTheme="minorEastAsia" w:hAnsi="Times New Roman"/>
          <w:lang w:eastAsia="ko-KR"/>
        </w:rPr>
        <w:t xml:space="preserve">Responses were predominantly concentrated around the mid-level options for all three questions, yet each level retained a sufficiently large </w:t>
      </w:r>
      <w:r w:rsidR="00236ADB" w:rsidRPr="002E55DE">
        <w:rPr>
          <w:rFonts w:ascii="Times New Roman" w:eastAsiaTheme="minorEastAsia" w:hAnsi="Times New Roman"/>
          <w:lang w:eastAsia="ko-KR"/>
        </w:rPr>
        <w:t>number of observations</w:t>
      </w:r>
      <w:r w:rsidRPr="002E55DE">
        <w:rPr>
          <w:rFonts w:ascii="Times New Roman" w:eastAsiaTheme="minorEastAsia" w:hAnsi="Times New Roman"/>
          <w:lang w:eastAsia="ko-KR"/>
        </w:rPr>
        <w:t>.</w:t>
      </w:r>
    </w:p>
    <w:p w14:paraId="55A53B61" w14:textId="77777777" w:rsidR="003518AB" w:rsidRPr="002E55DE" w:rsidRDefault="003518AB" w:rsidP="003518AB">
      <w:pPr>
        <w:ind w:firstLine="720"/>
        <w:jc w:val="both"/>
        <w:rPr>
          <w:rFonts w:ascii="Times New Roman" w:eastAsiaTheme="minorEastAsia" w:hAnsi="Times New Roman"/>
          <w:lang w:eastAsia="ko-KR"/>
        </w:rPr>
      </w:pPr>
    </w:p>
    <w:p w14:paraId="02EFC637" w14:textId="5C32C5D3" w:rsidR="00250BF4" w:rsidRPr="002E55DE" w:rsidRDefault="00250BF4" w:rsidP="007B3FB7">
      <w:pPr>
        <w:keepNext/>
        <w:keepLines/>
        <w:rPr>
          <w:rFonts w:ascii="Times New Roman" w:eastAsiaTheme="minorEastAsia" w:hAnsi="Times New Roman"/>
          <w:b/>
          <w:bCs/>
          <w:lang w:eastAsia="ko-KR"/>
        </w:rPr>
      </w:pPr>
      <w:r w:rsidRPr="002E55DE">
        <w:rPr>
          <w:rFonts w:ascii="Times New Roman" w:hAnsi="Times New Roman"/>
          <w:b/>
          <w:bCs/>
        </w:rPr>
        <w:lastRenderedPageBreak/>
        <w:t xml:space="preserve">Table </w:t>
      </w:r>
      <w:r w:rsidRPr="002E55DE">
        <w:rPr>
          <w:rFonts w:ascii="Times New Roman" w:hAnsi="Times New Roman"/>
          <w:b/>
          <w:bCs/>
        </w:rPr>
        <w:fldChar w:fldCharType="begin"/>
      </w:r>
      <w:r w:rsidRPr="002E55DE">
        <w:rPr>
          <w:rFonts w:ascii="Times New Roman" w:hAnsi="Times New Roman"/>
          <w:b/>
          <w:bCs/>
        </w:rPr>
        <w:instrText xml:space="preserve"> SEQ Table \* ARABIC </w:instrText>
      </w:r>
      <w:r w:rsidRPr="002E55DE">
        <w:rPr>
          <w:rFonts w:ascii="Times New Roman" w:hAnsi="Times New Roman"/>
          <w:b/>
          <w:bCs/>
        </w:rPr>
        <w:fldChar w:fldCharType="separate"/>
      </w:r>
      <w:r w:rsidR="006E3826">
        <w:rPr>
          <w:rFonts w:ascii="Times New Roman" w:hAnsi="Times New Roman"/>
          <w:b/>
          <w:bCs/>
          <w:noProof/>
        </w:rPr>
        <w:t>3</w:t>
      </w:r>
      <w:r w:rsidRPr="002E55DE">
        <w:rPr>
          <w:rFonts w:ascii="Times New Roman" w:hAnsi="Times New Roman"/>
          <w:b/>
          <w:bCs/>
        </w:rPr>
        <w:fldChar w:fldCharType="end"/>
      </w:r>
      <w:r w:rsidR="00AA7404" w:rsidRPr="002E55DE">
        <w:rPr>
          <w:rFonts w:ascii="Times New Roman" w:hAnsi="Times New Roman"/>
          <w:b/>
          <w:bCs/>
        </w:rPr>
        <w:t>.</w:t>
      </w:r>
      <w:r w:rsidR="00A02B56" w:rsidRPr="002E55DE">
        <w:rPr>
          <w:rFonts w:ascii="Times New Roman" w:eastAsiaTheme="minorEastAsia" w:hAnsi="Times New Roman" w:hint="eastAsia"/>
          <w:b/>
          <w:bCs/>
          <w:lang w:eastAsia="ko-KR"/>
        </w:rPr>
        <w:t xml:space="preserve"> Distribution of Outcome Variables</w:t>
      </w:r>
    </w:p>
    <w:tbl>
      <w:tblPr>
        <w:tblW w:w="93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53"/>
        <w:gridCol w:w="1264"/>
        <w:gridCol w:w="1980"/>
        <w:gridCol w:w="1080"/>
        <w:gridCol w:w="1998"/>
        <w:gridCol w:w="1033"/>
      </w:tblGrid>
      <w:tr w:rsidR="002E55DE" w:rsidRPr="002E55DE" w14:paraId="38A1BDE9" w14:textId="77777777" w:rsidTr="00501DA3">
        <w:trPr>
          <w:trHeight w:val="317"/>
          <w:tblHeader/>
        </w:trPr>
        <w:tc>
          <w:tcPr>
            <w:tcW w:w="3217" w:type="dxa"/>
            <w:gridSpan w:val="2"/>
            <w:tcBorders>
              <w:top w:val="single" w:sz="18" w:space="0" w:color="auto"/>
              <w:left w:val="single" w:sz="18" w:space="0" w:color="auto"/>
              <w:bottom w:val="single" w:sz="12" w:space="0" w:color="auto"/>
              <w:right w:val="single" w:sz="12" w:space="0" w:color="auto"/>
            </w:tcBorders>
            <w:noWrap/>
            <w:vAlign w:val="bottom"/>
            <w:hideMark/>
          </w:tcPr>
          <w:p w14:paraId="13CFF539" w14:textId="77777777" w:rsidR="00A16F8A" w:rsidRPr="002E55DE" w:rsidRDefault="00337853" w:rsidP="007B3FB7">
            <w:pPr>
              <w:keepNext/>
              <w:keepLines/>
              <w:rPr>
                <w:rFonts w:ascii="Times New Roman" w:eastAsia="Times New Roman" w:hAnsi="Times New Roman"/>
                <w:b/>
                <w:bCs/>
                <w:sz w:val="22"/>
                <w:szCs w:val="22"/>
                <w:lang w:eastAsia="ko-KR"/>
              </w:rPr>
            </w:pPr>
            <w:r w:rsidRPr="002E55DE">
              <w:rPr>
                <w:rFonts w:ascii="Times New Roman" w:hAnsi="Times New Roman"/>
                <w:b/>
                <w:bCs/>
                <w:sz w:val="22"/>
                <w:szCs w:val="22"/>
                <w:lang w:eastAsia="ko-KR"/>
              </w:rPr>
              <w:t>Walking</w:t>
            </w:r>
            <w:r w:rsidRPr="002E55DE">
              <w:rPr>
                <w:rFonts w:ascii="Times New Roman" w:eastAsia="Times New Roman" w:hAnsi="Times New Roman"/>
                <w:b/>
                <w:bCs/>
                <w:sz w:val="22"/>
                <w:szCs w:val="22"/>
                <w:lang w:eastAsia="ko-KR"/>
              </w:rPr>
              <w:t xml:space="preserve"> frequency</w:t>
            </w:r>
          </w:p>
          <w:p w14:paraId="78E0F68D" w14:textId="1A562A3F" w:rsidR="00337853" w:rsidRPr="002E55DE" w:rsidRDefault="00CF4B4C" w:rsidP="007B3FB7">
            <w:pPr>
              <w:keepNext/>
              <w:keepLines/>
              <w:rPr>
                <w:rFonts w:ascii="Times New Roman" w:eastAsiaTheme="minorEastAsia" w:hAnsi="Times New Roman"/>
                <w:b/>
                <w:bCs/>
                <w:sz w:val="22"/>
                <w:szCs w:val="22"/>
                <w:lang w:eastAsia="ko-KR"/>
              </w:rPr>
            </w:pPr>
            <w:r w:rsidRPr="002E55DE">
              <w:rPr>
                <w:rFonts w:ascii="Times New Roman" w:eastAsia="Times New Roman" w:hAnsi="Times New Roman"/>
                <w:b/>
                <w:bCs/>
                <w:sz w:val="22"/>
                <w:szCs w:val="22"/>
                <w:lang w:eastAsia="ko-KR"/>
              </w:rPr>
              <w:t>(weekly)</w:t>
            </w:r>
          </w:p>
          <w:p w14:paraId="28098529" w14:textId="7439E2A5" w:rsidR="00337853" w:rsidRPr="002E55DE" w:rsidRDefault="00337853" w:rsidP="007B3FB7">
            <w:pPr>
              <w:keepNext/>
              <w:keepLines/>
              <w:jc w:val="right"/>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(N=1</w:t>
            </w:r>
            <w:r w:rsidR="00931AC7" w:rsidRPr="002E55DE">
              <w:rPr>
                <w:rFonts w:ascii="Times New Roman" w:eastAsia="Times New Roman" w:hAnsi="Times New Roman"/>
                <w:b/>
                <w:bCs/>
                <w:sz w:val="22"/>
                <w:szCs w:val="22"/>
                <w:lang w:eastAsia="ko-KR"/>
              </w:rPr>
              <w:t>,</w:t>
            </w:r>
            <w:r w:rsidRPr="002E55DE">
              <w:rPr>
                <w:rFonts w:ascii="Times New Roman" w:eastAsia="Times New Roman" w:hAnsi="Times New Roman"/>
                <w:b/>
                <w:bCs/>
                <w:sz w:val="22"/>
                <w:szCs w:val="22"/>
                <w:lang w:eastAsia="ko-KR"/>
              </w:rPr>
              <w:t>667)</w:t>
            </w:r>
          </w:p>
        </w:tc>
        <w:tc>
          <w:tcPr>
            <w:tcW w:w="3060" w:type="dxa"/>
            <w:gridSpan w:val="2"/>
            <w:tcBorders>
              <w:top w:val="single" w:sz="18" w:space="0" w:color="auto"/>
              <w:left w:val="single" w:sz="12" w:space="0" w:color="auto"/>
              <w:bottom w:val="single" w:sz="12" w:space="0" w:color="auto"/>
              <w:right w:val="single" w:sz="12" w:space="0" w:color="auto"/>
            </w:tcBorders>
            <w:noWrap/>
            <w:vAlign w:val="bottom"/>
            <w:hideMark/>
          </w:tcPr>
          <w:p w14:paraId="0BC08D76" w14:textId="77777777" w:rsidR="00656149" w:rsidRPr="002E55DE" w:rsidRDefault="00CF4B4C" w:rsidP="007B3FB7">
            <w:pPr>
              <w:keepNext/>
              <w:keepLines/>
              <w:rPr>
                <w:rFonts w:ascii="Times New Roman" w:eastAsiaTheme="minorEastAsia" w:hAnsi="Times New Roman"/>
                <w:b/>
                <w:bCs/>
                <w:sz w:val="22"/>
                <w:szCs w:val="22"/>
                <w:lang w:eastAsia="ko-KR"/>
              </w:rPr>
            </w:pPr>
            <w:r w:rsidRPr="002E55DE">
              <w:rPr>
                <w:rFonts w:ascii="Times New Roman" w:eastAsiaTheme="minorEastAsia" w:hAnsi="Times New Roman"/>
                <w:b/>
                <w:bCs/>
                <w:sz w:val="22"/>
                <w:szCs w:val="22"/>
                <w:lang w:eastAsia="ko-KR"/>
              </w:rPr>
              <w:t>W</w:t>
            </w:r>
            <w:r w:rsidR="0060521B" w:rsidRPr="002E55DE">
              <w:rPr>
                <w:rFonts w:ascii="Times New Roman" w:eastAsia="Times New Roman" w:hAnsi="Times New Roman"/>
                <w:b/>
                <w:bCs/>
                <w:sz w:val="22"/>
                <w:szCs w:val="22"/>
                <w:lang w:eastAsia="ko-KR"/>
              </w:rPr>
              <w:t>alking duration</w:t>
            </w:r>
            <w:r w:rsidR="0060521B" w:rsidRPr="002E55DE">
              <w:rPr>
                <w:rFonts w:ascii="Times New Roman" w:eastAsiaTheme="minorEastAsia" w:hAnsi="Times New Roman"/>
                <w:b/>
                <w:bCs/>
                <w:sz w:val="22"/>
                <w:szCs w:val="22"/>
                <w:lang w:eastAsia="ko-KR"/>
              </w:rPr>
              <w:t xml:space="preserve"> </w:t>
            </w:r>
          </w:p>
          <w:p w14:paraId="2A17FACE" w14:textId="769F7053" w:rsidR="0060521B" w:rsidRPr="002E55DE" w:rsidRDefault="00CF4B4C" w:rsidP="007B3FB7">
            <w:pPr>
              <w:keepNext/>
              <w:keepLines/>
              <w:rPr>
                <w:rFonts w:ascii="Times New Roman" w:eastAsiaTheme="minorEastAsia" w:hAnsi="Times New Roman"/>
                <w:b/>
                <w:bCs/>
                <w:sz w:val="22"/>
                <w:szCs w:val="22"/>
                <w:lang w:eastAsia="ko-KR"/>
              </w:rPr>
            </w:pPr>
            <w:r w:rsidRPr="002E55DE">
              <w:rPr>
                <w:rFonts w:ascii="Times New Roman" w:eastAsiaTheme="minorEastAsia" w:hAnsi="Times New Roman"/>
                <w:b/>
                <w:bCs/>
                <w:sz w:val="22"/>
                <w:szCs w:val="22"/>
                <w:lang w:eastAsia="ko-KR"/>
              </w:rPr>
              <w:t xml:space="preserve">(per day of walking) </w:t>
            </w:r>
          </w:p>
          <w:p w14:paraId="743CD32A" w14:textId="6BB8C3CF" w:rsidR="00337853" w:rsidRPr="002E55DE" w:rsidRDefault="00337853" w:rsidP="007B3FB7">
            <w:pPr>
              <w:keepNext/>
              <w:keepLines/>
              <w:jc w:val="right"/>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(N=1</w:t>
            </w:r>
            <w:r w:rsidR="00931AC7" w:rsidRPr="002E55DE">
              <w:rPr>
                <w:rFonts w:ascii="Times New Roman" w:eastAsia="Times New Roman" w:hAnsi="Times New Roman"/>
                <w:b/>
                <w:bCs/>
                <w:sz w:val="22"/>
                <w:szCs w:val="22"/>
                <w:lang w:eastAsia="ko-KR"/>
              </w:rPr>
              <w:t>,</w:t>
            </w:r>
            <w:r w:rsidRPr="002E55DE">
              <w:rPr>
                <w:rFonts w:ascii="Times New Roman" w:eastAsia="Times New Roman" w:hAnsi="Times New Roman"/>
                <w:b/>
                <w:bCs/>
                <w:sz w:val="22"/>
                <w:szCs w:val="22"/>
                <w:lang w:eastAsia="ko-KR"/>
              </w:rPr>
              <w:t>352)</w:t>
            </w:r>
          </w:p>
        </w:tc>
        <w:tc>
          <w:tcPr>
            <w:tcW w:w="3031" w:type="dxa"/>
            <w:gridSpan w:val="2"/>
            <w:tcBorders>
              <w:top w:val="single" w:sz="18" w:space="0" w:color="auto"/>
              <w:left w:val="single" w:sz="12" w:space="0" w:color="auto"/>
              <w:bottom w:val="single" w:sz="12" w:space="0" w:color="auto"/>
              <w:right w:val="single" w:sz="18" w:space="0" w:color="auto"/>
            </w:tcBorders>
            <w:noWrap/>
            <w:vAlign w:val="bottom"/>
            <w:hideMark/>
          </w:tcPr>
          <w:p w14:paraId="04BC08EE" w14:textId="5DA51E41" w:rsidR="00337853" w:rsidRPr="002E55DE" w:rsidRDefault="00FA0B71" w:rsidP="007B3FB7">
            <w:pPr>
              <w:keepNext/>
              <w:keepLines/>
              <w:rPr>
                <w:rFonts w:ascii="Times New Roman" w:eastAsiaTheme="minorEastAsia" w:hAnsi="Times New Roman"/>
                <w:b/>
                <w:bCs/>
                <w:sz w:val="22"/>
                <w:szCs w:val="22"/>
                <w:lang w:eastAsia="ko-KR"/>
              </w:rPr>
            </w:pPr>
            <w:r w:rsidRPr="002E55DE">
              <w:rPr>
                <w:rFonts w:ascii="Times New Roman" w:eastAsiaTheme="minorEastAsia" w:hAnsi="Times New Roman"/>
                <w:b/>
                <w:bCs/>
                <w:sz w:val="22"/>
                <w:szCs w:val="22"/>
                <w:lang w:eastAsia="ko-KR"/>
              </w:rPr>
              <w:t xml:space="preserve">Social </w:t>
            </w:r>
            <w:r w:rsidR="003F1FEA" w:rsidRPr="002E55DE">
              <w:rPr>
                <w:rFonts w:ascii="Times New Roman" w:eastAsiaTheme="minorEastAsia" w:hAnsi="Times New Roman"/>
                <w:b/>
                <w:bCs/>
                <w:sz w:val="22"/>
                <w:szCs w:val="22"/>
                <w:lang w:eastAsia="ko-KR"/>
              </w:rPr>
              <w:t>Companionship</w:t>
            </w:r>
            <w:r w:rsidR="00A16F8A" w:rsidRPr="002E55DE">
              <w:rPr>
                <w:rFonts w:ascii="Times New Roman" w:eastAsiaTheme="minorEastAsia" w:hAnsi="Times New Roman"/>
                <w:b/>
                <w:bCs/>
                <w:sz w:val="22"/>
                <w:szCs w:val="22"/>
                <w:lang w:eastAsia="ko-KR"/>
              </w:rPr>
              <w:t xml:space="preserve"> (SC)</w:t>
            </w:r>
          </w:p>
          <w:p w14:paraId="65BA56D3" w14:textId="2A3CBD62" w:rsidR="00337853" w:rsidRPr="002E55DE" w:rsidRDefault="00337853" w:rsidP="007B3FB7">
            <w:pPr>
              <w:keepNext/>
              <w:keepLines/>
              <w:jc w:val="right"/>
              <w:rPr>
                <w:rFonts w:ascii="Times New Roman" w:eastAsia="Times New Roman" w:hAnsi="Times New Roman"/>
                <w:b/>
                <w:bCs/>
                <w:sz w:val="22"/>
                <w:szCs w:val="22"/>
                <w:lang w:eastAsia="ko-KR"/>
              </w:rPr>
            </w:pPr>
            <w:r w:rsidRPr="002E55DE">
              <w:rPr>
                <w:rFonts w:ascii="Times New Roman" w:eastAsia="Times New Roman" w:hAnsi="Times New Roman"/>
                <w:b/>
                <w:bCs/>
                <w:sz w:val="22"/>
                <w:szCs w:val="22"/>
                <w:lang w:eastAsia="ko-KR"/>
              </w:rPr>
              <w:t>(N=1</w:t>
            </w:r>
            <w:r w:rsidR="00931AC7" w:rsidRPr="002E55DE">
              <w:rPr>
                <w:rFonts w:ascii="Times New Roman" w:eastAsia="Times New Roman" w:hAnsi="Times New Roman"/>
                <w:b/>
                <w:bCs/>
                <w:sz w:val="22"/>
                <w:szCs w:val="22"/>
                <w:lang w:eastAsia="ko-KR"/>
              </w:rPr>
              <w:t>,</w:t>
            </w:r>
            <w:r w:rsidRPr="002E55DE">
              <w:rPr>
                <w:rFonts w:ascii="Times New Roman" w:eastAsia="Times New Roman" w:hAnsi="Times New Roman"/>
                <w:b/>
                <w:bCs/>
                <w:sz w:val="22"/>
                <w:szCs w:val="22"/>
                <w:lang w:eastAsia="ko-KR"/>
              </w:rPr>
              <w:t>352)</w:t>
            </w:r>
          </w:p>
        </w:tc>
      </w:tr>
      <w:tr w:rsidR="002E55DE" w:rsidRPr="002E55DE" w14:paraId="5DE13755" w14:textId="77777777" w:rsidTr="00F424E8">
        <w:trPr>
          <w:trHeight w:val="317"/>
        </w:trPr>
        <w:tc>
          <w:tcPr>
            <w:tcW w:w="1953" w:type="dxa"/>
            <w:tcBorders>
              <w:top w:val="single" w:sz="12" w:space="0" w:color="auto"/>
              <w:left w:val="single" w:sz="18" w:space="0" w:color="auto"/>
              <w:bottom w:val="dashSmallGap" w:sz="4" w:space="0" w:color="auto"/>
            </w:tcBorders>
            <w:noWrap/>
            <w:vAlign w:val="center"/>
            <w:hideMark/>
          </w:tcPr>
          <w:p w14:paraId="2FFF64A5" w14:textId="77777777"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Never</w:t>
            </w:r>
          </w:p>
        </w:tc>
        <w:tc>
          <w:tcPr>
            <w:tcW w:w="1264" w:type="dxa"/>
            <w:tcBorders>
              <w:top w:val="single" w:sz="12" w:space="0" w:color="auto"/>
              <w:bottom w:val="dashSmallGap" w:sz="4" w:space="0" w:color="auto"/>
              <w:right w:val="single" w:sz="12" w:space="0" w:color="auto"/>
            </w:tcBorders>
            <w:noWrap/>
            <w:hideMark/>
          </w:tcPr>
          <w:p w14:paraId="740829BC"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315</w:t>
            </w:r>
          </w:p>
          <w:p w14:paraId="73C4CEFA" w14:textId="7490DA00"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(18.9%)</w:t>
            </w:r>
          </w:p>
        </w:tc>
        <w:tc>
          <w:tcPr>
            <w:tcW w:w="1980" w:type="dxa"/>
            <w:tcBorders>
              <w:top w:val="single" w:sz="12" w:space="0" w:color="auto"/>
              <w:left w:val="single" w:sz="12" w:space="0" w:color="auto"/>
              <w:bottom w:val="dashSmallGap" w:sz="4" w:space="0" w:color="auto"/>
            </w:tcBorders>
            <w:noWrap/>
            <w:vAlign w:val="center"/>
            <w:hideMark/>
          </w:tcPr>
          <w:p w14:paraId="60454022" w14:textId="0E70965D"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10 minutes</w:t>
            </w:r>
          </w:p>
        </w:tc>
        <w:tc>
          <w:tcPr>
            <w:tcW w:w="1080" w:type="dxa"/>
            <w:tcBorders>
              <w:top w:val="single" w:sz="12" w:space="0" w:color="auto"/>
              <w:bottom w:val="dashSmallGap" w:sz="4" w:space="0" w:color="auto"/>
              <w:right w:val="single" w:sz="12" w:space="0" w:color="auto"/>
            </w:tcBorders>
            <w:noWrap/>
            <w:hideMark/>
          </w:tcPr>
          <w:p w14:paraId="219488F9"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159</w:t>
            </w:r>
          </w:p>
          <w:p w14:paraId="5BBA472B" w14:textId="5A5780D6"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(11.7%)</w:t>
            </w:r>
          </w:p>
        </w:tc>
        <w:tc>
          <w:tcPr>
            <w:tcW w:w="1998" w:type="dxa"/>
            <w:tcBorders>
              <w:top w:val="single" w:sz="12" w:space="0" w:color="auto"/>
              <w:left w:val="single" w:sz="12" w:space="0" w:color="auto"/>
              <w:bottom w:val="dashSmallGap" w:sz="4" w:space="0" w:color="auto"/>
            </w:tcBorders>
            <w:noWrap/>
            <w:vAlign w:val="center"/>
            <w:hideMark/>
          </w:tcPr>
          <w:p w14:paraId="14492F44" w14:textId="5038063B"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Never</w:t>
            </w:r>
          </w:p>
        </w:tc>
        <w:tc>
          <w:tcPr>
            <w:tcW w:w="1033" w:type="dxa"/>
            <w:tcBorders>
              <w:top w:val="single" w:sz="12" w:space="0" w:color="auto"/>
              <w:bottom w:val="dashSmallGap" w:sz="4" w:space="0" w:color="auto"/>
              <w:right w:val="single" w:sz="18" w:space="0" w:color="auto"/>
            </w:tcBorders>
            <w:noWrap/>
            <w:hideMark/>
          </w:tcPr>
          <w:p w14:paraId="02DA1CE0"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160</w:t>
            </w:r>
          </w:p>
          <w:p w14:paraId="56A6F3BB" w14:textId="04925C8D"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(11.9%)</w:t>
            </w:r>
          </w:p>
        </w:tc>
      </w:tr>
      <w:tr w:rsidR="002E55DE" w:rsidRPr="002E55DE" w14:paraId="6DE7BDA7" w14:textId="77777777" w:rsidTr="00F424E8">
        <w:trPr>
          <w:trHeight w:val="317"/>
        </w:trPr>
        <w:tc>
          <w:tcPr>
            <w:tcW w:w="1953" w:type="dxa"/>
            <w:tcBorders>
              <w:top w:val="dashSmallGap" w:sz="4" w:space="0" w:color="auto"/>
              <w:left w:val="single" w:sz="18" w:space="0" w:color="auto"/>
              <w:bottom w:val="dashSmallGap" w:sz="4" w:space="0" w:color="auto"/>
            </w:tcBorders>
            <w:noWrap/>
            <w:vAlign w:val="center"/>
            <w:hideMark/>
          </w:tcPr>
          <w:p w14:paraId="24148F06" w14:textId="4AEF410A"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1-2 days</w:t>
            </w:r>
            <w:r w:rsidRPr="002E55DE">
              <w:rPr>
                <w:rFonts w:ascii="Times New Roman" w:eastAsiaTheme="minorEastAsia" w:hAnsi="Times New Roman"/>
                <w:sz w:val="22"/>
                <w:szCs w:val="22"/>
                <w:lang w:eastAsia="ko-KR"/>
              </w:rPr>
              <w:t>/</w:t>
            </w:r>
            <w:r w:rsidRPr="002E55DE">
              <w:rPr>
                <w:rFonts w:ascii="Times New Roman" w:eastAsia="Times New Roman" w:hAnsi="Times New Roman"/>
                <w:sz w:val="22"/>
                <w:szCs w:val="22"/>
                <w:lang w:eastAsia="ko-KR"/>
              </w:rPr>
              <w:t>week</w:t>
            </w:r>
          </w:p>
        </w:tc>
        <w:tc>
          <w:tcPr>
            <w:tcW w:w="1264" w:type="dxa"/>
            <w:tcBorders>
              <w:top w:val="dashSmallGap" w:sz="4" w:space="0" w:color="auto"/>
              <w:bottom w:val="dashSmallGap" w:sz="4" w:space="0" w:color="auto"/>
              <w:right w:val="single" w:sz="12" w:space="0" w:color="auto"/>
            </w:tcBorders>
            <w:noWrap/>
            <w:hideMark/>
          </w:tcPr>
          <w:p w14:paraId="49115DE0"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285</w:t>
            </w:r>
          </w:p>
          <w:p w14:paraId="43BF962C" w14:textId="7835F553"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(17.1%)</w:t>
            </w:r>
          </w:p>
        </w:tc>
        <w:tc>
          <w:tcPr>
            <w:tcW w:w="1980" w:type="dxa"/>
            <w:tcBorders>
              <w:top w:val="dashSmallGap" w:sz="4" w:space="0" w:color="auto"/>
              <w:left w:val="single" w:sz="12" w:space="0" w:color="auto"/>
              <w:bottom w:val="dashSmallGap" w:sz="4" w:space="0" w:color="auto"/>
            </w:tcBorders>
            <w:noWrap/>
            <w:vAlign w:val="center"/>
            <w:hideMark/>
          </w:tcPr>
          <w:p w14:paraId="27F0EA48" w14:textId="0FA661A3" w:rsidR="0060521B" w:rsidRPr="002E55DE" w:rsidRDefault="00E572BA" w:rsidP="007B3FB7">
            <w:pPr>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11-29 minutes</w:t>
            </w:r>
          </w:p>
        </w:tc>
        <w:tc>
          <w:tcPr>
            <w:tcW w:w="1080" w:type="dxa"/>
            <w:tcBorders>
              <w:top w:val="dashSmallGap" w:sz="4" w:space="0" w:color="auto"/>
              <w:bottom w:val="dashSmallGap" w:sz="4" w:space="0" w:color="auto"/>
              <w:right w:val="single" w:sz="12" w:space="0" w:color="auto"/>
            </w:tcBorders>
            <w:noWrap/>
            <w:hideMark/>
          </w:tcPr>
          <w:p w14:paraId="30362606"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538</w:t>
            </w:r>
          </w:p>
          <w:p w14:paraId="60588CE5" w14:textId="285D77D7"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(39.8%)</w:t>
            </w:r>
          </w:p>
        </w:tc>
        <w:tc>
          <w:tcPr>
            <w:tcW w:w="1998" w:type="dxa"/>
            <w:tcBorders>
              <w:top w:val="dashSmallGap" w:sz="4" w:space="0" w:color="auto"/>
              <w:left w:val="single" w:sz="12" w:space="0" w:color="auto"/>
              <w:bottom w:val="dashSmallGap" w:sz="4" w:space="0" w:color="auto"/>
            </w:tcBorders>
            <w:noWrap/>
            <w:vAlign w:val="center"/>
            <w:hideMark/>
          </w:tcPr>
          <w:p w14:paraId="402204A2" w14:textId="7AD4C72E"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Rarely</w:t>
            </w:r>
          </w:p>
        </w:tc>
        <w:tc>
          <w:tcPr>
            <w:tcW w:w="1033" w:type="dxa"/>
            <w:tcBorders>
              <w:top w:val="dashSmallGap" w:sz="4" w:space="0" w:color="auto"/>
              <w:bottom w:val="dashSmallGap" w:sz="4" w:space="0" w:color="auto"/>
              <w:right w:val="single" w:sz="18" w:space="0" w:color="auto"/>
            </w:tcBorders>
            <w:noWrap/>
            <w:hideMark/>
          </w:tcPr>
          <w:p w14:paraId="423C18A9"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437</w:t>
            </w:r>
          </w:p>
          <w:p w14:paraId="741893B7" w14:textId="168AF545"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(32.3%)</w:t>
            </w:r>
          </w:p>
        </w:tc>
      </w:tr>
      <w:tr w:rsidR="002E55DE" w:rsidRPr="002E55DE" w14:paraId="4E7588E4" w14:textId="77777777" w:rsidTr="00F424E8">
        <w:trPr>
          <w:trHeight w:val="317"/>
        </w:trPr>
        <w:tc>
          <w:tcPr>
            <w:tcW w:w="1953" w:type="dxa"/>
            <w:tcBorders>
              <w:top w:val="dashSmallGap" w:sz="4" w:space="0" w:color="auto"/>
              <w:left w:val="single" w:sz="18" w:space="0" w:color="auto"/>
              <w:bottom w:val="dashSmallGap" w:sz="4" w:space="0" w:color="auto"/>
            </w:tcBorders>
            <w:noWrap/>
            <w:vAlign w:val="center"/>
            <w:hideMark/>
          </w:tcPr>
          <w:p w14:paraId="6E639857" w14:textId="5C9021E6"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3-4 days</w:t>
            </w:r>
            <w:r w:rsidRPr="002E55DE">
              <w:rPr>
                <w:rFonts w:ascii="Times New Roman" w:eastAsiaTheme="minorEastAsia" w:hAnsi="Times New Roman"/>
                <w:sz w:val="22"/>
                <w:szCs w:val="22"/>
                <w:lang w:eastAsia="ko-KR"/>
              </w:rPr>
              <w:t>/</w:t>
            </w:r>
            <w:r w:rsidRPr="002E55DE">
              <w:rPr>
                <w:rFonts w:ascii="Times New Roman" w:eastAsia="Times New Roman" w:hAnsi="Times New Roman"/>
                <w:sz w:val="22"/>
                <w:szCs w:val="22"/>
                <w:lang w:eastAsia="ko-KR"/>
              </w:rPr>
              <w:t>week</w:t>
            </w:r>
          </w:p>
        </w:tc>
        <w:tc>
          <w:tcPr>
            <w:tcW w:w="1264" w:type="dxa"/>
            <w:tcBorders>
              <w:top w:val="dashSmallGap" w:sz="4" w:space="0" w:color="auto"/>
              <w:bottom w:val="dashSmallGap" w:sz="4" w:space="0" w:color="auto"/>
              <w:right w:val="single" w:sz="12" w:space="0" w:color="auto"/>
            </w:tcBorders>
            <w:noWrap/>
            <w:hideMark/>
          </w:tcPr>
          <w:p w14:paraId="6F9B109E"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466</w:t>
            </w:r>
          </w:p>
          <w:p w14:paraId="7DD8385D" w14:textId="7BF7C18C"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(27.9%)</w:t>
            </w:r>
          </w:p>
        </w:tc>
        <w:tc>
          <w:tcPr>
            <w:tcW w:w="1980" w:type="dxa"/>
            <w:tcBorders>
              <w:top w:val="dashSmallGap" w:sz="4" w:space="0" w:color="auto"/>
              <w:left w:val="single" w:sz="12" w:space="0" w:color="auto"/>
              <w:bottom w:val="dashSmallGap" w:sz="4" w:space="0" w:color="auto"/>
            </w:tcBorders>
            <w:noWrap/>
            <w:vAlign w:val="center"/>
            <w:hideMark/>
          </w:tcPr>
          <w:p w14:paraId="6AF7443D" w14:textId="7CFC597E" w:rsidR="0060521B" w:rsidRPr="002E55DE" w:rsidRDefault="00E572BA" w:rsidP="007B3FB7">
            <w:pPr>
              <w:rPr>
                <w:rFonts w:ascii="Times New Roman" w:eastAsiaTheme="minorEastAsia" w:hAnsi="Times New Roman"/>
                <w:sz w:val="22"/>
                <w:szCs w:val="22"/>
                <w:lang w:eastAsia="ko-KR"/>
              </w:rPr>
            </w:pPr>
            <w:r w:rsidRPr="002E55DE">
              <w:rPr>
                <w:rFonts w:ascii="Times New Roman" w:eastAsiaTheme="minorEastAsia" w:hAnsi="Times New Roman"/>
                <w:sz w:val="22"/>
                <w:szCs w:val="22"/>
                <w:lang w:eastAsia="ko-KR"/>
              </w:rPr>
              <w:t>30-59 minutes</w:t>
            </w:r>
          </w:p>
        </w:tc>
        <w:tc>
          <w:tcPr>
            <w:tcW w:w="1080" w:type="dxa"/>
            <w:tcBorders>
              <w:top w:val="dashSmallGap" w:sz="4" w:space="0" w:color="auto"/>
              <w:bottom w:val="dashSmallGap" w:sz="4" w:space="0" w:color="auto"/>
              <w:right w:val="single" w:sz="12" w:space="0" w:color="auto"/>
            </w:tcBorders>
            <w:noWrap/>
            <w:hideMark/>
          </w:tcPr>
          <w:p w14:paraId="2673502A"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447</w:t>
            </w:r>
          </w:p>
          <w:p w14:paraId="2B01CD20" w14:textId="30D72DAE"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(33.1%)</w:t>
            </w:r>
          </w:p>
        </w:tc>
        <w:tc>
          <w:tcPr>
            <w:tcW w:w="1998" w:type="dxa"/>
            <w:tcBorders>
              <w:top w:val="dashSmallGap" w:sz="4" w:space="0" w:color="auto"/>
              <w:left w:val="single" w:sz="12" w:space="0" w:color="auto"/>
              <w:bottom w:val="dashSmallGap" w:sz="4" w:space="0" w:color="auto"/>
            </w:tcBorders>
            <w:noWrap/>
            <w:vAlign w:val="center"/>
            <w:hideMark/>
          </w:tcPr>
          <w:p w14:paraId="7F270CED" w14:textId="635A3710"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Sometimes</w:t>
            </w:r>
          </w:p>
        </w:tc>
        <w:tc>
          <w:tcPr>
            <w:tcW w:w="1033" w:type="dxa"/>
            <w:tcBorders>
              <w:top w:val="dashSmallGap" w:sz="4" w:space="0" w:color="auto"/>
              <w:bottom w:val="dashSmallGap" w:sz="4" w:space="0" w:color="auto"/>
              <w:right w:val="single" w:sz="18" w:space="0" w:color="auto"/>
            </w:tcBorders>
            <w:noWrap/>
            <w:hideMark/>
          </w:tcPr>
          <w:p w14:paraId="76C05995"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441</w:t>
            </w:r>
          </w:p>
          <w:p w14:paraId="1827EB2B" w14:textId="4C39A13D"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(32.6%)</w:t>
            </w:r>
          </w:p>
        </w:tc>
      </w:tr>
      <w:tr w:rsidR="002E55DE" w:rsidRPr="002E55DE" w14:paraId="5EC2F589" w14:textId="77777777" w:rsidTr="00F424E8">
        <w:trPr>
          <w:trHeight w:val="317"/>
        </w:trPr>
        <w:tc>
          <w:tcPr>
            <w:tcW w:w="1953" w:type="dxa"/>
            <w:tcBorders>
              <w:top w:val="dashSmallGap" w:sz="4" w:space="0" w:color="auto"/>
              <w:left w:val="single" w:sz="18" w:space="0" w:color="auto"/>
              <w:bottom w:val="dashSmallGap" w:sz="4" w:space="0" w:color="auto"/>
            </w:tcBorders>
            <w:noWrap/>
            <w:vAlign w:val="center"/>
            <w:hideMark/>
          </w:tcPr>
          <w:p w14:paraId="0E117C7B" w14:textId="76DCADA5"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5-6 days</w:t>
            </w:r>
            <w:r w:rsidRPr="002E55DE">
              <w:rPr>
                <w:rFonts w:ascii="Times New Roman" w:eastAsiaTheme="minorEastAsia" w:hAnsi="Times New Roman"/>
                <w:sz w:val="22"/>
                <w:szCs w:val="22"/>
                <w:lang w:eastAsia="ko-KR"/>
              </w:rPr>
              <w:t>/</w:t>
            </w:r>
            <w:r w:rsidRPr="002E55DE">
              <w:rPr>
                <w:rFonts w:ascii="Times New Roman" w:eastAsia="Times New Roman" w:hAnsi="Times New Roman"/>
                <w:sz w:val="22"/>
                <w:szCs w:val="22"/>
                <w:lang w:eastAsia="ko-KR"/>
              </w:rPr>
              <w:t>week</w:t>
            </w:r>
          </w:p>
        </w:tc>
        <w:tc>
          <w:tcPr>
            <w:tcW w:w="1264" w:type="dxa"/>
            <w:tcBorders>
              <w:top w:val="dashSmallGap" w:sz="4" w:space="0" w:color="auto"/>
              <w:bottom w:val="dashSmallGap" w:sz="4" w:space="0" w:color="auto"/>
              <w:right w:val="single" w:sz="12" w:space="0" w:color="auto"/>
            </w:tcBorders>
            <w:noWrap/>
            <w:hideMark/>
          </w:tcPr>
          <w:p w14:paraId="74FF0B54"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353</w:t>
            </w:r>
          </w:p>
          <w:p w14:paraId="4FE13281" w14:textId="2AD97F8D"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(21.2%)</w:t>
            </w:r>
          </w:p>
        </w:tc>
        <w:tc>
          <w:tcPr>
            <w:tcW w:w="1980" w:type="dxa"/>
            <w:tcBorders>
              <w:top w:val="dashSmallGap" w:sz="4" w:space="0" w:color="auto"/>
              <w:left w:val="single" w:sz="12" w:space="0" w:color="auto"/>
              <w:bottom w:val="dashSmallGap" w:sz="4" w:space="0" w:color="auto"/>
            </w:tcBorders>
            <w:noWrap/>
            <w:vAlign w:val="center"/>
            <w:hideMark/>
          </w:tcPr>
          <w:p w14:paraId="0D5B6512" w14:textId="05CDA020" w:rsidR="0060521B" w:rsidRPr="002E55DE" w:rsidRDefault="0060521B" w:rsidP="007B3FB7">
            <w:pPr>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60</w:t>
            </w:r>
            <w:r w:rsidR="00B3728A" w:rsidRPr="002E55DE">
              <w:rPr>
                <w:rFonts w:ascii="Times New Roman" w:eastAsiaTheme="minorEastAsia" w:hAnsi="Times New Roman"/>
                <w:sz w:val="22"/>
                <w:szCs w:val="22"/>
                <w:lang w:eastAsia="ko-KR"/>
              </w:rPr>
              <w:t xml:space="preserve"> </w:t>
            </w:r>
            <w:r w:rsidRPr="002E55DE">
              <w:rPr>
                <w:rFonts w:ascii="Times New Roman" w:eastAsia="Times New Roman" w:hAnsi="Times New Roman"/>
                <w:sz w:val="22"/>
                <w:szCs w:val="22"/>
                <w:lang w:eastAsia="ko-KR"/>
              </w:rPr>
              <w:t>or more</w:t>
            </w:r>
            <w:r w:rsidR="00E572BA" w:rsidRPr="002E55DE">
              <w:rPr>
                <w:rFonts w:ascii="Times New Roman" w:eastAsia="Times New Roman" w:hAnsi="Times New Roman"/>
                <w:sz w:val="22"/>
                <w:szCs w:val="22"/>
                <w:lang w:eastAsia="ko-KR"/>
              </w:rPr>
              <w:t xml:space="preserve"> minutes</w:t>
            </w:r>
            <w:r w:rsidRPr="002E55DE">
              <w:rPr>
                <w:rFonts w:ascii="Times New Roman" w:eastAsia="Times New Roman" w:hAnsi="Times New Roman"/>
                <w:sz w:val="22"/>
                <w:szCs w:val="22"/>
                <w:lang w:eastAsia="ko-KR"/>
              </w:rPr>
              <w:t xml:space="preserve"> </w:t>
            </w:r>
          </w:p>
        </w:tc>
        <w:tc>
          <w:tcPr>
            <w:tcW w:w="1080" w:type="dxa"/>
            <w:tcBorders>
              <w:top w:val="dashSmallGap" w:sz="4" w:space="0" w:color="auto"/>
              <w:bottom w:val="dashSmallGap" w:sz="4" w:space="0" w:color="auto"/>
              <w:right w:val="single" w:sz="12" w:space="0" w:color="auto"/>
            </w:tcBorders>
            <w:noWrap/>
            <w:hideMark/>
          </w:tcPr>
          <w:p w14:paraId="066CBF55"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208</w:t>
            </w:r>
          </w:p>
          <w:p w14:paraId="06410DBA" w14:textId="14F4C904"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(15.4%)</w:t>
            </w:r>
          </w:p>
        </w:tc>
        <w:tc>
          <w:tcPr>
            <w:tcW w:w="1998" w:type="dxa"/>
            <w:tcBorders>
              <w:top w:val="dashSmallGap" w:sz="4" w:space="0" w:color="auto"/>
              <w:left w:val="single" w:sz="12" w:space="0" w:color="auto"/>
              <w:bottom w:val="dashSmallGap" w:sz="4" w:space="0" w:color="auto"/>
            </w:tcBorders>
            <w:noWrap/>
            <w:vAlign w:val="center"/>
            <w:hideMark/>
          </w:tcPr>
          <w:p w14:paraId="08B8562A" w14:textId="5DFD4AD7"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Often</w:t>
            </w:r>
          </w:p>
        </w:tc>
        <w:tc>
          <w:tcPr>
            <w:tcW w:w="1033" w:type="dxa"/>
            <w:tcBorders>
              <w:top w:val="dashSmallGap" w:sz="4" w:space="0" w:color="auto"/>
              <w:bottom w:val="dashSmallGap" w:sz="4" w:space="0" w:color="auto"/>
              <w:right w:val="single" w:sz="18" w:space="0" w:color="auto"/>
            </w:tcBorders>
            <w:noWrap/>
            <w:hideMark/>
          </w:tcPr>
          <w:p w14:paraId="3AD7754B"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222</w:t>
            </w:r>
          </w:p>
          <w:p w14:paraId="22CE4893" w14:textId="76BB8640"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(16.4%)</w:t>
            </w:r>
          </w:p>
        </w:tc>
      </w:tr>
      <w:tr w:rsidR="0060521B" w:rsidRPr="002E55DE" w14:paraId="4CF11974" w14:textId="77777777" w:rsidTr="00F424E8">
        <w:trPr>
          <w:trHeight w:val="317"/>
        </w:trPr>
        <w:tc>
          <w:tcPr>
            <w:tcW w:w="1953" w:type="dxa"/>
            <w:tcBorders>
              <w:top w:val="dashSmallGap" w:sz="4" w:space="0" w:color="auto"/>
              <w:left w:val="single" w:sz="18" w:space="0" w:color="auto"/>
              <w:bottom w:val="single" w:sz="18" w:space="0" w:color="auto"/>
            </w:tcBorders>
            <w:noWrap/>
            <w:vAlign w:val="center"/>
            <w:hideMark/>
          </w:tcPr>
          <w:p w14:paraId="78526334" w14:textId="37A2D552"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7 days</w:t>
            </w:r>
            <w:r w:rsidRPr="002E55DE">
              <w:rPr>
                <w:rFonts w:ascii="Times New Roman" w:eastAsiaTheme="minorEastAsia" w:hAnsi="Times New Roman"/>
                <w:sz w:val="22"/>
                <w:szCs w:val="22"/>
                <w:lang w:eastAsia="ko-KR"/>
              </w:rPr>
              <w:t>/</w:t>
            </w:r>
            <w:r w:rsidRPr="002E55DE">
              <w:rPr>
                <w:rFonts w:ascii="Times New Roman" w:eastAsia="Times New Roman" w:hAnsi="Times New Roman"/>
                <w:sz w:val="22"/>
                <w:szCs w:val="22"/>
                <w:lang w:eastAsia="ko-KR"/>
              </w:rPr>
              <w:t>week</w:t>
            </w:r>
          </w:p>
        </w:tc>
        <w:tc>
          <w:tcPr>
            <w:tcW w:w="1264" w:type="dxa"/>
            <w:tcBorders>
              <w:top w:val="dashSmallGap" w:sz="4" w:space="0" w:color="auto"/>
              <w:bottom w:val="single" w:sz="18" w:space="0" w:color="auto"/>
              <w:right w:val="single" w:sz="12" w:space="0" w:color="auto"/>
            </w:tcBorders>
            <w:noWrap/>
            <w:hideMark/>
          </w:tcPr>
          <w:p w14:paraId="18818EC6"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248</w:t>
            </w:r>
          </w:p>
          <w:p w14:paraId="0BB4CB50" w14:textId="77627DD0"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(14.9%)</w:t>
            </w:r>
          </w:p>
        </w:tc>
        <w:tc>
          <w:tcPr>
            <w:tcW w:w="1980" w:type="dxa"/>
            <w:tcBorders>
              <w:top w:val="dashSmallGap" w:sz="4" w:space="0" w:color="auto"/>
              <w:left w:val="single" w:sz="12" w:space="0" w:color="auto"/>
              <w:bottom w:val="single" w:sz="18" w:space="0" w:color="auto"/>
            </w:tcBorders>
            <w:noWrap/>
            <w:hideMark/>
          </w:tcPr>
          <w:p w14:paraId="31E874A2" w14:textId="33FB7358" w:rsidR="0060521B" w:rsidRPr="002E55DE" w:rsidRDefault="0060521B" w:rsidP="007B3FB7">
            <w:pPr>
              <w:rPr>
                <w:rFonts w:ascii="Times New Roman" w:eastAsia="Times New Roman" w:hAnsi="Times New Roman"/>
                <w:sz w:val="22"/>
                <w:szCs w:val="22"/>
                <w:lang w:eastAsia="ko-KR"/>
              </w:rPr>
            </w:pPr>
          </w:p>
        </w:tc>
        <w:tc>
          <w:tcPr>
            <w:tcW w:w="1080" w:type="dxa"/>
            <w:tcBorders>
              <w:top w:val="dashSmallGap" w:sz="4" w:space="0" w:color="auto"/>
              <w:bottom w:val="single" w:sz="18" w:space="0" w:color="auto"/>
              <w:right w:val="single" w:sz="12" w:space="0" w:color="auto"/>
            </w:tcBorders>
            <w:noWrap/>
            <w:hideMark/>
          </w:tcPr>
          <w:p w14:paraId="3DCF4A03" w14:textId="1CE42BFC" w:rsidR="0060521B" w:rsidRPr="002E55DE" w:rsidRDefault="0060521B" w:rsidP="007B3FB7">
            <w:pPr>
              <w:jc w:val="right"/>
              <w:rPr>
                <w:rFonts w:ascii="Times New Roman" w:eastAsia="Times New Roman" w:hAnsi="Times New Roman"/>
                <w:sz w:val="22"/>
                <w:szCs w:val="22"/>
                <w:lang w:eastAsia="ko-KR"/>
              </w:rPr>
            </w:pPr>
          </w:p>
        </w:tc>
        <w:tc>
          <w:tcPr>
            <w:tcW w:w="1998" w:type="dxa"/>
            <w:tcBorders>
              <w:top w:val="dashSmallGap" w:sz="4" w:space="0" w:color="auto"/>
              <w:left w:val="single" w:sz="12" w:space="0" w:color="auto"/>
              <w:bottom w:val="single" w:sz="18" w:space="0" w:color="auto"/>
            </w:tcBorders>
            <w:noWrap/>
            <w:vAlign w:val="center"/>
            <w:hideMark/>
          </w:tcPr>
          <w:p w14:paraId="545722CA" w14:textId="592CFD4F" w:rsidR="0060521B" w:rsidRPr="002E55DE" w:rsidRDefault="0060521B" w:rsidP="007B3FB7">
            <w:pPr>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Always</w:t>
            </w:r>
          </w:p>
        </w:tc>
        <w:tc>
          <w:tcPr>
            <w:tcW w:w="1033" w:type="dxa"/>
            <w:tcBorders>
              <w:top w:val="dashSmallGap" w:sz="4" w:space="0" w:color="auto"/>
              <w:bottom w:val="single" w:sz="18" w:space="0" w:color="auto"/>
              <w:right w:val="single" w:sz="18" w:space="0" w:color="auto"/>
            </w:tcBorders>
            <w:noWrap/>
            <w:hideMark/>
          </w:tcPr>
          <w:p w14:paraId="131A3472" w14:textId="77777777" w:rsidR="0060521B" w:rsidRPr="002E55DE" w:rsidRDefault="0060521B" w:rsidP="007B3FB7">
            <w:pPr>
              <w:jc w:val="right"/>
              <w:rPr>
                <w:rFonts w:ascii="Times New Roman" w:eastAsiaTheme="minorEastAsia" w:hAnsi="Times New Roman"/>
                <w:sz w:val="22"/>
                <w:szCs w:val="22"/>
                <w:lang w:eastAsia="ko-KR"/>
              </w:rPr>
            </w:pPr>
            <w:r w:rsidRPr="002E55DE">
              <w:rPr>
                <w:rFonts w:ascii="Times New Roman" w:eastAsia="Times New Roman" w:hAnsi="Times New Roman"/>
                <w:sz w:val="22"/>
                <w:szCs w:val="22"/>
                <w:lang w:eastAsia="ko-KR"/>
              </w:rPr>
              <w:t>92</w:t>
            </w:r>
          </w:p>
          <w:p w14:paraId="2DDE8716" w14:textId="6F5AC22B" w:rsidR="0060521B" w:rsidRPr="002E55DE" w:rsidRDefault="0060521B" w:rsidP="007B3FB7">
            <w:pPr>
              <w:jc w:val="right"/>
              <w:rPr>
                <w:rFonts w:ascii="Times New Roman" w:eastAsia="Times New Roman" w:hAnsi="Times New Roman"/>
                <w:sz w:val="22"/>
                <w:szCs w:val="22"/>
                <w:lang w:eastAsia="ko-KR"/>
              </w:rPr>
            </w:pPr>
            <w:r w:rsidRPr="002E55DE">
              <w:rPr>
                <w:rFonts w:ascii="Times New Roman" w:eastAsia="Times New Roman" w:hAnsi="Times New Roman"/>
                <w:sz w:val="22"/>
                <w:szCs w:val="22"/>
                <w:lang w:eastAsia="ko-KR"/>
              </w:rPr>
              <w:t>(6.8%)</w:t>
            </w:r>
          </w:p>
        </w:tc>
      </w:tr>
    </w:tbl>
    <w:p w14:paraId="40D0AACB" w14:textId="77777777" w:rsidR="00BF4EDE" w:rsidRPr="002E55DE" w:rsidRDefault="00BF4EDE" w:rsidP="003518AB">
      <w:pPr>
        <w:rPr>
          <w:rFonts w:eastAsiaTheme="minorEastAsia"/>
          <w:lang w:eastAsia="ko-KR"/>
        </w:rPr>
      </w:pPr>
    </w:p>
    <w:p w14:paraId="32549122" w14:textId="00091F04" w:rsidR="0060521B" w:rsidRPr="002E55DE" w:rsidRDefault="000E0D83" w:rsidP="000D4062">
      <w:pPr>
        <w:pStyle w:val="Heading2"/>
        <w:spacing w:line="240" w:lineRule="auto"/>
        <w:ind w:hanging="540"/>
        <w:contextualSpacing w:val="0"/>
        <w:rPr>
          <w:lang w:eastAsia="ko-KR"/>
        </w:rPr>
      </w:pPr>
      <w:r w:rsidRPr="002E55DE">
        <w:rPr>
          <w:lang w:eastAsia="ko-KR"/>
        </w:rPr>
        <w:t>Mathematical Formulation</w:t>
      </w:r>
    </w:p>
    <w:p w14:paraId="18E11208" w14:textId="2EABB612" w:rsidR="00D92A43" w:rsidRPr="002E55DE" w:rsidRDefault="00D92A43" w:rsidP="003518AB">
      <w:pPr>
        <w:jc w:val="both"/>
        <w:rPr>
          <w:rFonts w:eastAsiaTheme="minorEastAsia"/>
          <w:lang w:eastAsia="ko-KR"/>
        </w:rPr>
      </w:pPr>
      <w:r w:rsidRPr="002E55DE">
        <w:rPr>
          <w:rFonts w:eastAsiaTheme="minorEastAsia"/>
          <w:lang w:eastAsia="ko-KR"/>
        </w:rPr>
        <w:t>To account for potential interdependencies among the different dimensions of walking behavior, we employ a multivariate modeling approach. For walking frequency and companionship, ordered-response probit models are used, which assume flexible thresholds and latent variables without direct physical interpretations</w:t>
      </w:r>
      <w:r w:rsidR="00CD221C" w:rsidRPr="002E55DE">
        <w:rPr>
          <w:rFonts w:eastAsiaTheme="minorEastAsia"/>
          <w:lang w:eastAsia="ko-KR"/>
        </w:rPr>
        <w:t xml:space="preserve"> of the underlying latent variables</w:t>
      </w:r>
      <w:r w:rsidRPr="002E55DE">
        <w:rPr>
          <w:rFonts w:eastAsiaTheme="minorEastAsia"/>
          <w:lang w:eastAsia="ko-KR"/>
        </w:rPr>
        <w:t>. However, walking duration is treated differently from the other two outcomes</w:t>
      </w:r>
      <w:r w:rsidR="00CD221C" w:rsidRPr="002E55DE">
        <w:rPr>
          <w:rFonts w:eastAsiaTheme="minorEastAsia"/>
          <w:lang w:eastAsia="ko-KR"/>
        </w:rPr>
        <w:t>,</w:t>
      </w:r>
      <w:r w:rsidRPr="002E55DE">
        <w:rPr>
          <w:rFonts w:eastAsiaTheme="minorEastAsia"/>
          <w:lang w:eastAsia="ko-KR"/>
        </w:rPr>
        <w:t xml:space="preserve"> because it is a continuous variable measured in</w:t>
      </w:r>
      <w:r w:rsidR="0006405F" w:rsidRPr="002E55DE">
        <w:rPr>
          <w:rFonts w:eastAsiaTheme="minorEastAsia"/>
          <w:lang w:eastAsia="ko-KR"/>
        </w:rPr>
        <w:t xml:space="preserve"> </w:t>
      </w:r>
      <w:r w:rsidRPr="002E55DE">
        <w:rPr>
          <w:rFonts w:eastAsiaTheme="minorEastAsia"/>
          <w:lang w:eastAsia="ko-KR"/>
        </w:rPr>
        <w:t>grouped form. Thus, for duration</w:t>
      </w:r>
      <w:r w:rsidRPr="002E55DE">
        <w:rPr>
          <w:rFonts w:eastAsiaTheme="minorEastAsia" w:hint="eastAsia"/>
          <w:lang w:eastAsia="ko-KR"/>
        </w:rPr>
        <w:t xml:space="preserve">, </w:t>
      </w:r>
      <w:r w:rsidRPr="002E55DE">
        <w:rPr>
          <w:rFonts w:eastAsiaTheme="minorEastAsia"/>
          <w:lang w:eastAsia="ko-KR"/>
        </w:rPr>
        <w:t xml:space="preserve">we apply a grouped continuous model with fixed thresholds using an unobserved </w:t>
      </w:r>
      <w:r w:rsidR="00A25A64" w:rsidRPr="002E55DE">
        <w:rPr>
          <w:rFonts w:eastAsiaTheme="minorEastAsia"/>
          <w:lang w:eastAsia="ko-KR"/>
        </w:rPr>
        <w:t xml:space="preserve">underlying </w:t>
      </w:r>
      <w:r w:rsidRPr="002E55DE">
        <w:rPr>
          <w:rFonts w:eastAsiaTheme="minorEastAsia"/>
          <w:lang w:eastAsia="ko-KR"/>
        </w:rPr>
        <w:t>latent variable that represents the individual</w:t>
      </w:r>
      <w:r w:rsidR="007B3FB7" w:rsidRPr="002E55DE">
        <w:rPr>
          <w:rFonts w:eastAsiaTheme="minorEastAsia"/>
          <w:lang w:eastAsia="ko-KR"/>
        </w:rPr>
        <w:t>’</w:t>
      </w:r>
      <w:r w:rsidRPr="002E55DE">
        <w:rPr>
          <w:rFonts w:eastAsiaTheme="minorEastAsia"/>
          <w:lang w:eastAsia="ko-KR"/>
        </w:rPr>
        <w:t xml:space="preserve">s </w:t>
      </w:r>
      <w:r w:rsidR="00A25A64" w:rsidRPr="002E55DE">
        <w:rPr>
          <w:rFonts w:eastAsiaTheme="minorEastAsia"/>
          <w:lang w:eastAsia="ko-KR"/>
        </w:rPr>
        <w:t xml:space="preserve">continuous </w:t>
      </w:r>
      <w:r w:rsidRPr="002E55DE">
        <w:rPr>
          <w:rFonts w:eastAsiaTheme="minorEastAsia"/>
          <w:lang w:eastAsia="ko-KR"/>
        </w:rPr>
        <w:t>walking duration</w:t>
      </w:r>
      <w:r w:rsidR="00A25A64" w:rsidRPr="002E55DE">
        <w:rPr>
          <w:rFonts w:eastAsiaTheme="minorEastAsia"/>
          <w:lang w:eastAsia="ko-KR"/>
        </w:rPr>
        <w:t>.</w:t>
      </w:r>
      <w:r w:rsidRPr="002E55DE">
        <w:t xml:space="preserve"> </w:t>
      </w:r>
      <w:r w:rsidR="00F86AAD" w:rsidRPr="002E55DE">
        <w:t xml:space="preserve">Note, however, that because we assume a normal distribution for the error term in the grouped model, the unobserved underlying latent variable is considered as ln(walking duration), so that it can range over the entire real line. </w:t>
      </w:r>
      <w:r w:rsidR="00C037D9" w:rsidRPr="002E55DE">
        <w:t xml:space="preserve">This also assures that predictions of the continuous walking duration will always be positive. </w:t>
      </w:r>
    </w:p>
    <w:p w14:paraId="0D7D8CC9" w14:textId="4290AE59" w:rsidR="00D92A43" w:rsidRPr="002E55DE" w:rsidRDefault="005C237C" w:rsidP="003518AB">
      <w:pPr>
        <w:ind w:firstLine="720"/>
        <w:jc w:val="both"/>
        <w:rPr>
          <w:rFonts w:eastAsiaTheme="minorEastAsia"/>
          <w:lang w:eastAsia="ko-KR"/>
        </w:rPr>
      </w:pPr>
      <w:r w:rsidRPr="002E55DE">
        <w:rPr>
          <w:rFonts w:eastAsiaTheme="minorEastAsia"/>
          <w:lang w:eastAsia="ko-KR"/>
        </w:rPr>
        <w:t xml:space="preserve">In the following presentation, we suppress the notation </w:t>
      </w:r>
      <w:r w:rsidRPr="002E55DE">
        <w:rPr>
          <w:rFonts w:eastAsiaTheme="minorEastAsia"/>
          <w:i/>
          <w:iCs/>
          <w:lang w:eastAsia="ko-KR"/>
        </w:rPr>
        <w:t>q</w:t>
      </w:r>
      <w:r w:rsidRPr="002E55DE">
        <w:rPr>
          <w:rFonts w:eastAsiaTheme="minorEastAsia"/>
          <w:lang w:eastAsia="ko-KR"/>
        </w:rPr>
        <w:t xml:space="preserve"> for individuals, and derive the likelihood contribution for each individual </w:t>
      </w:r>
      <w:r w:rsidRPr="002E55DE">
        <w:rPr>
          <w:rFonts w:eastAsiaTheme="minorEastAsia"/>
          <w:i/>
          <w:iCs/>
          <w:lang w:eastAsia="ko-KR"/>
        </w:rPr>
        <w:t>q</w:t>
      </w:r>
      <w:r w:rsidRPr="002E55DE">
        <w:rPr>
          <w:rFonts w:eastAsiaTheme="minorEastAsia"/>
          <w:lang w:eastAsia="ko-KR"/>
        </w:rPr>
        <w:t xml:space="preserve">. </w:t>
      </w:r>
      <w:r w:rsidR="00143523" w:rsidRPr="002E55DE">
        <w:rPr>
          <w:rFonts w:eastAsiaTheme="minorEastAsia"/>
          <w:lang w:eastAsia="ko-KR"/>
        </w:rPr>
        <w:t xml:space="preserve">Also, we develop the estimation procedure for the case when all three outcomes are available. In cases where respondents indicated that </w:t>
      </w:r>
      <w:r w:rsidR="00143523" w:rsidRPr="002E55DE">
        <w:rPr>
          <w:lang w:eastAsia="ko-KR"/>
        </w:rPr>
        <w:t xml:space="preserve">they never walked on any day of the week for more than 10 minutes, it stands </w:t>
      </w:r>
      <w:r w:rsidR="0006405F" w:rsidRPr="002E55DE">
        <w:rPr>
          <w:lang w:eastAsia="ko-KR"/>
        </w:rPr>
        <w:t>to</w:t>
      </w:r>
      <w:r w:rsidR="00143523" w:rsidRPr="002E55DE">
        <w:rPr>
          <w:lang w:eastAsia="ko-KR"/>
        </w:rPr>
        <w:t xml:space="preserve"> reason that their walking duration is shorter than 10 minutes. However, social companionship is not relevant for “never” walkers; so, for “never” walkers, the procedure below needs to be modified to consider only the marginal bivariate probability of frequency and duration. </w:t>
      </w:r>
      <w:r w:rsidR="0006405F" w:rsidRPr="002E55DE">
        <w:rPr>
          <w:lang w:eastAsia="ko-KR"/>
        </w:rPr>
        <w:t>Next</w:t>
      </w:r>
      <w:r w:rsidR="00143523" w:rsidRPr="002E55DE">
        <w:rPr>
          <w:lang w:eastAsia="ko-KR"/>
        </w:rPr>
        <w:t>,</w:t>
      </w:r>
      <w:r w:rsidR="00E1138F" w:rsidRPr="002E55DE">
        <w:rPr>
          <w:lang w:eastAsia="ko-KR"/>
        </w:rPr>
        <w:t xml:space="preserve"> </w:t>
      </w:r>
      <w:r w:rsidR="00143523" w:rsidRPr="002E55DE">
        <w:rPr>
          <w:rFonts w:eastAsiaTheme="minorEastAsia"/>
          <w:lang w:eastAsia="ko-KR"/>
        </w:rPr>
        <w:t>f</w:t>
      </w:r>
      <w:r w:rsidR="00D92A43" w:rsidRPr="002E55DE">
        <w:rPr>
          <w:rFonts w:eastAsiaTheme="minorEastAsia" w:hint="eastAsia"/>
          <w:lang w:eastAsia="ko-KR"/>
        </w:rPr>
        <w:t xml:space="preserve">ollowing notations from </w:t>
      </w:r>
      <w:r w:rsidR="00D92A43"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{"citationID":"JLVJbGq5","properties":{"formattedCitation":"(Bhat et al., 2010)","plainCitation":"(Bhat et al., 2010)","dontUpdate":true,"noteIndex":0},"citationItems":[{"id":"4nY7bDZH/Kjyv3aWI","uris":["http://zotero.org/users/10132210/items/D97NZR9H"],"itemData":{"id":1137,"type":"chapter","container-title":"Maximum Simulated Likelihood Methods and Applications","ISBN":"978-0-85724-149-8","language":"en","license":"http://www.emeraldinsight.com/page/tdm","note":"collection-title: Advances in Econometrics\nDOI: 10.1108/S0731-9053(2010)0000026007","page":"65-106","publisher":"Emerald Group Publishing Limited","source":"DOI.org (Crossref)","title":"A comparison of the maximum simulated likelihood and composite marginal likelihood estimation approaches in the context of the multivariate ordered-response model","URL":"https://www.emerald.com/insight/content/doi/10.1108/S0731-9053(2010)0000026007/full/html","volume":"26","editor":[{"family":"Greene","given":"William"},{"family":"Carter Hill","given":"R."}],"author":[{"family":"Bhat","given":"Chandra R."},{"family":"Varin","given":"Cristiano"},{"family":"Ferdous","given":"Nazneen"}],"accessed":{"date-parts":[["2024",5,22]]},"issued":{"date-parts":[["2010",1]]}}}],"schema":"https://github.com/citation-style-language/schema/raw/master/csl-citation.json"} </w:instrText>
      </w:r>
      <w:r w:rsidR="00D92A43" w:rsidRPr="002E55DE">
        <w:rPr>
          <w:rFonts w:eastAsiaTheme="minorEastAsia"/>
          <w:lang w:eastAsia="ko-KR"/>
        </w:rPr>
        <w:fldChar w:fldCharType="separate"/>
      </w:r>
      <w:r w:rsidR="00D92A43" w:rsidRPr="002E55DE">
        <w:rPr>
          <w:rFonts w:cs="Times"/>
        </w:rPr>
        <w:t xml:space="preserve">Bhat et al., </w:t>
      </w:r>
      <w:r w:rsidR="00D92A43" w:rsidRPr="002E55DE">
        <w:rPr>
          <w:rFonts w:eastAsiaTheme="minorEastAsia" w:cs="Times"/>
          <w:lang w:eastAsia="ko-KR"/>
        </w:rPr>
        <w:t>(</w:t>
      </w:r>
      <w:r w:rsidR="00D92A43" w:rsidRPr="002E55DE">
        <w:rPr>
          <w:rFonts w:cs="Times"/>
        </w:rPr>
        <w:t>2010)</w:t>
      </w:r>
      <w:r w:rsidR="00D92A43" w:rsidRPr="002E55DE">
        <w:rPr>
          <w:rFonts w:eastAsiaTheme="minorEastAsia"/>
          <w:lang w:eastAsia="ko-KR"/>
        </w:rPr>
        <w:fldChar w:fldCharType="end"/>
      </w:r>
      <w:r w:rsidR="00D92A43" w:rsidRPr="002E55DE">
        <w:rPr>
          <w:rFonts w:eastAsiaTheme="minorEastAsia"/>
          <w:lang w:eastAsia="ko-KR"/>
        </w:rPr>
        <w:t xml:space="preserve"> and </w:t>
      </w:r>
      <w:r w:rsidR="00D92A43" w:rsidRPr="002E55DE">
        <w:rPr>
          <w:rFonts w:eastAsiaTheme="minorEastAsia"/>
          <w:noProof/>
          <w:lang w:eastAsia="ko-KR"/>
        </w:rPr>
        <w:fldChar w:fldCharType="begin"/>
      </w:r>
      <w:r w:rsidR="00A254CC" w:rsidRPr="002E55DE">
        <w:rPr>
          <w:rFonts w:eastAsiaTheme="minorEastAsia"/>
          <w:noProof/>
          <w:lang w:eastAsia="ko-KR"/>
        </w:rPr>
        <w:instrText xml:space="preserve"> ADDIN ZOTERO_ITEM CSL_CITATION {"citationID":"SZ6wTrVb","properties":{"formattedCitation":"(Bhat, 2018)","plainCitation":"(Bhat, 2018)","dontUpdate":true,"noteIndex":0},"citationItems":[{"id":"4nY7bDZH/oQX3L0S4","uris":["http://zotero.org/users/10132210/items/GMRDJPBW"],"itemData":{"id":1051,"type":"article-journal","container-title":"Transportation Research Part B: Methodological","DOI":"10.1016/j.trb.2018.01.011","ISSN":"01912615","journalAbbreviation":"Transportation Research Part B: Methodological","language":"en","page":"238-256","source":"DOI.org (Crossref)","title":"New matrix-based methods for the analytic evaluation of the multivariate cumulative normal distribution function","volume":"109","author":[{"family":"Bhat","given":"Chandra R."}],"issued":{"date-parts":[["2018",3]]}}}],"schema":"https://github.com/citation-style-language/schema/raw/master/csl-citation.json"} </w:instrText>
      </w:r>
      <w:r w:rsidR="00D92A43" w:rsidRPr="002E55DE">
        <w:rPr>
          <w:rFonts w:eastAsiaTheme="minorEastAsia"/>
          <w:noProof/>
          <w:lang w:eastAsia="ko-KR"/>
        </w:rPr>
        <w:fldChar w:fldCharType="separate"/>
      </w:r>
      <w:r w:rsidR="00D92A43" w:rsidRPr="002E55DE">
        <w:rPr>
          <w:rFonts w:cs="Times"/>
        </w:rPr>
        <w:t xml:space="preserve">Bhat, </w:t>
      </w:r>
      <w:r w:rsidR="00D92A43" w:rsidRPr="002E55DE">
        <w:rPr>
          <w:rFonts w:eastAsiaTheme="minorEastAsia" w:cs="Times"/>
          <w:lang w:eastAsia="ko-KR"/>
        </w:rPr>
        <w:t>(</w:t>
      </w:r>
      <w:r w:rsidR="00D92A43" w:rsidRPr="002E55DE">
        <w:rPr>
          <w:rFonts w:cs="Times"/>
        </w:rPr>
        <w:t>2018)</w:t>
      </w:r>
      <w:r w:rsidR="00D92A43" w:rsidRPr="002E55DE">
        <w:rPr>
          <w:rFonts w:eastAsiaTheme="minorEastAsia"/>
          <w:noProof/>
          <w:lang w:eastAsia="ko-KR"/>
        </w:rPr>
        <w:fldChar w:fldCharType="end"/>
      </w:r>
      <w:r w:rsidR="00D92A43" w:rsidRPr="002E55DE">
        <w:rPr>
          <w:rFonts w:eastAsiaTheme="minorEastAsia" w:hint="eastAsia"/>
          <w:lang w:eastAsia="ko-KR"/>
        </w:rPr>
        <w:t xml:space="preserve">, let </w:t>
      </w:r>
      <w:r w:rsidR="00D92A43" w:rsidRPr="002E55DE">
        <w:rPr>
          <w:rFonts w:eastAsiaTheme="minorEastAsia"/>
          <w:i/>
          <w:iCs/>
          <w:lang w:eastAsia="ko-KR"/>
        </w:rPr>
        <w:t>i</w:t>
      </w:r>
      <w:r w:rsidR="00D92A43" w:rsidRPr="002E55DE">
        <w:rPr>
          <w:rFonts w:eastAsiaTheme="minorEastAsia" w:hint="eastAsia"/>
          <w:lang w:eastAsia="ko-KR"/>
        </w:rPr>
        <w:t xml:space="preserve"> be an index for</w:t>
      </w:r>
      <w:r w:rsidR="00CB420D" w:rsidRPr="002E55DE">
        <w:rPr>
          <w:rFonts w:eastAsiaTheme="minorEastAsia"/>
          <w:lang w:eastAsia="ko-KR"/>
        </w:rPr>
        <w:t xml:space="preserve"> </w:t>
      </w:r>
      <w:r w:rsidR="00D92A43" w:rsidRPr="002E55DE">
        <w:rPr>
          <w:rFonts w:eastAsiaTheme="minorEastAsia" w:hint="eastAsia"/>
          <w:lang w:eastAsia="ko-KR"/>
        </w:rPr>
        <w:t>outcome</w:t>
      </w:r>
      <w:r w:rsidR="00D92A43" w:rsidRPr="002E55DE">
        <w:rPr>
          <w:rFonts w:eastAsiaTheme="minorEastAsia"/>
          <w:lang w:eastAsia="ko-KR"/>
        </w:rPr>
        <w:t xml:space="preserve"> (</w:t>
      </w:r>
      <w:r w:rsidR="00D92A43" w:rsidRPr="002E55DE">
        <w:rPr>
          <w:rFonts w:eastAsiaTheme="minorEastAsia"/>
          <w:i/>
          <w:iCs/>
          <w:lang w:eastAsia="ko-KR"/>
        </w:rPr>
        <w:t>i</w:t>
      </w:r>
      <w:r w:rsidR="007379D9" w:rsidRPr="002E55DE">
        <w:rPr>
          <w:rFonts w:eastAsiaTheme="minorEastAsia"/>
          <w:i/>
          <w:iCs/>
          <w:noProof/>
          <w:position w:val="-4"/>
          <w:lang w:eastAsia="ko-KR"/>
        </w:rPr>
        <w:object w:dxaOrig="200" w:dyaOrig="180" w14:anchorId="697C2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6.65pt" o:ole="">
            <v:imagedata r:id="rId13" o:title=""/>
          </v:shape>
          <o:OLEObject Type="Embed" ProgID="Equation.DSMT4" ShapeID="_x0000_i1025" DrawAspect="Content" ObjectID="_1818570590" r:id="rId14"/>
        </w:object>
      </w:r>
      <w:r w:rsidR="00D92A43" w:rsidRPr="002E55DE">
        <w:rPr>
          <w:rFonts w:eastAsiaTheme="minorEastAsia"/>
          <w:lang w:eastAsia="ko-KR"/>
        </w:rPr>
        <w:t>1,</w:t>
      </w:r>
      <w:r w:rsidR="00A94D0C" w:rsidRPr="002E55DE">
        <w:rPr>
          <w:rFonts w:eastAsiaTheme="minorEastAsia"/>
          <w:lang w:eastAsia="ko-KR"/>
        </w:rPr>
        <w:t xml:space="preserve"> </w:t>
      </w:r>
      <w:r w:rsidR="00D92A43" w:rsidRPr="002E55DE">
        <w:rPr>
          <w:rFonts w:eastAsiaTheme="minorEastAsia"/>
          <w:lang w:eastAsia="ko-KR"/>
        </w:rPr>
        <w:t>2,…</w:t>
      </w:r>
      <w:r w:rsidR="00D92A43" w:rsidRPr="002E55DE">
        <w:rPr>
          <w:rFonts w:eastAsiaTheme="minorEastAsia" w:hint="eastAsia"/>
          <w:lang w:eastAsia="ko-KR"/>
        </w:rPr>
        <w:t>,</w:t>
      </w:r>
      <w:r w:rsidR="00D92A43" w:rsidRPr="002E55DE">
        <w:rPr>
          <w:rFonts w:eastAsiaTheme="minorEastAsia"/>
          <w:lang w:eastAsia="ko-KR"/>
        </w:rPr>
        <w:t xml:space="preserve"> </w:t>
      </w:r>
      <w:r w:rsidR="00D92A43" w:rsidRPr="002E55DE">
        <w:rPr>
          <w:rFonts w:eastAsiaTheme="minorEastAsia"/>
          <w:i/>
          <w:iCs/>
          <w:lang w:eastAsia="ko-KR"/>
        </w:rPr>
        <w:t>I</w:t>
      </w:r>
      <w:r w:rsidRPr="002E55DE">
        <w:rPr>
          <w:rFonts w:eastAsiaTheme="minorEastAsia"/>
          <w:lang w:eastAsia="ko-KR"/>
        </w:rPr>
        <w:t>;</w:t>
      </w:r>
      <w:r w:rsidR="00D92A43" w:rsidRPr="002E55DE">
        <w:rPr>
          <w:rFonts w:eastAsiaTheme="minorEastAsia" w:hint="eastAsia"/>
          <w:lang w:eastAsia="ko-KR"/>
        </w:rPr>
        <w:t xml:space="preserve"> in this study,</w:t>
      </w:r>
      <w:r w:rsidR="00D92A43" w:rsidRPr="002E55DE">
        <w:rPr>
          <w:rFonts w:eastAsiaTheme="minorEastAsia"/>
          <w:lang w:eastAsia="ko-KR"/>
        </w:rPr>
        <w:t xml:space="preserve"> </w:t>
      </w:r>
      <w:r w:rsidR="00D92A43" w:rsidRPr="002E55DE">
        <w:rPr>
          <w:rFonts w:eastAsiaTheme="minorEastAsia"/>
          <w:i/>
          <w:iCs/>
          <w:lang w:eastAsia="ko-KR"/>
        </w:rPr>
        <w:t>I</w:t>
      </w:r>
      <w:r w:rsidR="007379D9" w:rsidRPr="002E55DE">
        <w:rPr>
          <w:rFonts w:eastAsiaTheme="minorEastAsia"/>
          <w:i/>
          <w:iCs/>
          <w:noProof/>
          <w:position w:val="-4"/>
          <w:lang w:eastAsia="ko-KR"/>
        </w:rPr>
        <w:object w:dxaOrig="200" w:dyaOrig="180" w14:anchorId="5A292B6F">
          <v:shape id="_x0000_i1026" type="#_x0000_t75" style="width:14.2pt;height:6.65pt" o:ole="">
            <v:imagedata r:id="rId13" o:title=""/>
          </v:shape>
          <o:OLEObject Type="Embed" ProgID="Equation.DSMT4" ShapeID="_x0000_i1026" DrawAspect="Content" ObjectID="_1818570591" r:id="rId15"/>
        </w:object>
      </w:r>
      <w:r w:rsidR="00D92A43" w:rsidRPr="002E55DE">
        <w:rPr>
          <w:rFonts w:eastAsiaTheme="minorEastAsia"/>
          <w:lang w:eastAsia="ko-KR"/>
        </w:rPr>
        <w:t>3).</w:t>
      </w:r>
      <w:r w:rsidR="00D92A43" w:rsidRPr="002E55DE">
        <w:rPr>
          <w:rFonts w:eastAsiaTheme="minorEastAsia" w:hint="eastAsia"/>
          <w:lang w:eastAsia="ko-KR"/>
        </w:rPr>
        <w:t xml:space="preserve"> </w:t>
      </w:r>
      <w:r w:rsidR="00E1138F" w:rsidRPr="002E55DE">
        <w:rPr>
          <w:rFonts w:eastAsiaTheme="minorEastAsia"/>
          <w:lang w:eastAsia="ko-KR"/>
        </w:rPr>
        <w:t>Also, l</w:t>
      </w:r>
      <w:r w:rsidR="00D92A43" w:rsidRPr="002E55DE">
        <w:rPr>
          <w:rFonts w:eastAsiaTheme="minorEastAsia"/>
          <w:lang w:eastAsia="ko-KR"/>
        </w:rPr>
        <w:t>et</w:t>
      </w:r>
      <w:r w:rsidR="00E1138F" w:rsidRPr="002E55DE">
        <w:rPr>
          <w:rFonts w:eastAsiaTheme="minorEastAsia"/>
          <w:lang w:eastAsia="ko-KR"/>
        </w:rPr>
        <w:t xml:space="preserve"> </w:t>
      </w:r>
      <w:r w:rsidR="00D92A43" w:rsidRPr="002E55DE">
        <w:rPr>
          <w:rFonts w:eastAsiaTheme="minorEastAsia"/>
          <w:lang w:eastAsia="ko-KR"/>
        </w:rPr>
        <w:t>t</w:t>
      </w:r>
      <w:r w:rsidR="00D92A43" w:rsidRPr="002E55DE">
        <w:rPr>
          <w:rFonts w:eastAsiaTheme="minorEastAsia" w:hint="eastAsia"/>
          <w:lang w:eastAsia="ko-KR"/>
        </w:rPr>
        <w:t>he ord</w:t>
      </w:r>
      <w:r w:rsidRPr="002E55DE">
        <w:rPr>
          <w:rFonts w:eastAsiaTheme="minorEastAsia"/>
          <w:lang w:eastAsia="ko-KR"/>
        </w:rPr>
        <w:t>ered-response</w:t>
      </w:r>
      <w:r w:rsidR="00D92A43" w:rsidRPr="002E55DE">
        <w:rPr>
          <w:rFonts w:eastAsiaTheme="minorEastAsia" w:hint="eastAsia"/>
          <w:lang w:eastAsia="ko-KR"/>
        </w:rPr>
        <w:t xml:space="preserve"> </w:t>
      </w:r>
      <w:r w:rsidR="006714ED" w:rsidRPr="002E55DE">
        <w:rPr>
          <w:rFonts w:eastAsiaTheme="minorEastAsia"/>
          <w:lang w:eastAsia="ko-KR"/>
        </w:rPr>
        <w:t>(grouped</w:t>
      </w:r>
      <w:r w:rsidRPr="002E55DE">
        <w:rPr>
          <w:rFonts w:eastAsiaTheme="minorEastAsia"/>
          <w:lang w:eastAsia="ko-KR"/>
        </w:rPr>
        <w:t>-response</w:t>
      </w:r>
      <w:r w:rsidR="006714ED" w:rsidRPr="002E55DE">
        <w:rPr>
          <w:rFonts w:eastAsiaTheme="minorEastAsia"/>
          <w:lang w:eastAsia="ko-KR"/>
        </w:rPr>
        <w:t xml:space="preserve">) </w:t>
      </w:r>
      <w:r w:rsidR="00D92A43" w:rsidRPr="002E55DE">
        <w:rPr>
          <w:rFonts w:eastAsiaTheme="minorEastAsia" w:hint="eastAsia"/>
          <w:lang w:eastAsia="ko-KR"/>
        </w:rPr>
        <w:t xml:space="preserve">level for </w:t>
      </w:r>
      <w:r w:rsidR="00D92A43" w:rsidRPr="002E55DE">
        <w:rPr>
          <w:rFonts w:eastAsiaTheme="minorEastAsia"/>
          <w:lang w:eastAsia="ko-KR"/>
        </w:rPr>
        <w:t xml:space="preserve">outcome </w:t>
      </w:r>
      <w:r w:rsidR="00D92A43" w:rsidRPr="002E55DE">
        <w:rPr>
          <w:rFonts w:eastAsiaTheme="minorEastAsia"/>
          <w:i/>
          <w:iCs/>
          <w:lang w:eastAsia="ko-KR"/>
        </w:rPr>
        <w:t>i</w:t>
      </w:r>
      <w:r w:rsidR="00D92A43" w:rsidRPr="002E55DE">
        <w:rPr>
          <w:rFonts w:eastAsiaTheme="minorEastAsia"/>
          <w:lang w:eastAsia="ko-KR"/>
        </w:rPr>
        <w:t xml:space="preserve"> </w:t>
      </w:r>
      <w:r w:rsidR="00D92A43" w:rsidRPr="002E55DE">
        <w:rPr>
          <w:rFonts w:eastAsiaTheme="minorEastAsia" w:hint="eastAsia"/>
          <w:lang w:eastAsia="ko-KR"/>
        </w:rPr>
        <w:t>be</w:t>
      </w:r>
      <w:r w:rsidR="00D92A43" w:rsidRPr="002E55DE">
        <w:rPr>
          <w:rFonts w:eastAsiaTheme="minorEastAsia"/>
          <w:lang w:eastAsia="ko-KR"/>
        </w:rPr>
        <w:t xml:space="preserve"> </w:t>
      </w:r>
      <w:r w:rsidR="00D92A43" w:rsidRPr="002E55DE">
        <w:rPr>
          <w:rFonts w:ascii="Times New Roman" w:hAnsi="Times New Roman"/>
          <w:i/>
          <w:szCs w:val="24"/>
        </w:rPr>
        <w:t>m</w:t>
      </w:r>
      <w:r w:rsidR="00D92A43" w:rsidRPr="002E55DE">
        <w:rPr>
          <w:rFonts w:ascii="Times New Roman" w:hAnsi="Times New Roman"/>
          <w:i/>
          <w:szCs w:val="24"/>
          <w:vertAlign w:val="subscript"/>
        </w:rPr>
        <w:t>i</w:t>
      </w:r>
      <w:r w:rsidR="00D92A43" w:rsidRPr="002E55DE">
        <w:rPr>
          <w:rFonts w:ascii="Times New Roman" w:hAnsi="Times New Roman"/>
          <w:szCs w:val="24"/>
        </w:rPr>
        <w:t xml:space="preserve"> </w:t>
      </w:r>
      <w:r w:rsidR="00485D35" w:rsidRPr="002E55DE">
        <w:rPr>
          <w:rFonts w:ascii="Times New Roman" w:hAnsi="Times New Roman"/>
          <w:noProof/>
          <w:position w:val="-4"/>
          <w:szCs w:val="24"/>
        </w:rPr>
        <w:object w:dxaOrig="200" w:dyaOrig="200" w14:anchorId="78742520">
          <v:shape id="_x0000_i1027" type="#_x0000_t75" style="width:10.4pt;height:10.4pt" o:ole="">
            <v:imagedata r:id="rId16" o:title=""/>
          </v:shape>
          <o:OLEObject Type="Embed" ProgID="Equation.3" ShapeID="_x0000_i1027" DrawAspect="Content" ObjectID="_1818570592" r:id="rId17"/>
        </w:object>
      </w:r>
      <w:r w:rsidR="00D92A43" w:rsidRPr="002E55DE">
        <w:rPr>
          <w:rFonts w:ascii="Times New Roman" w:hAnsi="Times New Roman"/>
          <w:szCs w:val="24"/>
        </w:rPr>
        <w:t xml:space="preserve">{1, 2, …, </w:t>
      </w:r>
      <w:r w:rsidR="00D92A43" w:rsidRPr="002E55DE">
        <w:rPr>
          <w:rFonts w:ascii="Times New Roman" w:hAnsi="Times New Roman"/>
          <w:i/>
          <w:szCs w:val="24"/>
        </w:rPr>
        <w:t>K</w:t>
      </w:r>
      <w:r w:rsidR="00D92A43" w:rsidRPr="002E55DE">
        <w:rPr>
          <w:rFonts w:ascii="Times New Roman" w:hAnsi="Times New Roman"/>
          <w:i/>
          <w:szCs w:val="24"/>
          <w:vertAlign w:val="subscript"/>
        </w:rPr>
        <w:t>i</w:t>
      </w:r>
      <w:r w:rsidR="00D92A43" w:rsidRPr="002E55DE">
        <w:rPr>
          <w:rFonts w:ascii="Times New Roman" w:hAnsi="Times New Roman"/>
          <w:szCs w:val="24"/>
        </w:rPr>
        <w:t xml:space="preserve">}, </w:t>
      </w:r>
      <w:r w:rsidR="00D92A43" w:rsidRPr="002E55DE">
        <w:rPr>
          <w:rFonts w:eastAsiaTheme="minorEastAsia" w:hint="eastAsia"/>
          <w:lang w:eastAsia="ko-KR"/>
        </w:rPr>
        <w:t>where</w:t>
      </w:r>
      <w:r w:rsidR="00D92A43" w:rsidRPr="002E55DE">
        <w:rPr>
          <w:rFonts w:eastAsiaTheme="minorEastAsia"/>
          <w:lang w:eastAsia="ko-KR"/>
        </w:rPr>
        <w:t xml:space="preserve"> </w:t>
      </w:r>
      <w:r w:rsidR="00D92A43" w:rsidRPr="002E55DE">
        <w:rPr>
          <w:rFonts w:ascii="Times New Roman" w:hAnsi="Times New Roman"/>
          <w:i/>
          <w:szCs w:val="24"/>
        </w:rPr>
        <w:t>K</w:t>
      </w:r>
      <w:r w:rsidR="00D92A43" w:rsidRPr="002E55DE">
        <w:rPr>
          <w:rFonts w:ascii="Times New Roman" w:hAnsi="Times New Roman"/>
          <w:i/>
          <w:szCs w:val="24"/>
          <w:vertAlign w:val="subscript"/>
        </w:rPr>
        <w:t>i</w:t>
      </w:r>
      <w:r w:rsidR="00D92A43" w:rsidRPr="002E55DE">
        <w:rPr>
          <w:rFonts w:ascii="Times New Roman" w:hAnsi="Times New Roman"/>
          <w:i/>
          <w:szCs w:val="24"/>
        </w:rPr>
        <w:t xml:space="preserve"> </w:t>
      </w:r>
      <w:r w:rsidR="00D92A43" w:rsidRPr="002E55DE">
        <w:rPr>
          <w:rFonts w:eastAsiaTheme="minorEastAsia" w:hint="eastAsia"/>
          <w:lang w:eastAsia="ko-KR"/>
        </w:rPr>
        <w:t xml:space="preserve">is the highest level </w:t>
      </w:r>
      <w:r w:rsidR="00D92A43" w:rsidRPr="002E55DE">
        <w:rPr>
          <w:rFonts w:eastAsiaTheme="minorEastAsia"/>
          <w:lang w:eastAsia="ko-KR"/>
        </w:rPr>
        <w:t>corresponding to</w:t>
      </w:r>
      <w:r w:rsidR="00D92A43" w:rsidRPr="002E55DE">
        <w:rPr>
          <w:rFonts w:eastAsiaTheme="minorEastAsia" w:hint="eastAsia"/>
          <w:lang w:eastAsia="ko-KR"/>
        </w:rPr>
        <w:t xml:space="preserve"> variable</w:t>
      </w:r>
      <w:r w:rsidR="00D92A43" w:rsidRPr="002E55DE">
        <w:rPr>
          <w:rFonts w:eastAsiaTheme="minorEastAsia"/>
          <w:lang w:eastAsia="ko-KR"/>
        </w:rPr>
        <w:t xml:space="preserve"> </w:t>
      </w:r>
      <w:r w:rsidR="00D92A43" w:rsidRPr="002E55DE">
        <w:rPr>
          <w:rFonts w:eastAsiaTheme="minorEastAsia"/>
          <w:i/>
          <w:iCs/>
          <w:lang w:eastAsia="ko-KR"/>
        </w:rPr>
        <w:t>i</w:t>
      </w:r>
      <w:r w:rsidR="00D92A43" w:rsidRPr="002E55DE">
        <w:rPr>
          <w:rFonts w:eastAsiaTheme="minorEastAsia"/>
          <w:lang w:eastAsia="ko-KR"/>
        </w:rPr>
        <w:t xml:space="preserve">. </w:t>
      </w:r>
      <w:r w:rsidR="00D92A43" w:rsidRPr="002E55DE">
        <w:rPr>
          <w:rFonts w:eastAsiaTheme="minorEastAsia" w:hint="eastAsia"/>
          <w:lang w:eastAsia="ko-KR"/>
        </w:rPr>
        <w:t xml:space="preserve">In conventional ordered response formulation, </w:t>
      </w:r>
    </w:p>
    <w:p w14:paraId="248EA043" w14:textId="76A78CE9" w:rsidR="00D92A43" w:rsidRPr="002E55DE" w:rsidRDefault="00485D35" w:rsidP="000D4062">
      <w:pPr>
        <w:tabs>
          <w:tab w:val="right" w:pos="9360"/>
        </w:tabs>
        <w:spacing w:before="120" w:after="120"/>
        <w:jc w:val="both"/>
        <w:rPr>
          <w:rFonts w:ascii="Times New Roman" w:hAnsi="Times New Roman"/>
          <w:szCs w:val="24"/>
        </w:rPr>
      </w:pPr>
      <w:r w:rsidRPr="002E55DE">
        <w:rPr>
          <w:rFonts w:ascii="Times New Roman" w:hAnsi="Times New Roman"/>
          <w:noProof/>
          <w:position w:val="-12"/>
          <w:szCs w:val="24"/>
        </w:rPr>
        <w:object w:dxaOrig="1980" w:dyaOrig="380" w14:anchorId="1AC13ABB">
          <v:shape id="_x0000_i1028" type="#_x0000_t75" style="width:99.45pt;height:19.4pt" o:ole="" o:preferrelative="f">
            <v:imagedata r:id="rId18" o:title=""/>
            <o:lock v:ext="edit" aspectratio="f"/>
          </v:shape>
          <o:OLEObject Type="Embed" ProgID="Equation.DSMT4" ShapeID="_x0000_i1028" DrawAspect="Content" ObjectID="_1818570593" r:id="rId19"/>
        </w:object>
      </w:r>
      <w:r w:rsidR="00D92A43" w:rsidRPr="002E55DE">
        <w:rPr>
          <w:rFonts w:ascii="Times New Roman" w:hAnsi="Times New Roman"/>
          <w:szCs w:val="24"/>
        </w:rPr>
        <w:t xml:space="preserve"> if  </w:t>
      </w:r>
      <w:r w:rsidRPr="002E55DE">
        <w:rPr>
          <w:rFonts w:ascii="Times New Roman" w:hAnsi="Times New Roman"/>
          <w:noProof/>
          <w:position w:val="-12"/>
          <w:szCs w:val="24"/>
        </w:rPr>
        <w:object w:dxaOrig="1500" w:dyaOrig="380" w14:anchorId="01F6E663">
          <v:shape id="_x0000_i1029" type="#_x0000_t75" style="width:75.8pt;height:19.4pt" o:ole="" o:preferrelative="f">
            <v:imagedata r:id="rId20" o:title=""/>
            <o:lock v:ext="edit" aspectratio="f"/>
          </v:shape>
          <o:OLEObject Type="Embed" ProgID="Equation.DSMT4" ShapeID="_x0000_i1029" DrawAspect="Content" ObjectID="_1818570594" r:id="rId21"/>
        </w:object>
      </w:r>
      <w:r w:rsidR="00D92A43" w:rsidRPr="002E55DE">
        <w:rPr>
          <w:rFonts w:ascii="Times New Roman" w:hAnsi="Times New Roman"/>
          <w:szCs w:val="24"/>
        </w:rPr>
        <w:t>,</w:t>
      </w:r>
      <w:r w:rsidR="00D92A43" w:rsidRPr="002E55DE">
        <w:rPr>
          <w:rFonts w:ascii="Times New Roman" w:hAnsi="Times New Roman"/>
          <w:szCs w:val="24"/>
        </w:rPr>
        <w:tab/>
        <w:t>(1)</w:t>
      </w:r>
    </w:p>
    <w:p w14:paraId="4C55DC5E" w14:textId="56188E6C" w:rsidR="00FB2CEB" w:rsidRPr="002E55DE" w:rsidRDefault="00D92A43" w:rsidP="003518AB">
      <w:pPr>
        <w:jc w:val="both"/>
        <w:rPr>
          <w:rFonts w:ascii="Times New Roman" w:hAnsi="Times New Roman"/>
          <w:bCs/>
          <w:szCs w:val="24"/>
        </w:rPr>
      </w:pPr>
      <w:r w:rsidRPr="002E55DE">
        <w:rPr>
          <w:rFonts w:ascii="Times New Roman" w:hAnsi="Times New Roman"/>
          <w:szCs w:val="24"/>
        </w:rPr>
        <w:t xml:space="preserve">where </w:t>
      </w:r>
      <w:r w:rsidR="00485D35" w:rsidRPr="002E55DE">
        <w:rPr>
          <w:noProof/>
          <w:position w:val="-4"/>
        </w:rPr>
        <w:object w:dxaOrig="200" w:dyaOrig="200" w14:anchorId="024B4497">
          <v:shape id="_x0000_i1030" type="#_x0000_t75" style="width:10.4pt;height:10.4pt" o:ole="">
            <v:imagedata r:id="rId22" o:title=""/>
          </v:shape>
          <o:OLEObject Type="Embed" ProgID="Equation.DSMT4" ShapeID="_x0000_i1030" DrawAspect="Content" ObjectID="_1818570595" r:id="rId23"/>
        </w:object>
      </w:r>
      <w:r w:rsidR="009E3EB3" w:rsidRPr="002E55DE">
        <w:t xml:space="preserve"> </w:t>
      </w:r>
      <w:r w:rsidRPr="002E55DE">
        <w:rPr>
          <w:rFonts w:ascii="Times New Roman" w:hAnsi="Times New Roman"/>
          <w:szCs w:val="24"/>
        </w:rPr>
        <w:t>is an (</w:t>
      </w:r>
      <w:r w:rsidRPr="002E55DE">
        <w:rPr>
          <w:rFonts w:ascii="Times New Roman" w:hAnsi="Times New Roman"/>
          <w:i/>
          <w:szCs w:val="24"/>
        </w:rPr>
        <w:t>L×</w:t>
      </w:r>
      <w:r w:rsidRPr="002E55DE">
        <w:rPr>
          <w:rFonts w:ascii="Times New Roman" w:hAnsi="Times New Roman"/>
          <w:szCs w:val="24"/>
        </w:rPr>
        <w:t>1)</w:t>
      </w:r>
      <w:r w:rsidRPr="002E55DE">
        <w:rPr>
          <w:rFonts w:eastAsiaTheme="minorEastAsia" w:hint="eastAsia"/>
          <w:lang w:eastAsia="ko-KR"/>
        </w:rPr>
        <w:t xml:space="preserve"> vector of exogenous variables </w:t>
      </w:r>
      <w:r w:rsidR="001B51B2" w:rsidRPr="002E55DE">
        <w:rPr>
          <w:rFonts w:eastAsiaTheme="minorEastAsia"/>
          <w:lang w:eastAsia="ko-KR"/>
        </w:rPr>
        <w:t xml:space="preserve">(including a constant) </w:t>
      </w:r>
      <w:r w:rsidRPr="002E55DE">
        <w:rPr>
          <w:rFonts w:eastAsiaTheme="minorEastAsia" w:hint="eastAsia"/>
          <w:lang w:eastAsia="ko-KR"/>
        </w:rPr>
        <w:t xml:space="preserve">as well as </w:t>
      </w:r>
      <w:r w:rsidR="001B51B2" w:rsidRPr="002E55DE">
        <w:rPr>
          <w:rFonts w:eastAsiaTheme="minorEastAsia"/>
          <w:lang w:eastAsia="ko-KR"/>
        </w:rPr>
        <w:t xml:space="preserve">possibly the </w:t>
      </w:r>
      <w:r w:rsidRPr="002E55DE">
        <w:rPr>
          <w:rFonts w:eastAsiaTheme="minorEastAsia" w:hint="eastAsia"/>
          <w:lang w:eastAsia="ko-KR"/>
        </w:rPr>
        <w:t>observed values of other endogenous variables,</w:t>
      </w:r>
      <w:r w:rsidRPr="002E55DE">
        <w:rPr>
          <w:rFonts w:eastAsiaTheme="minorEastAsia"/>
          <w:lang w:eastAsia="ko-KR"/>
        </w:rPr>
        <w:t xml:space="preserve"> </w:t>
      </w:r>
      <w:r w:rsidR="00485D35" w:rsidRPr="002E55DE">
        <w:rPr>
          <w:noProof/>
          <w:position w:val="-12"/>
        </w:rPr>
        <w:object w:dxaOrig="260" w:dyaOrig="380" w14:anchorId="2323B98F">
          <v:shape id="_x0000_i1031" type="#_x0000_t75" style="width:12.8pt;height:19.4pt" o:ole="" o:preferrelative="f">
            <v:imagedata r:id="rId24" o:title=""/>
            <o:lock v:ext="edit" aspectratio="f"/>
          </v:shape>
          <o:OLEObject Type="Embed" ProgID="Equation.DSMT4" ShapeID="_x0000_i1031" DrawAspect="Content" ObjectID="_1818570596" r:id="rId25"/>
        </w:object>
      </w:r>
      <w:r w:rsidR="00FB2CEB" w:rsidRPr="002E55DE">
        <w:rPr>
          <w:rFonts w:ascii="Times New Roman" w:hAnsi="Times New Roman"/>
          <w:szCs w:val="24"/>
        </w:rPr>
        <w:t xml:space="preserve"> is</w:t>
      </w:r>
      <w:r w:rsidRPr="002E55DE">
        <w:rPr>
          <w:rFonts w:ascii="Times New Roman" w:hAnsi="Times New Roman"/>
          <w:szCs w:val="24"/>
        </w:rPr>
        <w:t xml:space="preserve"> a corresponding (</w:t>
      </w:r>
      <w:r w:rsidRPr="002E55DE">
        <w:rPr>
          <w:rFonts w:ascii="Times New Roman" w:hAnsi="Times New Roman"/>
          <w:i/>
          <w:szCs w:val="24"/>
        </w:rPr>
        <w:t>L×</w:t>
      </w:r>
      <w:r w:rsidRPr="002E55DE">
        <w:rPr>
          <w:rFonts w:ascii="Times New Roman" w:hAnsi="Times New Roman"/>
          <w:szCs w:val="24"/>
        </w:rPr>
        <w:t>1) vector of coefficients to be estimated</w:t>
      </w:r>
      <w:r w:rsidR="001B51B2" w:rsidRPr="002E55DE">
        <w:rPr>
          <w:rFonts w:ascii="Times New Roman" w:hAnsi="Times New Roman"/>
          <w:szCs w:val="24"/>
        </w:rPr>
        <w:t xml:space="preserve"> (some of </w:t>
      </w:r>
      <w:r w:rsidR="00CF0E17" w:rsidRPr="002E55DE">
        <w:rPr>
          <w:rFonts w:ascii="Times New Roman" w:hAnsi="Times New Roman"/>
          <w:szCs w:val="24"/>
        </w:rPr>
        <w:t>t</w:t>
      </w:r>
      <w:r w:rsidR="001B51B2" w:rsidRPr="002E55DE">
        <w:rPr>
          <w:rFonts w:ascii="Times New Roman" w:hAnsi="Times New Roman"/>
          <w:szCs w:val="24"/>
        </w:rPr>
        <w:t>hose coefficients can, and in g</w:t>
      </w:r>
      <w:r w:rsidR="00013084" w:rsidRPr="002E55DE">
        <w:rPr>
          <w:rFonts w:ascii="Times New Roman" w:hAnsi="Times New Roman"/>
          <w:szCs w:val="24"/>
        </w:rPr>
        <w:t xml:space="preserve">eneral, </w:t>
      </w:r>
      <w:r w:rsidR="001B51B2" w:rsidRPr="002E55DE">
        <w:rPr>
          <w:rFonts w:ascii="Times New Roman" w:hAnsi="Times New Roman"/>
          <w:szCs w:val="24"/>
        </w:rPr>
        <w:t>will be zero)</w:t>
      </w:r>
      <w:r w:rsidR="00013084" w:rsidRPr="002E55DE">
        <w:rPr>
          <w:rFonts w:ascii="Times New Roman" w:hAnsi="Times New Roman"/>
          <w:szCs w:val="24"/>
        </w:rPr>
        <w:t>.</w:t>
      </w:r>
      <w:r w:rsidRPr="002E55DE">
        <w:rPr>
          <w:rFonts w:ascii="Times New Roman" w:hAnsi="Times New Roman"/>
          <w:szCs w:val="24"/>
        </w:rPr>
        <w:t xml:space="preserve"> </w:t>
      </w:r>
      <w:r w:rsidR="00013084" w:rsidRPr="002E55DE">
        <w:rPr>
          <w:rFonts w:ascii="Times New Roman" w:hAnsi="Times New Roman"/>
          <w:szCs w:val="24"/>
        </w:rPr>
        <w:t xml:space="preserve"> </w:t>
      </w:r>
      <w:r w:rsidR="00485D35" w:rsidRPr="002E55DE">
        <w:rPr>
          <w:rFonts w:ascii="Times New Roman" w:hAnsi="Times New Roman"/>
          <w:noProof/>
          <w:position w:val="-12"/>
          <w:szCs w:val="24"/>
        </w:rPr>
        <w:object w:dxaOrig="240" w:dyaOrig="360" w14:anchorId="7822AFF4">
          <v:shape id="_x0000_i1032" type="#_x0000_t75" style="width:12.8pt;height:18.45pt" o:ole="" o:preferrelative="f">
            <v:imagedata r:id="rId26" o:title=""/>
            <o:lock v:ext="edit" aspectratio="f"/>
          </v:shape>
          <o:OLEObject Type="Embed" ProgID="Equation.DSMT4" ShapeID="_x0000_i1032" DrawAspect="Content" ObjectID="_1818570597" r:id="rId27"/>
        </w:object>
      </w:r>
      <w:r w:rsidRPr="002E55DE">
        <w:rPr>
          <w:rFonts w:ascii="Times New Roman" w:hAnsi="Times New Roman"/>
          <w:szCs w:val="24"/>
        </w:rPr>
        <w:t xml:space="preserve"> is a</w:t>
      </w:r>
      <w:r w:rsidR="00571A71" w:rsidRPr="002E55DE">
        <w:rPr>
          <w:rFonts w:ascii="Times New Roman" w:hAnsi="Times New Roman"/>
          <w:szCs w:val="24"/>
        </w:rPr>
        <w:t>ssumed to be a</w:t>
      </w:r>
      <w:r w:rsidRPr="002E55DE">
        <w:rPr>
          <w:rFonts w:ascii="Times New Roman" w:hAnsi="Times New Roman"/>
          <w:szCs w:val="24"/>
        </w:rPr>
        <w:t xml:space="preserve"> normal error term, and </w:t>
      </w:r>
      <w:r w:rsidR="00485D35" w:rsidRPr="002E55DE">
        <w:rPr>
          <w:rFonts w:ascii="Times New Roman" w:hAnsi="Times New Roman"/>
          <w:noProof/>
          <w:position w:val="-12"/>
          <w:szCs w:val="24"/>
        </w:rPr>
        <w:object w:dxaOrig="360" w:dyaOrig="380" w14:anchorId="65C51CA6">
          <v:shape id="_x0000_i1033" type="#_x0000_t75" style="width:18.45pt;height:19.4pt" o:ole="" o:preferrelative="f">
            <v:imagedata r:id="rId28" o:title=""/>
            <o:lock v:ext="edit" aspectratio="f"/>
          </v:shape>
          <o:OLEObject Type="Embed" ProgID="Equation.DSMT4" ShapeID="_x0000_i1033" DrawAspect="Content" ObjectID="_1818570598" r:id="rId29"/>
        </w:object>
      </w:r>
      <w:r w:rsidRPr="002E55DE">
        <w:rPr>
          <w:rFonts w:ascii="Times New Roman" w:hAnsi="Times New Roman"/>
          <w:szCs w:val="24"/>
        </w:rPr>
        <w:t xml:space="preserve"> </w:t>
      </w:r>
      <w:r w:rsidRPr="002E55DE">
        <w:rPr>
          <w:rFonts w:ascii="Times New Roman" w:hAnsi="Times New Roman"/>
          <w:szCs w:val="24"/>
        </w:rPr>
        <w:fldChar w:fldCharType="begin"/>
      </w:r>
      <w:r w:rsidRPr="002E55DE">
        <w:rPr>
          <w:rFonts w:ascii="Times New Roman" w:hAnsi="Times New Roman"/>
          <w:szCs w:val="24"/>
        </w:rPr>
        <w:instrText xml:space="preserve"> QUOTE </w:instrText>
      </w:r>
      <m:oMath>
        <m:sSubSup>
          <m:sSubSupPr>
            <m:ctrlPr>
              <w:rPr>
                <w:rFonts w:ascii="Cambria Math" w:hAnsi="Cambria Math"/>
                <w:i/>
                <w:szCs w:val="24"/>
              </w:rPr>
            </m:ctrlPr>
          </m:sSubSupPr>
          <m:e>
            <m:r>
              <m:rPr>
                <m:sty m:val="p"/>
              </m:rPr>
              <w:rPr>
                <w:rFonts w:ascii="Cambria Math" w:hAnsi="Cambria Math"/>
                <w:szCs w:val="24"/>
              </w:rPr>
              <m:t>ϴ</m:t>
            </m:r>
          </m:e>
          <m:sub>
            <m:r>
              <m:rPr>
                <m:sty m:val="p"/>
              </m:rPr>
              <w:rPr>
                <w:rFonts w:ascii="Cambria Math" w:hAnsi="Cambria Math"/>
                <w:szCs w:val="24"/>
              </w:rPr>
              <m:t>i</m:t>
            </m:r>
          </m:sub>
          <m:sup>
            <m:r>
              <m:rPr>
                <m:sty m:val="p"/>
              </m:rPr>
              <w:rPr>
                <w:rFonts w:ascii="Cambria Math" w:hAnsi="Cambria Math"/>
                <w:szCs w:val="24"/>
              </w:rPr>
              <m:t>k</m:t>
            </m:r>
          </m:sup>
        </m:sSubSup>
      </m:oMath>
      <w:r w:rsidRPr="002E55DE">
        <w:rPr>
          <w:rFonts w:ascii="Times New Roman" w:hAnsi="Times New Roman"/>
          <w:szCs w:val="24"/>
        </w:rPr>
        <w:instrText xml:space="preserve"> </w:instrText>
      </w:r>
      <w:r w:rsidR="002604F9">
        <w:rPr>
          <w:rFonts w:ascii="Times New Roman" w:hAnsi="Times New Roman"/>
          <w:szCs w:val="24"/>
        </w:rPr>
        <w:fldChar w:fldCharType="separate"/>
      </w:r>
      <w:r w:rsidRPr="002E55DE">
        <w:rPr>
          <w:rFonts w:ascii="Times New Roman" w:hAnsi="Times New Roman"/>
          <w:szCs w:val="24"/>
        </w:rPr>
        <w:fldChar w:fldCharType="end"/>
      </w:r>
      <w:r w:rsidRPr="002E55DE">
        <w:rPr>
          <w:rFonts w:ascii="Times New Roman" w:hAnsi="Times New Roman"/>
          <w:szCs w:val="24"/>
        </w:rPr>
        <w:t xml:space="preserve">is the upper bound threshold for level </w:t>
      </w:r>
      <w:r w:rsidRPr="002E55DE">
        <w:rPr>
          <w:rFonts w:ascii="Times New Roman" w:hAnsi="Times New Roman"/>
          <w:i/>
          <w:szCs w:val="24"/>
        </w:rPr>
        <w:t>m</w:t>
      </w:r>
      <w:r w:rsidRPr="002E55DE">
        <w:rPr>
          <w:rFonts w:ascii="Times New Roman" w:hAnsi="Times New Roman"/>
          <w:i/>
          <w:szCs w:val="24"/>
          <w:vertAlign w:val="subscript"/>
        </w:rPr>
        <w:t>i</w:t>
      </w:r>
      <w:r w:rsidRPr="002E55DE">
        <w:rPr>
          <w:rFonts w:ascii="Times New Roman" w:hAnsi="Times New Roman"/>
          <w:szCs w:val="24"/>
        </w:rPr>
        <w:t xml:space="preserve">, satisfying </w:t>
      </w:r>
      <w:r w:rsidR="00485D35" w:rsidRPr="002E55DE">
        <w:rPr>
          <w:rFonts w:ascii="Times New Roman" w:hAnsi="Times New Roman"/>
          <w:noProof/>
          <w:position w:val="-12"/>
          <w:szCs w:val="24"/>
        </w:rPr>
        <w:object w:dxaOrig="4780" w:dyaOrig="380" w14:anchorId="55E8F3A1">
          <v:shape id="_x0000_i1034" type="#_x0000_t75" style="width:239.7pt;height:19.4pt" o:ole="" o:preferrelative="f">
            <v:imagedata r:id="rId30" o:title=""/>
            <o:lock v:ext="edit" aspectratio="f"/>
          </v:shape>
          <o:OLEObject Type="Embed" ProgID="Equation.3" ShapeID="_x0000_i1034" DrawAspect="Content" ObjectID="_1818570599" r:id="rId31"/>
        </w:object>
      </w:r>
      <w:r w:rsidRPr="002E55DE">
        <w:rPr>
          <w:rFonts w:ascii="Times New Roman" w:hAnsi="Times New Roman"/>
          <w:szCs w:val="24"/>
        </w:rPr>
        <w:t xml:space="preserve"> for each </w:t>
      </w:r>
      <w:r w:rsidR="005C237C" w:rsidRPr="002E55DE">
        <w:rPr>
          <w:rFonts w:ascii="Times New Roman" w:hAnsi="Times New Roman"/>
          <w:szCs w:val="24"/>
        </w:rPr>
        <w:t>outcome</w:t>
      </w:r>
      <w:r w:rsidRPr="002E55DE">
        <w:rPr>
          <w:rFonts w:ascii="Times New Roman" w:hAnsi="Times New Roman"/>
          <w:szCs w:val="24"/>
        </w:rPr>
        <w:t xml:space="preserve"> </w:t>
      </w:r>
      <w:r w:rsidRPr="002E55DE">
        <w:rPr>
          <w:rFonts w:ascii="Times New Roman" w:hAnsi="Times New Roman"/>
          <w:i/>
          <w:szCs w:val="24"/>
        </w:rPr>
        <w:t>i</w:t>
      </w:r>
      <w:r w:rsidRPr="002E55DE">
        <w:rPr>
          <w:rFonts w:ascii="Times New Roman" w:hAnsi="Times New Roman"/>
          <w:szCs w:val="24"/>
        </w:rPr>
        <w:t xml:space="preserve">. </w:t>
      </w:r>
      <w:r w:rsidR="00CB420D" w:rsidRPr="002E55DE">
        <w:rPr>
          <w:rFonts w:ascii="Times New Roman" w:hAnsi="Times New Roman"/>
          <w:szCs w:val="24"/>
        </w:rPr>
        <w:t>Assum</w:t>
      </w:r>
      <w:r w:rsidR="00571A71" w:rsidRPr="002E55DE">
        <w:rPr>
          <w:rFonts w:ascii="Times New Roman" w:hAnsi="Times New Roman"/>
          <w:szCs w:val="24"/>
        </w:rPr>
        <w:t>e</w:t>
      </w:r>
      <w:r w:rsidR="00CB420D" w:rsidRPr="002E55DE">
        <w:rPr>
          <w:rFonts w:ascii="Times New Roman" w:hAnsi="Times New Roman"/>
          <w:szCs w:val="24"/>
        </w:rPr>
        <w:t xml:space="preserve"> that the </w:t>
      </w:r>
      <w:r w:rsidR="00D66369" w:rsidRPr="002E55DE">
        <w:rPr>
          <w:rFonts w:ascii="Times New Roman" w:hAnsi="Times New Roman"/>
          <w:szCs w:val="24"/>
        </w:rPr>
        <w:t>first outcome is frequency</w:t>
      </w:r>
      <w:r w:rsidR="00F86AAD" w:rsidRPr="002E55DE">
        <w:rPr>
          <w:rFonts w:ascii="Times New Roman" w:hAnsi="Times New Roman"/>
          <w:szCs w:val="24"/>
        </w:rPr>
        <w:t xml:space="preserve"> (</w:t>
      </w:r>
      <w:r w:rsidR="00485D35" w:rsidRPr="002E55DE">
        <w:rPr>
          <w:noProof/>
          <w:position w:val="-12"/>
        </w:rPr>
        <w:object w:dxaOrig="279" w:dyaOrig="380" w14:anchorId="5858CB12">
          <v:shape id="_x0000_i1035" type="#_x0000_t75" style="width:13.25pt;height:19.4pt" o:ole="" o:preferrelative="f">
            <v:imagedata r:id="rId32" o:title=""/>
            <o:lock v:ext="edit" aspectratio="f"/>
          </v:shape>
          <o:OLEObject Type="Embed" ProgID="Equation.DSMT4" ShapeID="_x0000_i1035" DrawAspect="Content" ObjectID="_1818570600" r:id="rId33"/>
        </w:object>
      </w:r>
      <w:r w:rsidR="00F86AAD" w:rsidRPr="002E55DE">
        <w:t xml:space="preserve"> is the underlying latent propensity </w:t>
      </w:r>
      <w:r w:rsidR="00C037D9" w:rsidRPr="002E55DE">
        <w:t xml:space="preserve">for walking </w:t>
      </w:r>
      <w:r w:rsidR="00E1138F" w:rsidRPr="002E55DE">
        <w:t xml:space="preserve">that is </w:t>
      </w:r>
      <w:r w:rsidR="00F86AAD" w:rsidRPr="002E55DE">
        <w:t>mapp</w:t>
      </w:r>
      <w:r w:rsidR="00E1138F" w:rsidRPr="002E55DE">
        <w:t>ed</w:t>
      </w:r>
      <w:r w:rsidR="00F86AAD" w:rsidRPr="002E55DE">
        <w:t xml:space="preserve"> to the </w:t>
      </w:r>
      <w:r w:rsidR="00C037D9" w:rsidRPr="002E55DE">
        <w:lastRenderedPageBreak/>
        <w:t xml:space="preserve">observed </w:t>
      </w:r>
      <w:r w:rsidR="00F86AAD" w:rsidRPr="002E55DE">
        <w:t xml:space="preserve">ordered-response weekly frequency </w:t>
      </w:r>
      <w:r w:rsidR="00485D35" w:rsidRPr="002E55DE">
        <w:rPr>
          <w:noProof/>
          <w:position w:val="-12"/>
        </w:rPr>
        <w:object w:dxaOrig="279" w:dyaOrig="380" w14:anchorId="12E8F7E5">
          <v:shape id="_x0000_i1036" type="#_x0000_t75" style="width:13.25pt;height:19.4pt" o:ole="" o:preferrelative="f">
            <v:imagedata r:id="rId34" o:title=""/>
            <o:lock v:ext="edit" aspectratio="f"/>
          </v:shape>
          <o:OLEObject Type="Embed" ProgID="Equation.DSMT4" ShapeID="_x0000_i1036" DrawAspect="Content" ObjectID="_1818570601" r:id="rId35"/>
        </w:object>
      </w:r>
      <w:r w:rsidR="00C037D9" w:rsidRPr="002E55DE">
        <w:t xml:space="preserve"> through the thresholds</w:t>
      </w:r>
      <w:r w:rsidR="00F86AAD" w:rsidRPr="002E55DE">
        <w:t>)</w:t>
      </w:r>
      <w:r w:rsidR="00D66369" w:rsidRPr="002E55DE">
        <w:rPr>
          <w:rFonts w:ascii="Times New Roman" w:hAnsi="Times New Roman"/>
          <w:szCs w:val="24"/>
        </w:rPr>
        <w:t xml:space="preserve">, the </w:t>
      </w:r>
      <w:r w:rsidR="00FB2CEB" w:rsidRPr="002E55DE">
        <w:rPr>
          <w:rFonts w:ascii="Times New Roman" w:hAnsi="Times New Roman"/>
          <w:szCs w:val="24"/>
        </w:rPr>
        <w:t xml:space="preserve">second </w:t>
      </w:r>
      <w:r w:rsidR="00D66369" w:rsidRPr="002E55DE">
        <w:rPr>
          <w:rFonts w:ascii="Times New Roman" w:hAnsi="Times New Roman"/>
          <w:szCs w:val="24"/>
        </w:rPr>
        <w:t xml:space="preserve">is </w:t>
      </w:r>
      <w:r w:rsidR="00CB420D" w:rsidRPr="002E55DE">
        <w:rPr>
          <w:rFonts w:ascii="Times New Roman" w:hAnsi="Times New Roman"/>
          <w:szCs w:val="24"/>
        </w:rPr>
        <w:t>duratio</w:t>
      </w:r>
      <w:r w:rsidR="00D66369" w:rsidRPr="002E55DE">
        <w:rPr>
          <w:rFonts w:ascii="Times New Roman" w:hAnsi="Times New Roman"/>
          <w:szCs w:val="24"/>
        </w:rPr>
        <w:t>n</w:t>
      </w:r>
      <w:r w:rsidR="00F86AAD" w:rsidRPr="002E55DE">
        <w:rPr>
          <w:rFonts w:ascii="Times New Roman" w:hAnsi="Times New Roman"/>
          <w:szCs w:val="24"/>
        </w:rPr>
        <w:t xml:space="preserve"> </w:t>
      </w:r>
      <w:r w:rsidR="00485D35" w:rsidRPr="002E55DE">
        <w:rPr>
          <w:noProof/>
          <w:position w:val="-12"/>
        </w:rPr>
        <w:object w:dxaOrig="360" w:dyaOrig="380" w14:anchorId="57E659B1">
          <v:shape id="_x0000_i1037" type="#_x0000_t75" style="width:18.45pt;height:19.4pt" o:ole="" o:preferrelative="f">
            <v:imagedata r:id="rId36" o:title=""/>
            <o:lock v:ext="edit" aspectratio="f"/>
          </v:shape>
          <o:OLEObject Type="Embed" ProgID="Equation.DSMT4" ShapeID="_x0000_i1037" DrawAspect="Content" ObjectID="_1818570602" r:id="rId37"/>
        </w:object>
      </w:r>
      <w:r w:rsidR="00F86AAD" w:rsidRPr="002E55DE">
        <w:t xml:space="preserve"> corresponds to the unobserved continuous natural logarithm of walking duration, which is observed in the coarse</w:t>
      </w:r>
      <w:r w:rsidR="00C037D9" w:rsidRPr="002E55DE">
        <w:t>ly</w:t>
      </w:r>
      <w:r w:rsidR="00F86AAD" w:rsidRPr="002E55DE">
        <w:t xml:space="preserve"> censor</w:t>
      </w:r>
      <w:r w:rsidR="00C037D9" w:rsidRPr="002E55DE">
        <w:t xml:space="preserve">ed grouped form of </w:t>
      </w:r>
      <w:r w:rsidR="00485D35" w:rsidRPr="002E55DE">
        <w:rPr>
          <w:noProof/>
          <w:position w:val="-12"/>
        </w:rPr>
        <w:object w:dxaOrig="279" w:dyaOrig="360" w14:anchorId="3B1724AF">
          <v:shape id="_x0000_i1038" type="#_x0000_t75" style="width:13.25pt;height:18.45pt" o:ole="" o:preferrelative="f">
            <v:imagedata r:id="rId38" o:title=""/>
            <o:lock v:ext="edit" aspectratio="f"/>
          </v:shape>
          <o:OLEObject Type="Embed" ProgID="Equation.DSMT4" ShapeID="_x0000_i1038" DrawAspect="Content" ObjectID="_1818570603" r:id="rId39"/>
        </w:object>
      </w:r>
      <w:r w:rsidR="00C037D9" w:rsidRPr="002E55DE">
        <w:t xml:space="preserve">), and the third is social </w:t>
      </w:r>
      <w:r w:rsidR="00CF0E17" w:rsidRPr="002E55DE">
        <w:t xml:space="preserve">companionship </w:t>
      </w:r>
      <w:r w:rsidR="00C037D9" w:rsidRPr="002E55DE">
        <w:t>(SC) (</w:t>
      </w:r>
      <w:r w:rsidR="00485D35" w:rsidRPr="002E55DE">
        <w:rPr>
          <w:noProof/>
          <w:position w:val="-12"/>
        </w:rPr>
        <w:object w:dxaOrig="279" w:dyaOrig="380" w14:anchorId="4ED6A602">
          <v:shape id="_x0000_i1039" type="#_x0000_t75" style="width:13.25pt;height:19.4pt" o:ole="" o:preferrelative="f">
            <v:imagedata r:id="rId40" o:title=""/>
            <o:lock v:ext="edit" aspectratio="f"/>
          </v:shape>
          <o:OLEObject Type="Embed" ProgID="Equation.DSMT4" ShapeID="_x0000_i1039" DrawAspect="Content" ObjectID="_1818570604" r:id="rId41"/>
        </w:object>
      </w:r>
      <w:r w:rsidR="00C037D9" w:rsidRPr="002E55DE">
        <w:t xml:space="preserve"> is the underlying latent propensity for group walking that is mapped to the ordered-response outcome </w:t>
      </w:r>
      <w:r w:rsidR="00485D35" w:rsidRPr="002E55DE">
        <w:rPr>
          <w:noProof/>
          <w:position w:val="-12"/>
        </w:rPr>
        <w:object w:dxaOrig="279" w:dyaOrig="380" w14:anchorId="01E71CED">
          <v:shape id="_x0000_i1040" type="#_x0000_t75" style="width:13.25pt;height:19.4pt" o:ole="" o:preferrelative="f">
            <v:imagedata r:id="rId42" o:title=""/>
            <o:lock v:ext="edit" aspectratio="f"/>
          </v:shape>
          <o:OLEObject Type="Embed" ProgID="Equation.DSMT4" ShapeID="_x0000_i1040" DrawAspect="Content" ObjectID="_1818570605" r:id="rId43"/>
        </w:object>
      </w:r>
      <w:r w:rsidR="00C037D9" w:rsidRPr="002E55DE">
        <w:t xml:space="preserve"> through the thresholds)</w:t>
      </w:r>
      <w:r w:rsidR="00CB420D" w:rsidRPr="002E55DE">
        <w:rPr>
          <w:rFonts w:ascii="Times New Roman" w:hAnsi="Times New Roman"/>
          <w:szCs w:val="24"/>
        </w:rPr>
        <w:t>. T</w:t>
      </w:r>
      <w:r w:rsidR="00CB420D" w:rsidRPr="002E55DE">
        <w:t xml:space="preserve">he </w:t>
      </w:r>
      <w:r w:rsidR="00571A71" w:rsidRPr="002E55DE">
        <w:t>thresholds for th</w:t>
      </w:r>
      <w:r w:rsidR="00D66369" w:rsidRPr="002E55DE">
        <w:t>e</w:t>
      </w:r>
      <w:r w:rsidR="00571A71" w:rsidRPr="002E55DE">
        <w:t xml:space="preserve"> </w:t>
      </w:r>
      <w:r w:rsidR="00FB2CEB" w:rsidRPr="002E55DE">
        <w:t>second</w:t>
      </w:r>
      <w:r w:rsidR="00571A71" w:rsidRPr="002E55DE">
        <w:t xml:space="preserve"> outcome are</w:t>
      </w:r>
      <w:r w:rsidR="00571A71" w:rsidRPr="002E55DE">
        <w:rPr>
          <w:rFonts w:eastAsiaTheme="minorEastAsia"/>
          <w:noProof/>
          <w:lang w:eastAsia="ko-KR"/>
        </w:rPr>
        <w:t xml:space="preserve"> </w:t>
      </w:r>
      <w:r w:rsidR="00485D35" w:rsidRPr="002E55DE">
        <w:rPr>
          <w:noProof/>
          <w:position w:val="-12"/>
        </w:rPr>
        <w:object w:dxaOrig="900" w:dyaOrig="380" w14:anchorId="64E9D7D3">
          <v:shape id="_x0000_i1041" type="#_x0000_t75" style="width:45pt;height:19.4pt" o:ole="" o:preferrelative="f">
            <v:imagedata r:id="rId44" o:title=""/>
            <o:lock v:ext="edit" aspectratio="f"/>
          </v:shape>
          <o:OLEObject Type="Embed" ProgID="Equation.DSMT4" ShapeID="_x0000_i1041" DrawAspect="Content" ObjectID="_1818570606" r:id="rId45"/>
        </w:object>
      </w:r>
      <w:r w:rsidR="00485D35" w:rsidRPr="002E55DE">
        <w:rPr>
          <w:noProof/>
          <w:position w:val="-12"/>
        </w:rPr>
        <w:object w:dxaOrig="1960" w:dyaOrig="380" w14:anchorId="7A09AC4A">
          <v:shape id="_x0000_i1042" type="#_x0000_t75" style="width:97.6pt;height:19.4pt" o:ole="" o:preferrelative="f">
            <v:imagedata r:id="rId46" o:title=""/>
            <o:lock v:ext="edit" aspectratio="f"/>
          </v:shape>
          <o:OLEObject Type="Embed" ProgID="Equation.DSMT4" ShapeID="_x0000_i1042" DrawAspect="Content" ObjectID="_1818570607" r:id="rId47"/>
        </w:object>
      </w:r>
      <w:r w:rsidR="00571A71" w:rsidRPr="002E55DE">
        <w:t xml:space="preserve"> </w:t>
      </w:r>
      <w:r w:rsidR="00485D35" w:rsidRPr="002E55DE">
        <w:rPr>
          <w:noProof/>
          <w:position w:val="-12"/>
        </w:rPr>
        <w:object w:dxaOrig="2000" w:dyaOrig="380" w14:anchorId="60238FA3">
          <v:shape id="_x0000_i1043" type="#_x0000_t75" style="width:100.9pt;height:19.4pt" o:ole="" o:preferrelative="f">
            <v:imagedata r:id="rId48" o:title=""/>
            <o:lock v:ext="edit" aspectratio="f"/>
          </v:shape>
          <o:OLEObject Type="Embed" ProgID="Equation.DSMT4" ShapeID="_x0000_i1043" DrawAspect="Content" ObjectID="_1818570608" r:id="rId49"/>
        </w:object>
      </w:r>
      <w:r w:rsidR="00485D35" w:rsidRPr="002E55DE">
        <w:rPr>
          <w:noProof/>
          <w:position w:val="-12"/>
        </w:rPr>
        <w:object w:dxaOrig="2000" w:dyaOrig="380" w14:anchorId="4F4A4AB0">
          <v:shape id="_x0000_i1044" type="#_x0000_t75" style="width:100.9pt;height:19.4pt" o:ole="" o:preferrelative="f">
            <v:imagedata r:id="rId50" o:title=""/>
            <o:lock v:ext="edit" aspectratio="f"/>
          </v:shape>
          <o:OLEObject Type="Embed" ProgID="Equation.DSMT4" ShapeID="_x0000_i1044" DrawAspect="Content" ObjectID="_1818570609" r:id="rId51"/>
        </w:object>
      </w:r>
      <w:r w:rsidR="00571A71" w:rsidRPr="002E55DE">
        <w:t xml:space="preserve">and </w:t>
      </w:r>
      <w:r w:rsidR="00485D35" w:rsidRPr="002E55DE">
        <w:rPr>
          <w:noProof/>
          <w:position w:val="-12"/>
        </w:rPr>
        <w:object w:dxaOrig="880" w:dyaOrig="380" w14:anchorId="7020200B">
          <v:shape id="_x0000_i1045" type="#_x0000_t75" style="width:44.55pt;height:19.4pt" o:ole="" o:preferrelative="f">
            <v:imagedata r:id="rId52" o:title=""/>
            <o:lock v:ext="edit" aspectratio="f"/>
          </v:shape>
          <o:OLEObject Type="Embed" ProgID="Equation.DSMT4" ShapeID="_x0000_i1045" DrawAspect="Content" ObjectID="_1818570610" r:id="rId53"/>
        </w:object>
      </w:r>
      <w:r w:rsidR="00D66369" w:rsidRPr="002E55DE">
        <w:t xml:space="preserve"> (the thresholds for the first and third outcomes are to be estimated). </w:t>
      </w:r>
      <w:r w:rsidR="00571A71" w:rsidRPr="002E55DE">
        <w:rPr>
          <w:rFonts w:eastAsiaTheme="minorEastAsia" w:hint="eastAsia"/>
          <w:noProof/>
          <w:lang w:eastAsia="ko-KR"/>
        </w:rPr>
        <w:t xml:space="preserve"> </w:t>
      </w:r>
      <w:r w:rsidR="00571A71" w:rsidRPr="002E55DE">
        <w:rPr>
          <w:rFonts w:eastAsiaTheme="minorEastAsia"/>
          <w:noProof/>
          <w:lang w:eastAsia="ko-KR"/>
        </w:rPr>
        <w:t xml:space="preserve">The </w:t>
      </w:r>
      <w:r w:rsidR="00CB420D" w:rsidRPr="002E55DE">
        <w:t xml:space="preserve">variance of </w:t>
      </w:r>
      <w:r w:rsidR="00485D35" w:rsidRPr="002E55DE">
        <w:rPr>
          <w:noProof/>
          <w:position w:val="-12"/>
        </w:rPr>
        <w:object w:dxaOrig="260" w:dyaOrig="360" w14:anchorId="1D7B19C9">
          <v:shape id="_x0000_i1046" type="#_x0000_t75" style="width:12.8pt;height:18.45pt" o:ole="" o:preferrelative="f">
            <v:imagedata r:id="rId54" o:title=""/>
            <o:lock v:ext="edit" aspectratio="f"/>
          </v:shape>
          <o:OLEObject Type="Embed" ProgID="Equation.DSMT4" ShapeID="_x0000_i1046" DrawAspect="Content" ObjectID="_1818570611" r:id="rId55"/>
        </w:object>
      </w:r>
      <w:r w:rsidR="00CB420D" w:rsidRPr="002E55DE">
        <w:t xml:space="preserve"> </w:t>
      </w:r>
      <w:r w:rsidR="00571A71" w:rsidRPr="002E55DE">
        <w:t xml:space="preserve">(say </w:t>
      </w:r>
      <w:r w:rsidR="00485D35" w:rsidRPr="002E55DE">
        <w:rPr>
          <w:noProof/>
          <w:position w:val="-12"/>
        </w:rPr>
        <w:object w:dxaOrig="320" w:dyaOrig="380" w14:anchorId="5E0BB2DE">
          <v:shape id="_x0000_i1047" type="#_x0000_t75" style="width:16.1pt;height:19.4pt" o:ole="" o:preferrelative="f">
            <v:imagedata r:id="rId56" o:title=""/>
            <o:lock v:ext="edit" aspectratio="f"/>
          </v:shape>
          <o:OLEObject Type="Embed" ProgID="Equation.DSMT4" ShapeID="_x0000_i1047" DrawAspect="Content" ObjectID="_1818570612" r:id="rId57"/>
        </w:object>
      </w:r>
      <w:r w:rsidR="00571A71" w:rsidRPr="002E55DE">
        <w:t xml:space="preserve">) </w:t>
      </w:r>
      <w:r w:rsidR="00CB420D" w:rsidRPr="002E55DE">
        <w:t>is estimable, while the variance</w:t>
      </w:r>
      <w:r w:rsidR="00571A71" w:rsidRPr="002E55DE">
        <w:t>s</w:t>
      </w:r>
      <w:r w:rsidR="00CB420D" w:rsidRPr="002E55DE">
        <w:t xml:space="preserve"> of </w:t>
      </w:r>
      <w:r w:rsidR="00485D35" w:rsidRPr="002E55DE">
        <w:rPr>
          <w:noProof/>
          <w:position w:val="-14"/>
        </w:rPr>
        <w:object w:dxaOrig="960" w:dyaOrig="380" w14:anchorId="41C50777">
          <v:shape id="_x0000_i1048" type="#_x0000_t75" style="width:48.8pt;height:19.4pt" o:ole="" o:preferrelative="f">
            <v:imagedata r:id="rId58" o:title=""/>
            <o:lock v:ext="edit" aspectratio="f"/>
          </v:shape>
          <o:OLEObject Type="Embed" ProgID="Equation.DSMT4" ShapeID="_x0000_i1048" DrawAspect="Content" ObjectID="_1818570613" r:id="rId59"/>
        </w:object>
      </w:r>
      <w:r w:rsidR="00CB420D" w:rsidRPr="002E55DE">
        <w:t xml:space="preserve"> </w:t>
      </w:r>
      <w:r w:rsidR="00571A71" w:rsidRPr="002E55DE">
        <w:t xml:space="preserve">(for the ordered-response frequency and </w:t>
      </w:r>
      <w:r w:rsidR="00D66369" w:rsidRPr="002E55DE">
        <w:t>SC</w:t>
      </w:r>
      <w:r w:rsidR="00571A71" w:rsidRPr="002E55DE">
        <w:t xml:space="preserve"> outcomes) </w:t>
      </w:r>
      <w:r w:rsidR="00CB420D" w:rsidRPr="002E55DE">
        <w:t>are normalized to one for identification purposes</w:t>
      </w:r>
      <w:r w:rsidR="00571A71" w:rsidRPr="002E55DE">
        <w:t xml:space="preserve">. </w:t>
      </w:r>
      <w:r w:rsidRPr="002E55DE">
        <w:rPr>
          <w:rFonts w:eastAsiaTheme="minorEastAsia" w:hint="eastAsia"/>
          <w:noProof/>
          <w:lang w:eastAsia="ko-KR"/>
        </w:rPr>
        <w:t xml:space="preserve">The </w:t>
      </w:r>
      <w:r w:rsidR="00485D35" w:rsidRPr="002E55DE">
        <w:rPr>
          <w:rFonts w:ascii="Times New Roman" w:hAnsi="Times New Roman"/>
          <w:noProof/>
          <w:position w:val="-12"/>
          <w:szCs w:val="24"/>
        </w:rPr>
        <w:object w:dxaOrig="240" w:dyaOrig="360" w14:anchorId="64D753D5">
          <v:shape id="_x0000_i1049" type="#_x0000_t75" style="width:12.8pt;height:18.45pt" o:ole="" o:preferrelative="f">
            <v:imagedata r:id="rId26" o:title=""/>
            <o:lock v:ext="edit" aspectratio="f"/>
          </v:shape>
          <o:OLEObject Type="Embed" ProgID="Equation.DSMT4" ShapeID="_x0000_i1049" DrawAspect="Content" ObjectID="_1818570614" r:id="rId60"/>
        </w:object>
      </w:r>
      <w:r w:rsidRPr="002E55DE">
        <w:rPr>
          <w:rFonts w:ascii="Times New Roman" w:hAnsi="Times New Roman"/>
          <w:szCs w:val="24"/>
        </w:rPr>
        <w:t xml:space="preserve"> </w:t>
      </w:r>
      <w:r w:rsidRPr="002E55DE">
        <w:rPr>
          <w:rFonts w:eastAsiaTheme="minorEastAsia" w:hint="eastAsia"/>
          <w:noProof/>
          <w:lang w:eastAsia="ko-KR"/>
        </w:rPr>
        <w:t xml:space="preserve">terms </w:t>
      </w:r>
      <w:r w:rsidR="00BF4EDE" w:rsidRPr="002E55DE">
        <w:rPr>
          <w:rFonts w:eastAsiaTheme="minorEastAsia"/>
          <w:noProof/>
          <w:lang w:eastAsia="ko-KR"/>
        </w:rPr>
        <w:t>are</w:t>
      </w:r>
      <w:r w:rsidRPr="002E55DE">
        <w:rPr>
          <w:rFonts w:eastAsiaTheme="minorEastAsia" w:hint="eastAsia"/>
          <w:noProof/>
          <w:lang w:eastAsia="ko-KR"/>
        </w:rPr>
        <w:t xml:space="preserve"> normalized to have zero mean</w:t>
      </w:r>
      <w:r w:rsidR="00FB2CEB" w:rsidRPr="002E55DE">
        <w:rPr>
          <w:rFonts w:eastAsiaTheme="minorEastAsia"/>
          <w:noProof/>
          <w:lang w:eastAsia="ko-KR"/>
        </w:rPr>
        <w:t xml:space="preserve"> (this zero mean normalization implies that </w:t>
      </w:r>
      <w:r w:rsidR="00013084" w:rsidRPr="002E55DE">
        <w:rPr>
          <w:rFonts w:eastAsiaTheme="minorEastAsia"/>
          <w:noProof/>
          <w:lang w:eastAsia="ko-KR"/>
        </w:rPr>
        <w:t xml:space="preserve">the </w:t>
      </w:r>
      <w:r w:rsidR="00485D35" w:rsidRPr="002E55DE">
        <w:rPr>
          <w:noProof/>
          <w:position w:val="-12"/>
        </w:rPr>
        <w:object w:dxaOrig="279" w:dyaOrig="380" w14:anchorId="741E018E">
          <v:shape id="_x0000_i1050" type="#_x0000_t75" style="width:13.25pt;height:19.4pt" o:ole="" o:preferrelative="f">
            <v:imagedata r:id="rId61" o:title=""/>
            <o:lock v:ext="edit" aspectratio="f"/>
          </v:shape>
          <o:OLEObject Type="Embed" ProgID="Equation.DSMT4" ShapeID="_x0000_i1050" DrawAspect="Content" ObjectID="_1818570615" r:id="rId62"/>
        </w:object>
      </w:r>
      <w:r w:rsidR="00013084" w:rsidRPr="002E55DE">
        <w:t xml:space="preserve"> </w:t>
      </w:r>
      <w:r w:rsidR="00013084" w:rsidRPr="002E55DE">
        <w:rPr>
          <w:rFonts w:eastAsiaTheme="minorEastAsia"/>
          <w:noProof/>
          <w:lang w:eastAsia="ko-KR"/>
        </w:rPr>
        <w:t xml:space="preserve">vector element on the constant in </w:t>
      </w:r>
      <w:r w:rsidR="00485D35" w:rsidRPr="002E55DE">
        <w:rPr>
          <w:noProof/>
          <w:position w:val="-4"/>
        </w:rPr>
        <w:object w:dxaOrig="200" w:dyaOrig="200" w14:anchorId="4E24C488">
          <v:shape id="_x0000_i1051" type="#_x0000_t75" style="width:10.4pt;height:10.4pt" o:ole="">
            <v:imagedata r:id="rId63" o:title=""/>
          </v:shape>
          <o:OLEObject Type="Embed" ProgID="Equation.DSMT4" ShapeID="_x0000_i1051" DrawAspect="Content" ObjectID="_1818570616" r:id="rId64"/>
        </w:object>
      </w:r>
      <w:r w:rsidR="00013084" w:rsidRPr="002E55DE">
        <w:t xml:space="preserve"> </w:t>
      </w:r>
      <w:r w:rsidR="00013084" w:rsidRPr="002E55DE">
        <w:rPr>
          <w:rFonts w:eastAsiaTheme="minorEastAsia"/>
          <w:noProof/>
          <w:lang w:eastAsia="ko-KR"/>
        </w:rPr>
        <w:t>for the duration outcome</w:t>
      </w:r>
      <w:r w:rsidR="00013084" w:rsidRPr="002E55DE">
        <w:t xml:space="preserve"> needs to be estimated, while the corresponding </w:t>
      </w:r>
      <w:r w:rsidR="00485D35" w:rsidRPr="002E55DE">
        <w:rPr>
          <w:noProof/>
          <w:position w:val="-12"/>
        </w:rPr>
        <w:object w:dxaOrig="260" w:dyaOrig="380" w14:anchorId="25012883">
          <v:shape id="_x0000_i1052" type="#_x0000_t75" style="width:12.8pt;height:19.4pt" o:ole="" o:preferrelative="f">
            <v:imagedata r:id="rId65" o:title=""/>
            <o:lock v:ext="edit" aspectratio="f"/>
          </v:shape>
          <o:OLEObject Type="Embed" ProgID="Equation.DSMT4" ShapeID="_x0000_i1052" DrawAspect="Content" ObjectID="_1818570617" r:id="rId66"/>
        </w:object>
      </w:r>
      <w:r w:rsidR="00013084" w:rsidRPr="002E55DE">
        <w:t xml:space="preserve"> and </w:t>
      </w:r>
      <w:r w:rsidR="00485D35" w:rsidRPr="002E55DE">
        <w:rPr>
          <w:noProof/>
          <w:position w:val="-12"/>
        </w:rPr>
        <w:object w:dxaOrig="260" w:dyaOrig="380" w14:anchorId="546FBE12">
          <v:shape id="_x0000_i1053" type="#_x0000_t75" style="width:12.8pt;height:19.4pt" o:ole="" o:preferrelative="f">
            <v:imagedata r:id="rId67" o:title=""/>
            <o:lock v:ext="edit" aspectratio="f"/>
          </v:shape>
          <o:OLEObject Type="Embed" ProgID="Equation.DSMT4" ShapeID="_x0000_i1053" DrawAspect="Content" ObjectID="_1818570618" r:id="rId68"/>
        </w:object>
      </w:r>
      <w:r w:rsidR="00013084" w:rsidRPr="002E55DE">
        <w:t xml:space="preserve"> </w:t>
      </w:r>
      <w:r w:rsidR="00013084" w:rsidRPr="002E55DE">
        <w:rPr>
          <w:rFonts w:eastAsiaTheme="minorEastAsia"/>
          <w:noProof/>
          <w:lang w:eastAsia="ko-KR"/>
        </w:rPr>
        <w:t xml:space="preserve">vector elements on the constant in the </w:t>
      </w:r>
      <w:r w:rsidR="00485D35" w:rsidRPr="002E55DE">
        <w:rPr>
          <w:noProof/>
          <w:position w:val="-4"/>
        </w:rPr>
        <w:object w:dxaOrig="200" w:dyaOrig="200" w14:anchorId="5DDB9CA4">
          <v:shape id="_x0000_i1054" type="#_x0000_t75" style="width:10.4pt;height:10.4pt" o:ole="">
            <v:imagedata r:id="rId22" o:title=""/>
          </v:shape>
          <o:OLEObject Type="Embed" ProgID="Equation.DSMT4" ShapeID="_x0000_i1054" DrawAspect="Content" ObjectID="_1818570619" r:id="rId69"/>
        </w:object>
      </w:r>
      <w:r w:rsidR="00013084" w:rsidRPr="002E55DE">
        <w:t xml:space="preserve"> </w:t>
      </w:r>
      <w:r w:rsidR="00013084" w:rsidRPr="002E55DE">
        <w:rPr>
          <w:rFonts w:eastAsiaTheme="minorEastAsia"/>
          <w:noProof/>
          <w:lang w:eastAsia="ko-KR"/>
        </w:rPr>
        <w:t xml:space="preserve">vector element have to be normalized to zero, </w:t>
      </w:r>
      <w:r w:rsidR="00FB2CEB" w:rsidRPr="002E55DE">
        <w:t xml:space="preserve">because the underlying locations of </w:t>
      </w:r>
      <w:r w:rsidR="00485D35" w:rsidRPr="002E55DE">
        <w:rPr>
          <w:noProof/>
          <w:position w:val="-12"/>
        </w:rPr>
        <w:object w:dxaOrig="279" w:dyaOrig="380" w14:anchorId="5DB7DA4D">
          <v:shape id="_x0000_i1055" type="#_x0000_t75" style="width:13.25pt;height:19.4pt" o:ole="" o:preferrelative="f">
            <v:imagedata r:id="rId70" o:title=""/>
            <o:lock v:ext="edit" aspectratio="f"/>
          </v:shape>
          <o:OLEObject Type="Embed" ProgID="Equation.DSMT4" ShapeID="_x0000_i1055" DrawAspect="Content" ObjectID="_1818570620" r:id="rId71"/>
        </w:object>
      </w:r>
      <w:r w:rsidR="00FB2CEB" w:rsidRPr="002E55DE">
        <w:t xml:space="preserve"> and </w:t>
      </w:r>
      <w:r w:rsidR="00485D35" w:rsidRPr="002E55DE">
        <w:rPr>
          <w:noProof/>
          <w:position w:val="-12"/>
        </w:rPr>
        <w:object w:dxaOrig="279" w:dyaOrig="380" w14:anchorId="0CB50818">
          <v:shape id="_x0000_i1056" type="#_x0000_t75" style="width:13.25pt;height:19.4pt" o:ole="" o:preferrelative="f">
            <v:imagedata r:id="rId40" o:title=""/>
            <o:lock v:ext="edit" aspectratio="f"/>
          </v:shape>
          <o:OLEObject Type="Embed" ProgID="Equation.DSMT4" ShapeID="_x0000_i1056" DrawAspect="Content" ObjectID="_1818570621" r:id="rId72"/>
        </w:object>
      </w:r>
      <w:r w:rsidR="00FB2CEB" w:rsidRPr="002E55DE">
        <w:t xml:space="preserve"> for the ordered-response outcomes are not identifiable</w:t>
      </w:r>
      <w:r w:rsidR="00013084" w:rsidRPr="002E55DE">
        <w:t>)</w:t>
      </w:r>
      <w:r w:rsidR="00571A71" w:rsidRPr="002E55DE">
        <w:rPr>
          <w:rFonts w:eastAsiaTheme="minorEastAsia"/>
          <w:noProof/>
          <w:lang w:eastAsia="ko-KR"/>
        </w:rPr>
        <w:t>.</w:t>
      </w:r>
      <w:r w:rsidRPr="002E55DE">
        <w:rPr>
          <w:rFonts w:eastAsiaTheme="minorEastAsia" w:hint="eastAsia"/>
          <w:noProof/>
          <w:lang w:eastAsia="ko-KR"/>
        </w:rPr>
        <w:t xml:space="preserve"> The</w:t>
      </w:r>
      <w:r w:rsidR="00571A71" w:rsidRPr="002E55DE">
        <w:rPr>
          <w:rFonts w:eastAsiaTheme="minorEastAsia"/>
          <w:noProof/>
          <w:lang w:eastAsia="ko-KR"/>
        </w:rPr>
        <w:t>n</w:t>
      </w:r>
      <w:r w:rsidRPr="002E55DE">
        <w:rPr>
          <w:rFonts w:eastAsiaTheme="minorEastAsia" w:hint="eastAsia"/>
          <w:noProof/>
          <w:lang w:eastAsia="ko-KR"/>
        </w:rPr>
        <w:t xml:space="preserve">, </w:t>
      </w:r>
      <w:r w:rsidR="00485D35" w:rsidRPr="002E55DE">
        <w:rPr>
          <w:noProof/>
          <w:position w:val="-12"/>
        </w:rPr>
        <w:object w:dxaOrig="1740" w:dyaOrig="360" w14:anchorId="33B8053F">
          <v:shape id="_x0000_i1057" type="#_x0000_t75" style="width:87.15pt;height:18.45pt" o:ole="" o:preferrelative="f">
            <v:imagedata r:id="rId73" o:title=""/>
            <o:lock v:ext="edit" aspectratio="f"/>
          </v:shape>
          <o:OLEObject Type="Embed" ProgID="Equation.DSMT4" ShapeID="_x0000_i1057" DrawAspect="Content" ObjectID="_1818570622" r:id="rId74"/>
        </w:object>
      </w:r>
      <w:r w:rsidRPr="002E55DE">
        <w:t xml:space="preserve"> follow</w:t>
      </w:r>
      <w:r w:rsidR="00BF4EDE" w:rsidRPr="002E55DE">
        <w:t>s</w:t>
      </w:r>
      <w:r w:rsidRPr="002E55DE">
        <w:t xml:space="preserve"> a multivariate normal distribution with an </w:t>
      </w:r>
      <w:r w:rsidRPr="002E55DE">
        <w:rPr>
          <w:rFonts w:ascii="Times New Roman" w:hAnsi="Times New Roman"/>
          <w:szCs w:val="24"/>
        </w:rPr>
        <w:t>(</w:t>
      </w:r>
      <w:r w:rsidRPr="002E55DE">
        <w:rPr>
          <w:rFonts w:ascii="Times New Roman" w:hAnsi="Times New Roman"/>
          <w:i/>
          <w:szCs w:val="24"/>
        </w:rPr>
        <w:t>I×</w:t>
      </w:r>
      <w:r w:rsidRPr="002E55DE">
        <w:rPr>
          <w:rFonts w:ascii="Times New Roman" w:hAnsi="Times New Roman"/>
          <w:szCs w:val="24"/>
        </w:rPr>
        <w:t>1)</w:t>
      </w:r>
      <w:r w:rsidRPr="002E55DE">
        <w:rPr>
          <w:rFonts w:eastAsiaTheme="minorEastAsia" w:hint="eastAsia"/>
          <w:lang w:eastAsia="ko-KR"/>
        </w:rPr>
        <w:t xml:space="preserve"> </w:t>
      </w:r>
      <w:r w:rsidRPr="002E55DE">
        <w:t xml:space="preserve">mean vector of zeros </w:t>
      </w:r>
      <w:r w:rsidR="00485D35" w:rsidRPr="002E55DE">
        <w:rPr>
          <w:noProof/>
          <w:position w:val="-12"/>
        </w:rPr>
        <w:object w:dxaOrig="260" w:dyaOrig="360" w14:anchorId="35AE06D2">
          <v:shape id="_x0000_i1058" type="#_x0000_t75" style="width:12.8pt;height:18.45pt" o:ole="" o:preferrelative="f">
            <v:imagedata r:id="rId75" o:title=""/>
            <o:lock v:ext="edit" aspectratio="f"/>
          </v:shape>
          <o:OLEObject Type="Embed" ProgID="Equation.DSMT4" ShapeID="_x0000_i1058" DrawAspect="Content" ObjectID="_1818570623" r:id="rId76"/>
        </w:object>
      </w:r>
      <w:r w:rsidRPr="002E55DE">
        <w:t xml:space="preserve"> and an </w:t>
      </w:r>
      <w:r w:rsidRPr="002E55DE">
        <w:rPr>
          <w:rFonts w:ascii="Times New Roman" w:hAnsi="Times New Roman"/>
          <w:szCs w:val="24"/>
        </w:rPr>
        <w:t>(</w:t>
      </w:r>
      <w:r w:rsidRPr="002E55DE">
        <w:rPr>
          <w:rFonts w:ascii="Times New Roman" w:hAnsi="Times New Roman"/>
          <w:i/>
          <w:szCs w:val="24"/>
        </w:rPr>
        <w:t>I×</w:t>
      </w:r>
      <w:r w:rsidRPr="002E55DE">
        <w:rPr>
          <w:rFonts w:ascii="Times New Roman" w:hAnsi="Times New Roman"/>
          <w:i/>
          <w:iCs/>
          <w:szCs w:val="24"/>
        </w:rPr>
        <w:t>I</w:t>
      </w:r>
      <w:r w:rsidRPr="002E55DE">
        <w:rPr>
          <w:rFonts w:ascii="Times New Roman" w:hAnsi="Times New Roman"/>
          <w:szCs w:val="24"/>
        </w:rPr>
        <w:t>)</w:t>
      </w:r>
      <w:r w:rsidRPr="002E55DE">
        <w:rPr>
          <w:rFonts w:eastAsiaTheme="minorEastAsia" w:hint="eastAsia"/>
          <w:noProof/>
          <w:lang w:eastAsia="ko-KR"/>
        </w:rPr>
        <w:t xml:space="preserve"> </w:t>
      </w:r>
      <w:r w:rsidRPr="002E55DE">
        <w:rPr>
          <w:rFonts w:eastAsiaTheme="minorEastAsia"/>
          <w:noProof/>
          <w:lang w:eastAsia="ko-KR"/>
        </w:rPr>
        <w:t>covariance</w:t>
      </w:r>
      <w:r w:rsidRPr="002E55DE">
        <w:rPr>
          <w:rFonts w:eastAsiaTheme="minorEastAsia" w:hint="eastAsia"/>
          <w:noProof/>
          <w:lang w:eastAsia="ko-KR"/>
        </w:rPr>
        <w:t xml:space="preserve"> matrix</w:t>
      </w:r>
      <w:r w:rsidRPr="002E55DE">
        <w:rPr>
          <w:rFonts w:eastAsiaTheme="minorEastAsia"/>
          <w:noProof/>
          <w:lang w:eastAsia="ko-KR"/>
        </w:rPr>
        <w:t xml:space="preserve"> </w:t>
      </w:r>
      <w:r w:rsidRPr="002E55DE">
        <w:rPr>
          <w:rFonts w:ascii="Times New Roman" w:hAnsi="Times New Roman"/>
          <w:b/>
          <w:szCs w:val="24"/>
        </w:rPr>
        <w:t>Σ</w:t>
      </w:r>
      <w:r w:rsidR="00FB2CEB" w:rsidRPr="002E55DE">
        <w:rPr>
          <w:rFonts w:ascii="Times New Roman" w:hAnsi="Times New Roman"/>
          <w:bCs/>
          <w:szCs w:val="24"/>
        </w:rPr>
        <w:t xml:space="preserve">, </w:t>
      </w:r>
      <w:r w:rsidRPr="002E55DE">
        <w:rPr>
          <w:rFonts w:ascii="Times New Roman" w:hAnsi="Times New Roman"/>
          <w:bCs/>
          <w:szCs w:val="24"/>
        </w:rPr>
        <w:t>as</w:t>
      </w:r>
      <w:r w:rsidRPr="002E55DE">
        <w:rPr>
          <w:rFonts w:ascii="Times New Roman" w:hAnsi="Times New Roman"/>
          <w:b/>
          <w:szCs w:val="24"/>
        </w:rPr>
        <w:t xml:space="preserve"> </w:t>
      </w:r>
      <w:r w:rsidR="00FB2CEB" w:rsidRPr="002E55DE">
        <w:rPr>
          <w:rFonts w:ascii="Times New Roman" w:hAnsi="Times New Roman"/>
          <w:bCs/>
          <w:szCs w:val="24"/>
        </w:rPr>
        <w:t>follows</w:t>
      </w:r>
      <w:r w:rsidR="009E1BF4" w:rsidRPr="002E55DE">
        <w:rPr>
          <w:rFonts w:ascii="Times New Roman" w:hAnsi="Times New Roman"/>
          <w:bCs/>
          <w:szCs w:val="24"/>
        </w:rPr>
        <w:t xml:space="preserve"> (for our empirical application)</w:t>
      </w:r>
      <w:r w:rsidR="00FB2CEB" w:rsidRPr="002E55DE">
        <w:rPr>
          <w:rFonts w:ascii="Times New Roman" w:hAnsi="Times New Roman"/>
          <w:bCs/>
          <w:szCs w:val="24"/>
        </w:rPr>
        <w:t>:</w:t>
      </w:r>
    </w:p>
    <w:p w14:paraId="0EA6E862" w14:textId="45196CE1" w:rsidR="00D92A43" w:rsidRPr="002E55DE" w:rsidRDefault="00485D35" w:rsidP="000D4062">
      <w:pPr>
        <w:spacing w:before="60" w:after="60"/>
        <w:jc w:val="both"/>
        <w:rPr>
          <w:rFonts w:eastAsiaTheme="minorEastAsia"/>
          <w:noProof/>
          <w:lang w:eastAsia="ko-KR"/>
        </w:rPr>
      </w:pPr>
      <w:r w:rsidRPr="002E55DE">
        <w:rPr>
          <w:rFonts w:ascii="Times New Roman" w:hAnsi="Times New Roman"/>
          <w:noProof/>
          <w:position w:val="-52"/>
          <w:szCs w:val="24"/>
        </w:rPr>
        <w:object w:dxaOrig="6759" w:dyaOrig="1160" w14:anchorId="70488452">
          <v:shape id="_x0000_i1059" type="#_x0000_t75" style="width:337.25pt;height:58.75pt" o:ole="" o:preferrelative="f">
            <v:imagedata r:id="rId77" o:title=""/>
            <o:lock v:ext="edit" aspectratio="f"/>
          </v:shape>
          <o:OLEObject Type="Embed" ProgID="Equation.DSMT4" ShapeID="_x0000_i1059" DrawAspect="Content" ObjectID="_1818570624" r:id="rId78"/>
        </w:object>
      </w:r>
    </w:p>
    <w:p w14:paraId="2E1DA54D" w14:textId="166AA0B6" w:rsidR="00D92A43" w:rsidRPr="002E55DE" w:rsidRDefault="00485D35" w:rsidP="003518AB">
      <w:pPr>
        <w:jc w:val="both"/>
      </w:pPr>
      <w:r w:rsidRPr="002E55DE">
        <w:rPr>
          <w:noProof/>
          <w:position w:val="-12"/>
        </w:rPr>
        <w:object w:dxaOrig="360" w:dyaOrig="360" w14:anchorId="3760D242">
          <v:shape id="_x0000_i1060" type="#_x0000_t75" style="width:18.45pt;height:18.45pt" o:ole="">
            <v:imagedata r:id="rId79" o:title=""/>
          </v:shape>
          <o:OLEObject Type="Embed" ProgID="Equation.DSMT4" ShapeID="_x0000_i1060" DrawAspect="Content" ObjectID="_1818570625" r:id="rId80"/>
        </w:object>
      </w:r>
      <w:r w:rsidR="00D66369" w:rsidRPr="002E55DE">
        <w:t xml:space="preserve"> corresponds to the correlation in the error terms underlying the latent continuous variables between the frequency and duration outcomes, </w:t>
      </w:r>
      <w:r w:rsidRPr="002E55DE">
        <w:rPr>
          <w:noProof/>
          <w:position w:val="-12"/>
        </w:rPr>
        <w:object w:dxaOrig="340" w:dyaOrig="360" w14:anchorId="4D7F11A1">
          <v:shape id="_x0000_i1061" type="#_x0000_t75" style="width:16.6pt;height:18.45pt" o:ole="" o:preferrelative="f">
            <v:imagedata r:id="rId81" o:title=""/>
            <o:lock v:ext="edit" aspectratio="f"/>
          </v:shape>
          <o:OLEObject Type="Embed" ProgID="Equation.DSMT4" ShapeID="_x0000_i1061" DrawAspect="Content" ObjectID="_1818570626" r:id="rId82"/>
        </w:object>
      </w:r>
      <w:r w:rsidR="00D66369" w:rsidRPr="002E55DE">
        <w:t xml:space="preserve"> is the corresponding correlation between the frequency and SC outcomes, and </w:t>
      </w:r>
      <w:r w:rsidRPr="002E55DE">
        <w:rPr>
          <w:noProof/>
          <w:position w:val="-12"/>
        </w:rPr>
        <w:object w:dxaOrig="360" w:dyaOrig="360" w14:anchorId="650ADE63">
          <v:shape id="_x0000_i1062" type="#_x0000_t75" style="width:18.45pt;height:18.45pt" o:ole="">
            <v:imagedata r:id="rId83" o:title=""/>
          </v:shape>
          <o:OLEObject Type="Embed" ProgID="Equation.DSMT4" ShapeID="_x0000_i1062" DrawAspect="Content" ObjectID="_1818570627" r:id="rId84"/>
        </w:object>
      </w:r>
      <w:r w:rsidR="00F55DF2" w:rsidRPr="002E55DE">
        <w:t xml:space="preserve"> is</w:t>
      </w:r>
      <w:r w:rsidR="00D66369" w:rsidRPr="002E55DE">
        <w:t xml:space="preserve"> the corresponding correlation between the duration and SC outcomes. </w:t>
      </w:r>
      <w:r w:rsidR="00D92A43" w:rsidRPr="002E55DE">
        <w:t xml:space="preserve">Collapsing this formulation into matrix notation, let </w:t>
      </w:r>
      <w:r w:rsidRPr="002E55DE">
        <w:rPr>
          <w:noProof/>
          <w:position w:val="-12"/>
        </w:rPr>
        <w:object w:dxaOrig="1740" w:dyaOrig="360" w14:anchorId="1CF8D2A9">
          <v:shape id="_x0000_i1063" type="#_x0000_t75" style="width:87.15pt;height:18.45pt" o:ole="" o:preferrelative="f">
            <v:imagedata r:id="rId85" o:title=""/>
            <o:lock v:ext="edit" aspectratio="f"/>
          </v:shape>
          <o:OLEObject Type="Embed" ProgID="Equation.DSMT4" ShapeID="_x0000_i1063" DrawAspect="Content" ObjectID="_1818570628" r:id="rId86"/>
        </w:object>
      </w:r>
      <w:r w:rsidR="00D92A43" w:rsidRPr="002E55DE">
        <w:t xml:space="preserve"> [</w:t>
      </w:r>
      <w:r w:rsidR="00D92A43" w:rsidRPr="002E55DE">
        <w:rPr>
          <w:noProof/>
        </w:rPr>
        <w:t>(</w:t>
      </w:r>
      <w:r w:rsidR="00D92A43" w:rsidRPr="002E55DE">
        <w:rPr>
          <w:i/>
        </w:rPr>
        <w:t>I×</w:t>
      </w:r>
      <w:r w:rsidR="00D92A43" w:rsidRPr="002E55DE">
        <w:rPr>
          <w:i/>
          <w:iCs/>
        </w:rPr>
        <w:t>L</w:t>
      </w:r>
      <w:r w:rsidR="00D92A43" w:rsidRPr="002E55DE">
        <w:rPr>
          <w:noProof/>
        </w:rPr>
        <w:t>)</w:t>
      </w:r>
      <w:r w:rsidR="00D92A43" w:rsidRPr="002E55DE">
        <w:t xml:space="preserve"> </w:t>
      </w:r>
      <w:r w:rsidR="00D92A43" w:rsidRPr="002E55DE">
        <w:rPr>
          <w:noProof/>
        </w:rPr>
        <w:t xml:space="preserve">matrix]. Also, </w:t>
      </w:r>
      <w:r w:rsidR="00D92A43" w:rsidRPr="002E55DE">
        <w:t>define the vector of thresholds for each outcome variable</w:t>
      </w:r>
      <w:r w:rsidR="00D92A43" w:rsidRPr="002E55DE">
        <w:rPr>
          <w:rFonts w:eastAsiaTheme="minorEastAsia"/>
          <w:noProof/>
          <w:lang w:eastAsia="ko-KR"/>
        </w:rPr>
        <w:t xml:space="preserve"> </w:t>
      </w:r>
      <w:r w:rsidR="0048364D" w:rsidRPr="002E55DE">
        <w:rPr>
          <w:noProof/>
          <w:position w:val="-14"/>
        </w:rPr>
        <w:object w:dxaOrig="2220" w:dyaOrig="380" w14:anchorId="10B6670D">
          <v:shape id="_x0000_i1064" type="#_x0000_t75" style="width:110.85pt;height:18.45pt" o:ole="" o:preferrelative="f">
            <v:imagedata r:id="rId87" o:title=""/>
            <o:lock v:ext="edit" aspectratio="f"/>
          </v:shape>
          <o:OLEObject Type="Embed" ProgID="Equation.DSMT4" ShapeID="_x0000_i1064" DrawAspect="Content" ObjectID="_1818570629" r:id="rId88"/>
        </w:object>
      </w:r>
      <w:r w:rsidR="00D92A43" w:rsidRPr="002E55DE">
        <w:t xml:space="preserve"> and vertically stack all </w:t>
      </w:r>
      <w:r w:rsidR="0048364D" w:rsidRPr="002E55DE">
        <w:rPr>
          <w:noProof/>
          <w:position w:val="-12"/>
        </w:rPr>
        <w:object w:dxaOrig="240" w:dyaOrig="360" w14:anchorId="409C2667">
          <v:shape id="_x0000_i1065" type="#_x0000_t75" style="width:12.3pt;height:18pt" o:ole="" o:preferrelative="f">
            <v:imagedata r:id="rId89" o:title=""/>
            <o:lock v:ext="edit" aspectratio="f"/>
          </v:shape>
          <o:OLEObject Type="Embed" ProgID="Equation.DSMT4" ShapeID="_x0000_i1065" DrawAspect="Content" ObjectID="_1818570630" r:id="rId90"/>
        </w:object>
      </w:r>
      <w:r w:rsidR="009E1BF4" w:rsidRPr="002E55DE">
        <w:t xml:space="preserve"> </w:t>
      </w:r>
      <w:r w:rsidR="00D92A43" w:rsidRPr="002E55DE">
        <w:t xml:space="preserve">vectors </w:t>
      </w:r>
      <w:r w:rsidR="009E1BF4" w:rsidRPr="002E55DE">
        <w:t>for the ordered-response outcomes (</w:t>
      </w:r>
      <w:r w:rsidR="009E1BF4" w:rsidRPr="002E55DE">
        <w:rPr>
          <w:i/>
          <w:iCs/>
        </w:rPr>
        <w:t>i</w:t>
      </w:r>
      <w:r w:rsidR="009E1BF4" w:rsidRPr="002E55DE">
        <w:t xml:space="preserve">=1 and </w:t>
      </w:r>
      <w:r w:rsidR="009E1BF4" w:rsidRPr="002E55DE">
        <w:rPr>
          <w:i/>
          <w:iCs/>
        </w:rPr>
        <w:t>i</w:t>
      </w:r>
      <w:r w:rsidR="009E1BF4" w:rsidRPr="002E55DE">
        <w:t xml:space="preserve">=3 for our empirical analysis) </w:t>
      </w:r>
      <w:r w:rsidR="00D92A43" w:rsidRPr="002E55DE">
        <w:t xml:space="preserve">into a single vector </w:t>
      </w:r>
      <w:r w:rsidR="0048364D" w:rsidRPr="002E55DE">
        <w:rPr>
          <w:noProof/>
          <w:position w:val="-6"/>
        </w:rPr>
        <w:object w:dxaOrig="200" w:dyaOrig="340" w14:anchorId="417A1E9A">
          <v:shape id="_x0000_i1066" type="#_x0000_t75" style="width:10.4pt;height:17.55pt" o:ole="" o:preferrelative="f">
            <v:imagedata r:id="rId91" o:title=""/>
            <o:lock v:ext="edit" aspectratio="f"/>
          </v:shape>
          <o:OLEObject Type="Embed" ProgID="Equation.DSMT4" ShapeID="_x0000_i1066" DrawAspect="Content" ObjectID="_1818570631" r:id="rId92"/>
        </w:object>
      </w:r>
      <w:r w:rsidR="000E6840" w:rsidRPr="002E55DE">
        <w:t>.</w:t>
      </w:r>
      <w:r w:rsidR="00D92A43" w:rsidRPr="002E55DE">
        <w:t xml:space="preserve"> </w:t>
      </w:r>
      <w:r w:rsidR="00D92A43" w:rsidRPr="002E55DE">
        <w:rPr>
          <w:noProof/>
        </w:rPr>
        <w:t xml:space="preserve">Let </w:t>
      </w:r>
      <w:r w:rsidR="005C237C" w:rsidRPr="002E55DE">
        <w:rPr>
          <w:noProof/>
        </w:rPr>
        <w:t xml:space="preserve">the </w:t>
      </w:r>
      <w:r w:rsidR="00D92A43" w:rsidRPr="002E55DE">
        <w:rPr>
          <w:noProof/>
        </w:rPr>
        <w:t xml:space="preserve">individual under consideration </w:t>
      </w:r>
      <w:r w:rsidR="00E1138F" w:rsidRPr="002E55DE">
        <w:rPr>
          <w:noProof/>
        </w:rPr>
        <w:t xml:space="preserve">select level </w:t>
      </w:r>
      <w:r w:rsidR="00D92A43" w:rsidRPr="002E55DE">
        <w:rPr>
          <w:i/>
          <w:iCs/>
          <w:noProof/>
        </w:rPr>
        <w:t>k</w:t>
      </w:r>
      <w:r w:rsidR="00D92A43" w:rsidRPr="002E55DE">
        <w:rPr>
          <w:i/>
          <w:iCs/>
          <w:noProof/>
          <w:vertAlign w:val="subscript"/>
        </w:rPr>
        <w:t>i</w:t>
      </w:r>
      <w:r w:rsidR="00D92A43" w:rsidRPr="002E55DE">
        <w:rPr>
          <w:noProof/>
        </w:rPr>
        <w:t xml:space="preserve"> (</w:t>
      </w:r>
      <w:r w:rsidR="00D92A43" w:rsidRPr="002E55DE">
        <w:rPr>
          <w:i/>
          <w:iCs/>
          <w:noProof/>
        </w:rPr>
        <w:t>i</w:t>
      </w:r>
      <w:r w:rsidR="00D92A43" w:rsidRPr="002E55DE">
        <w:rPr>
          <w:noProof/>
        </w:rPr>
        <w:t xml:space="preserve"> = 1,2,.., </w:t>
      </w:r>
      <w:r w:rsidR="00D92A43" w:rsidRPr="002E55DE">
        <w:rPr>
          <w:i/>
          <w:iCs/>
          <w:noProof/>
        </w:rPr>
        <w:t>I</w:t>
      </w:r>
      <w:r w:rsidR="00D92A43" w:rsidRPr="002E55DE">
        <w:rPr>
          <w:noProof/>
        </w:rPr>
        <w:t>).</w:t>
      </w:r>
      <w:r w:rsidR="00D92A43" w:rsidRPr="002E55DE">
        <w:t xml:space="preserve"> </w:t>
      </w:r>
      <w:r w:rsidR="009E1BF4" w:rsidRPr="002E55DE">
        <w:rPr>
          <w:noProof/>
        </w:rPr>
        <w:t>S</w:t>
      </w:r>
      <w:r w:rsidR="00D92A43" w:rsidRPr="002E55DE">
        <w:rPr>
          <w:noProof/>
        </w:rPr>
        <w:t xml:space="preserve">tack the lower thresholds </w:t>
      </w:r>
      <w:r w:rsidR="0048364D" w:rsidRPr="002E55DE">
        <w:rPr>
          <w:noProof/>
          <w:position w:val="-18"/>
        </w:rPr>
        <w:object w:dxaOrig="540" w:dyaOrig="420" w14:anchorId="04F4C3FA">
          <v:shape id="_x0000_i1067" type="#_x0000_t75" style="width:27.45pt;height:20.85pt" o:ole="" o:preferrelative="f">
            <v:imagedata r:id="rId93" o:title=""/>
            <o:lock v:ext="edit" aspectratio="f"/>
          </v:shape>
          <o:OLEObject Type="Embed" ProgID="Equation.DSMT4" ShapeID="_x0000_i1067" DrawAspect="Content" ObjectID="_1818570632" r:id="rId94"/>
        </w:object>
      </w:r>
      <w:r w:rsidR="00D92A43" w:rsidRPr="002E55DE">
        <w:t xml:space="preserve"> </w:t>
      </w:r>
      <w:r w:rsidR="00D92A43" w:rsidRPr="002E55DE">
        <w:rPr>
          <w:noProof/>
        </w:rPr>
        <w:t>corresponding to the observed values of the individual into an (</w:t>
      </w:r>
      <w:r w:rsidR="00D92A43" w:rsidRPr="002E55DE">
        <w:rPr>
          <w:i/>
        </w:rPr>
        <w:t>I×</w:t>
      </w:r>
      <w:r w:rsidR="00D92A43" w:rsidRPr="002E55DE">
        <w:t>1</w:t>
      </w:r>
      <w:r w:rsidR="00D92A43" w:rsidRPr="002E55DE">
        <w:rPr>
          <w:noProof/>
        </w:rPr>
        <w:t>)</w:t>
      </w:r>
      <w:r w:rsidR="00D92A43" w:rsidRPr="002E55DE">
        <w:t xml:space="preserve"> </w:t>
      </w:r>
      <w:r w:rsidR="00D92A43" w:rsidRPr="002E55DE">
        <w:rPr>
          <w:noProof/>
        </w:rPr>
        <w:t xml:space="preserve">vector </w:t>
      </w:r>
      <w:r w:rsidR="0048364D" w:rsidRPr="002E55DE">
        <w:rPr>
          <w:noProof/>
          <w:position w:val="-12"/>
        </w:rPr>
        <w:object w:dxaOrig="480" w:dyaOrig="360" w14:anchorId="3D0F12FB">
          <v:shape id="_x0000_i1068" type="#_x0000_t75" style="width:23.7pt;height:18pt" o:ole="" o:preferrelative="f">
            <v:imagedata r:id="rId95" o:title=""/>
            <o:lock v:ext="edit" aspectratio="f"/>
          </v:shape>
          <o:OLEObject Type="Embed" ProgID="Equation.DSMT4" ShapeID="_x0000_i1068" DrawAspect="Content" ObjectID="_1818570633" r:id="rId96"/>
        </w:object>
      </w:r>
      <w:r w:rsidR="00D92A43" w:rsidRPr="002E55DE">
        <w:rPr>
          <w:noProof/>
          <w:position w:val="-12"/>
        </w:rPr>
        <w:t xml:space="preserve"> </w:t>
      </w:r>
      <w:r w:rsidR="00D92A43" w:rsidRPr="002E55DE">
        <w:rPr>
          <w:noProof/>
        </w:rPr>
        <w:t xml:space="preserve">and the upper thresholds </w:t>
      </w:r>
      <w:r w:rsidRPr="002E55DE">
        <w:rPr>
          <w:noProof/>
          <w:position w:val="-18"/>
        </w:rPr>
        <w:object w:dxaOrig="400" w:dyaOrig="420" w14:anchorId="0657F3C4">
          <v:shape id="_x0000_i1069" type="#_x0000_t75" style="width:20.35pt;height:20.85pt" o:ole="" o:preferrelative="f">
            <v:imagedata r:id="rId97" o:title=""/>
            <o:lock v:ext="edit" aspectratio="f"/>
          </v:shape>
          <o:OLEObject Type="Embed" ProgID="Equation.DSMT4" ShapeID="_x0000_i1069" DrawAspect="Content" ObjectID="_1818570634" r:id="rId98"/>
        </w:object>
      </w:r>
      <w:r w:rsidR="00D92A43" w:rsidRPr="002E55DE">
        <w:t xml:space="preserve"> </w:t>
      </w:r>
      <w:r w:rsidR="00D92A43" w:rsidRPr="002E55DE">
        <w:rPr>
          <w:noProof/>
        </w:rPr>
        <w:t>into another (</w:t>
      </w:r>
      <w:r w:rsidR="00D92A43" w:rsidRPr="002E55DE">
        <w:rPr>
          <w:i/>
        </w:rPr>
        <w:t>I×</w:t>
      </w:r>
      <w:r w:rsidR="00D92A43" w:rsidRPr="002E55DE">
        <w:t>1</w:t>
      </w:r>
      <w:r w:rsidR="00D92A43" w:rsidRPr="002E55DE">
        <w:rPr>
          <w:noProof/>
        </w:rPr>
        <w:t>)</w:t>
      </w:r>
      <w:r w:rsidR="00D92A43" w:rsidRPr="002E55DE">
        <w:t xml:space="preserve"> </w:t>
      </w:r>
      <w:r w:rsidR="00D92A43" w:rsidRPr="002E55DE">
        <w:rPr>
          <w:noProof/>
        </w:rPr>
        <w:t xml:space="preserve">vector </w:t>
      </w:r>
      <w:r w:rsidR="0048364D" w:rsidRPr="002E55DE">
        <w:rPr>
          <w:noProof/>
          <w:position w:val="-14"/>
        </w:rPr>
        <w:object w:dxaOrig="520" w:dyaOrig="380" w14:anchorId="772F4BBD">
          <v:shape id="_x0000_i1070" type="#_x0000_t75" style="width:25.6pt;height:18.45pt" o:ole="" o:preferrelative="f">
            <v:imagedata r:id="rId99" o:title=""/>
            <o:lock v:ext="edit" aspectratio="f"/>
          </v:shape>
          <o:OLEObject Type="Embed" ProgID="Equation.DSMT4" ShapeID="_x0000_i1070" DrawAspect="Content" ObjectID="_1818570635" r:id="rId100"/>
        </w:object>
      </w:r>
      <w:r w:rsidR="00D92A43" w:rsidRPr="002E55DE">
        <w:rPr>
          <w:noProof/>
        </w:rPr>
        <w:t xml:space="preserve"> </w:t>
      </w:r>
      <w:r w:rsidR="009E1BF4" w:rsidRPr="002E55DE">
        <w:rPr>
          <w:noProof/>
        </w:rPr>
        <w:t xml:space="preserve">Also, stack the </w:t>
      </w:r>
      <w:r w:rsidRPr="002E55DE">
        <w:rPr>
          <w:noProof/>
          <w:position w:val="-12"/>
        </w:rPr>
        <w:object w:dxaOrig="279" w:dyaOrig="380" w14:anchorId="05B44514">
          <v:shape id="_x0000_i1071" type="#_x0000_t75" style="width:13.25pt;height:19.4pt" o:ole="" o:preferrelative="f">
            <v:imagedata r:id="rId101" o:title=""/>
            <o:lock v:ext="edit" aspectratio="f"/>
          </v:shape>
          <o:OLEObject Type="Embed" ProgID="Equation.DSMT4" ShapeID="_x0000_i1071" DrawAspect="Content" ObjectID="_1818570636" r:id="rId102"/>
        </w:object>
      </w:r>
      <w:r w:rsidR="009E1BF4" w:rsidRPr="002E55DE">
        <w:rPr>
          <w:noProof/>
        </w:rPr>
        <w:t xml:space="preserve"> latent variables into an (</w:t>
      </w:r>
      <w:r w:rsidR="009E1BF4" w:rsidRPr="002E55DE">
        <w:rPr>
          <w:rFonts w:ascii="Times New Roman" w:hAnsi="Times New Roman"/>
          <w:i/>
          <w:szCs w:val="24"/>
        </w:rPr>
        <w:t>I×</w:t>
      </w:r>
      <w:r w:rsidR="009E1BF4" w:rsidRPr="002E55DE">
        <w:rPr>
          <w:rFonts w:ascii="Times New Roman" w:hAnsi="Times New Roman"/>
          <w:szCs w:val="24"/>
        </w:rPr>
        <w:t>1)</w:t>
      </w:r>
      <w:r w:rsidR="009E1BF4" w:rsidRPr="002E55DE">
        <w:rPr>
          <w:noProof/>
        </w:rPr>
        <w:t xml:space="preserve"> vector </w:t>
      </w:r>
      <w:r w:rsidRPr="002E55DE">
        <w:rPr>
          <w:noProof/>
          <w:position w:val="-12"/>
        </w:rPr>
        <w:object w:dxaOrig="279" w:dyaOrig="380" w14:anchorId="4BF3E4B2">
          <v:shape id="_x0000_i1072" type="#_x0000_t75" style="width:13.25pt;height:19.4pt" o:ole="" o:preferrelative="f">
            <v:imagedata r:id="rId103" o:title=""/>
            <o:lock v:ext="edit" aspectratio="f"/>
          </v:shape>
          <o:OLEObject Type="Embed" ProgID="Equation.DSMT4" ShapeID="_x0000_i1072" DrawAspect="Content" ObjectID="_1818570637" r:id="rId104"/>
        </w:object>
      </w:r>
      <w:r w:rsidR="009E1BF4" w:rsidRPr="002E55DE">
        <w:t xml:space="preserve">. </w:t>
      </w:r>
      <w:r w:rsidR="00D92A43" w:rsidRPr="002E55DE">
        <w:rPr>
          <w:noProof/>
        </w:rPr>
        <w:t>Then, in matrix form</w:t>
      </w:r>
      <w:r w:rsidR="009E1BF4" w:rsidRPr="002E55DE">
        <w:rPr>
          <w:noProof/>
        </w:rPr>
        <w:t>,</w:t>
      </w:r>
      <w:r w:rsidR="005C237C" w:rsidRPr="002E55DE">
        <w:rPr>
          <w:noProof/>
        </w:rPr>
        <w:t xml:space="preserve"> </w:t>
      </w:r>
      <w:r w:rsidR="00D92A43" w:rsidRPr="002E55DE">
        <w:rPr>
          <w:noProof/>
        </w:rPr>
        <w:t xml:space="preserve">the latent propensities underlying the </w:t>
      </w:r>
      <w:r w:rsidR="009E1BF4" w:rsidRPr="002E55DE">
        <w:rPr>
          <w:noProof/>
        </w:rPr>
        <w:t xml:space="preserve">observed </w:t>
      </w:r>
      <w:r w:rsidR="00D92A43" w:rsidRPr="002E55DE">
        <w:rPr>
          <w:noProof/>
        </w:rPr>
        <w:t>multivariate outcome</w:t>
      </w:r>
      <w:r w:rsidR="009E1BF4" w:rsidRPr="002E55DE">
        <w:rPr>
          <w:noProof/>
        </w:rPr>
        <w:t xml:space="preserve"> for </w:t>
      </w:r>
      <w:r w:rsidR="005C237C" w:rsidRPr="002E55DE">
        <w:rPr>
          <w:noProof/>
        </w:rPr>
        <w:t xml:space="preserve">the </w:t>
      </w:r>
      <w:r w:rsidR="009E1BF4" w:rsidRPr="002E55DE">
        <w:rPr>
          <w:noProof/>
        </w:rPr>
        <w:t xml:space="preserve">individual should satisfy </w:t>
      </w:r>
      <w:r w:rsidR="00D92A43" w:rsidRPr="002E55DE">
        <w:rPr>
          <w:noProof/>
        </w:rPr>
        <w:t>:</w:t>
      </w:r>
    </w:p>
    <w:p w14:paraId="45361CB5" w14:textId="70C98232" w:rsidR="00D92A43" w:rsidRPr="002E55DE" w:rsidRDefault="00485D35" w:rsidP="000D4062">
      <w:pPr>
        <w:tabs>
          <w:tab w:val="right" w:pos="9360"/>
        </w:tabs>
        <w:spacing w:before="120" w:after="120"/>
        <w:jc w:val="both"/>
      </w:pPr>
      <w:r w:rsidRPr="002E55DE">
        <w:rPr>
          <w:noProof/>
          <w:position w:val="-12"/>
        </w:rPr>
        <w:object w:dxaOrig="1160" w:dyaOrig="380" w14:anchorId="6C7991EF">
          <v:shape id="_x0000_i1073" type="#_x0000_t75" style="width:58.75pt;height:19.4pt" o:ole="" o:preferrelative="f">
            <v:imagedata r:id="rId105" o:title=""/>
            <o:lock v:ext="edit" aspectratio="f"/>
          </v:shape>
          <o:OLEObject Type="Embed" ProgID="Equation.DSMT4" ShapeID="_x0000_i1073" DrawAspect="Content" ObjectID="_1818570638" r:id="rId106"/>
        </w:object>
      </w:r>
      <w:r w:rsidR="00D92A43" w:rsidRPr="002E55DE">
        <w:t xml:space="preserve">, </w:t>
      </w:r>
      <w:r w:rsidRPr="002E55DE">
        <w:rPr>
          <w:noProof/>
          <w:position w:val="-14"/>
        </w:rPr>
        <w:object w:dxaOrig="1500" w:dyaOrig="400" w14:anchorId="0EE07CD5">
          <v:shape id="_x0000_i1074" type="#_x0000_t75" style="width:75.8pt;height:20.35pt" o:ole="" o:preferrelative="f">
            <v:imagedata r:id="rId107" o:title=""/>
            <o:lock v:ext="edit" aspectratio="f"/>
          </v:shape>
          <o:OLEObject Type="Embed" ProgID="Equation.DSMT4" ShapeID="_x0000_i1074" DrawAspect="Content" ObjectID="_1818570639" r:id="rId108"/>
        </w:object>
      </w:r>
      <w:r w:rsidR="00D92A43" w:rsidRPr="002E55DE">
        <w:t xml:space="preserve">,  where </w:t>
      </w:r>
      <w:r w:rsidRPr="002E55DE">
        <w:rPr>
          <w:noProof/>
          <w:position w:val="-12"/>
        </w:rPr>
        <w:object w:dxaOrig="1900" w:dyaOrig="380" w14:anchorId="5521A65C">
          <v:shape id="_x0000_i1075" type="#_x0000_t75" style="width:95.2pt;height:19.4pt" o:ole="" o:preferrelative="f">
            <v:imagedata r:id="rId109" o:title=""/>
            <o:lock v:ext="edit" aspectratio="f"/>
          </v:shape>
          <o:OLEObject Type="Embed" ProgID="Equation.DSMT4" ShapeID="_x0000_i1075" DrawAspect="Content" ObjectID="_1818570640" r:id="rId110"/>
        </w:object>
      </w:r>
      <w:r w:rsidR="00D92A43" w:rsidRPr="002E55DE">
        <w:t>.</w:t>
      </w:r>
      <w:r w:rsidR="00D92A43" w:rsidRPr="002E55DE">
        <w:rPr>
          <w:noProof/>
        </w:rPr>
        <w:t xml:space="preserve">  </w:t>
      </w:r>
      <w:r w:rsidR="00D92A43" w:rsidRPr="002E55DE">
        <w:rPr>
          <w:noProof/>
        </w:rPr>
        <w:tab/>
        <w:t xml:space="preserve">  (2)</w:t>
      </w:r>
    </w:p>
    <w:p w14:paraId="47F82E5C" w14:textId="7B414411" w:rsidR="00D92A43" w:rsidRPr="002E55DE" w:rsidRDefault="00D92A43" w:rsidP="003518AB">
      <w:pPr>
        <w:ind w:firstLine="720"/>
        <w:jc w:val="both"/>
      </w:pPr>
      <w:r w:rsidRPr="002E55DE">
        <w:t xml:space="preserve">Lastly, define a vector </w:t>
      </w:r>
      <w:r w:rsidR="00485D35" w:rsidRPr="002E55DE">
        <w:rPr>
          <w:noProof/>
          <w:position w:val="-6"/>
        </w:rPr>
        <w:object w:dxaOrig="200" w:dyaOrig="279" w14:anchorId="40CB1F50">
          <v:shape id="_x0000_i1076" type="#_x0000_t75" style="width:10.4pt;height:13.25pt" o:ole="" o:preferrelative="f">
            <v:imagedata r:id="rId111" o:title=""/>
            <o:lock v:ext="edit" aspectratio="f"/>
          </v:shape>
          <o:OLEObject Type="Embed" ProgID="Equation.DSMT4" ShapeID="_x0000_i1076" DrawAspect="Content" ObjectID="_1818570641" r:id="rId112"/>
        </w:object>
      </w:r>
      <w:r w:rsidRPr="002E55DE">
        <w:t xml:space="preserve"> </w:t>
      </w:r>
      <w:r w:rsidRPr="002E55DE">
        <w:rPr>
          <w:noProof/>
        </w:rPr>
        <w:t xml:space="preserve">that holds the collection of parameters to be estimated: </w:t>
      </w:r>
      <w:r w:rsidR="0048364D" w:rsidRPr="002E55DE">
        <w:rPr>
          <w:noProof/>
          <w:position w:val="-26"/>
        </w:rPr>
        <w:object w:dxaOrig="3540" w:dyaOrig="740" w14:anchorId="704B9061">
          <v:shape id="_x0000_i1077" type="#_x0000_t75" style="width:177.15pt;height:36.45pt" o:ole="" o:preferrelative="f">
            <v:imagedata r:id="rId113" o:title=""/>
            <o:lock v:ext="edit" aspectratio="f"/>
          </v:shape>
          <o:OLEObject Type="Embed" ProgID="Equation.DSMT4" ShapeID="_x0000_i1077" DrawAspect="Content" ObjectID="_1818570642" r:id="rId114"/>
        </w:object>
      </w:r>
      <w:r w:rsidRPr="002E55DE">
        <w:t xml:space="preserve"> </w:t>
      </w:r>
      <w:r w:rsidRPr="002E55DE">
        <w:rPr>
          <w:noProof/>
        </w:rPr>
        <w:t>where the operator “Vech(.)”</w:t>
      </w:r>
      <w:r w:rsidRPr="002E55DE">
        <w:t xml:space="preserve"> row-</w:t>
      </w:r>
      <w:r w:rsidRPr="002E55DE">
        <w:rPr>
          <w:noProof/>
        </w:rPr>
        <w:t xml:space="preserve">vectorizes all the non-zero elements of the matrix/vector on which it operates, and the operator Vechup(.) </w:t>
      </w:r>
      <w:r w:rsidRPr="002E55DE">
        <w:t xml:space="preserve">row-vectorizes the </w:t>
      </w:r>
      <w:r w:rsidRPr="002E55DE">
        <w:lastRenderedPageBreak/>
        <w:t xml:space="preserve">(estimable) upper diagonal elements of a matrix. </w:t>
      </w:r>
      <w:r w:rsidRPr="002E55DE">
        <w:rPr>
          <w:noProof/>
        </w:rPr>
        <w:t>Then the likelihood function of a single individual may be written as:</w:t>
      </w:r>
    </w:p>
    <w:p w14:paraId="17175AC3" w14:textId="37D16E6D" w:rsidR="00D92A43" w:rsidRPr="002E55DE" w:rsidRDefault="0048364D" w:rsidP="009E3EB3">
      <w:pPr>
        <w:tabs>
          <w:tab w:val="right" w:pos="9360"/>
        </w:tabs>
        <w:spacing w:before="120"/>
        <w:jc w:val="both"/>
        <w:rPr>
          <w:noProof/>
        </w:rPr>
      </w:pPr>
      <w:r w:rsidRPr="002E55DE">
        <w:rPr>
          <w:noProof/>
          <w:position w:val="-16"/>
        </w:rPr>
        <w:object w:dxaOrig="2799" w:dyaOrig="440" w14:anchorId="1DEEDDB7">
          <v:shape id="_x0000_i1078" type="#_x0000_t75" style="width:139.75pt;height:22.25pt" o:ole="" o:preferrelative="f">
            <v:imagedata r:id="rId115" o:title=""/>
            <o:lock v:ext="edit" aspectratio="f"/>
          </v:shape>
          <o:OLEObject Type="Embed" ProgID="Equation.DSMT4" ShapeID="_x0000_i1078" DrawAspect="Content" ObjectID="_1818570643" r:id="rId116"/>
        </w:object>
      </w:r>
      <w:r w:rsidR="00D92A43" w:rsidRPr="002E55DE">
        <w:rPr>
          <w:noProof/>
        </w:rPr>
        <w:t xml:space="preserve">                                 </w:t>
      </w:r>
      <w:r w:rsidR="00D92A43" w:rsidRPr="002E55DE">
        <w:rPr>
          <w:noProof/>
          <w:lang w:eastAsia="zh-CN"/>
        </w:rPr>
        <w:t xml:space="preserve">                                 </w:t>
      </w:r>
      <w:r w:rsidR="00D92A43" w:rsidRPr="002E55DE">
        <w:rPr>
          <w:b/>
          <w:noProof/>
        </w:rPr>
        <w:tab/>
        <w:t xml:space="preserve">   </w:t>
      </w:r>
    </w:p>
    <w:p w14:paraId="7601AE6C" w14:textId="387131E2" w:rsidR="00D92A43" w:rsidRPr="002E55DE" w:rsidRDefault="0048364D" w:rsidP="003518AB">
      <w:pPr>
        <w:jc w:val="both"/>
      </w:pPr>
      <w:r w:rsidRPr="002E55DE">
        <w:rPr>
          <w:noProof/>
          <w:position w:val="-34"/>
        </w:rPr>
        <w:object w:dxaOrig="2480" w:dyaOrig="620" w14:anchorId="6FBC6E59">
          <v:shape id="_x0000_i1079" type="#_x0000_t75" style="width:123.65pt;height:31.25pt" o:ole="" o:preferrelative="f">
            <v:imagedata r:id="rId117" o:title=""/>
            <o:lock v:ext="edit" aspectratio="f"/>
          </v:shape>
          <o:OLEObject Type="Embed" ProgID="Equation.DSMT4" ShapeID="_x0000_i1079" DrawAspect="Content" ObjectID="_1818570644" r:id="rId118"/>
        </w:object>
      </w:r>
      <w:r w:rsidR="00D92A43" w:rsidRPr="002E55DE">
        <w:tab/>
      </w:r>
      <w:r w:rsidR="00D92A43" w:rsidRPr="002E55DE">
        <w:tab/>
      </w:r>
      <w:r w:rsidR="00D92A43" w:rsidRPr="002E55DE">
        <w:tab/>
      </w:r>
      <w:r w:rsidR="00D92A43" w:rsidRPr="002E55DE">
        <w:tab/>
      </w:r>
      <w:r w:rsidR="00D92A43" w:rsidRPr="002E55DE">
        <w:tab/>
      </w:r>
      <w:r w:rsidR="00D92A43" w:rsidRPr="002E55DE">
        <w:tab/>
      </w:r>
      <w:r w:rsidR="00D92A43" w:rsidRPr="002E55DE">
        <w:tab/>
      </w:r>
      <w:r w:rsidR="00D92A43" w:rsidRPr="002E55DE">
        <w:tab/>
      </w:r>
      <w:r w:rsidR="00D92A43" w:rsidRPr="002E55DE">
        <w:tab/>
        <w:t xml:space="preserve">       </w:t>
      </w:r>
      <w:r w:rsidR="00D92A43" w:rsidRPr="002E55DE">
        <w:rPr>
          <w:noProof/>
        </w:rPr>
        <w:t>(3)</w:t>
      </w:r>
    </w:p>
    <w:p w14:paraId="75C1D6A5" w14:textId="613D9AB6" w:rsidR="00D92A43" w:rsidRPr="002E55DE" w:rsidRDefault="00D92A43" w:rsidP="003518AB">
      <w:pPr>
        <w:jc w:val="both"/>
        <w:rPr>
          <w:rFonts w:ascii="Times New Roman" w:hAnsi="Times New Roman"/>
          <w:noProof/>
        </w:rPr>
      </w:pPr>
      <w:r w:rsidRPr="002E55DE">
        <w:rPr>
          <w:noProof/>
        </w:rPr>
        <w:t xml:space="preserve">where the integration domain </w:t>
      </w:r>
      <w:r w:rsidR="00485D35" w:rsidRPr="002E55DE">
        <w:rPr>
          <w:noProof/>
          <w:position w:val="-14"/>
        </w:rPr>
        <w:object w:dxaOrig="2340" w:dyaOrig="380" w14:anchorId="2AE2475E">
          <v:shape id="_x0000_i1080" type="#_x0000_t75" style="width:117pt;height:19.4pt" o:ole="" o:preferrelative="f">
            <v:imagedata r:id="rId119" o:title=""/>
            <o:lock v:ext="edit" aspectratio="f"/>
          </v:shape>
          <o:OLEObject Type="Embed" ProgID="Equation.DSMT4" ShapeID="_x0000_i1080" DrawAspect="Content" ObjectID="_1818570645" r:id="rId120"/>
        </w:object>
      </w:r>
      <w:r w:rsidRPr="002E55DE">
        <w:rPr>
          <w:noProof/>
        </w:rPr>
        <w:t xml:space="preserve"> is simply the multivariate region of the </w:t>
      </w:r>
      <w:r w:rsidR="00485D35" w:rsidRPr="002E55DE">
        <w:rPr>
          <w:noProof/>
          <w:position w:val="-12"/>
        </w:rPr>
        <w:object w:dxaOrig="279" w:dyaOrig="380" w14:anchorId="45D89E84">
          <v:shape id="_x0000_i1081" type="#_x0000_t75" style="width:13.25pt;height:19.4pt" o:ole="" o:preferrelative="f">
            <v:imagedata r:id="rId121" o:title=""/>
            <o:lock v:ext="edit" aspectratio="f"/>
          </v:shape>
          <o:OLEObject Type="Embed" ProgID="Equation.DSMT4" ShapeID="_x0000_i1081" DrawAspect="Content" ObjectID="_1818570646" r:id="rId122"/>
        </w:object>
      </w:r>
      <w:r w:rsidRPr="002E55DE">
        <w:t xml:space="preserve"> v</w:t>
      </w:r>
      <w:r w:rsidRPr="002E55DE">
        <w:rPr>
          <w:noProof/>
        </w:rPr>
        <w:t xml:space="preserve">ector determined by the upper and lower thresholds. </w:t>
      </w:r>
      <w:r w:rsidR="00485D35" w:rsidRPr="002E55DE">
        <w:rPr>
          <w:noProof/>
          <w:position w:val="-12"/>
        </w:rPr>
        <w:object w:dxaOrig="1240" w:dyaOrig="360" w14:anchorId="2245FEBA">
          <v:shape id="_x0000_i1082" type="#_x0000_t75" style="width:61.6pt;height:18.45pt" o:ole="" o:preferrelative="f">
            <v:imagedata r:id="rId123" o:title=""/>
            <o:lock v:ext="edit" aspectratio="f"/>
          </v:shape>
          <o:OLEObject Type="Embed" ProgID="Equation.DSMT4" ShapeID="_x0000_i1082" DrawAspect="Content" ObjectID="_1818570647" r:id="rId124"/>
        </w:object>
      </w:r>
      <w:r w:rsidRPr="002E55DE">
        <w:t xml:space="preserve"> </w:t>
      </w:r>
      <w:r w:rsidRPr="002E55DE">
        <w:rPr>
          <w:noProof/>
        </w:rPr>
        <w:t xml:space="preserve">is the MVN density function of </w:t>
      </w:r>
      <w:r w:rsidRPr="002E55DE">
        <w:rPr>
          <w:rFonts w:ascii="Times New Roman" w:hAnsi="Times New Roman"/>
          <w:noProof/>
        </w:rPr>
        <w:t xml:space="preserve">dimension </w:t>
      </w:r>
      <w:r w:rsidRPr="002E55DE">
        <w:rPr>
          <w:rFonts w:ascii="Times New Roman" w:hAnsi="Times New Roman"/>
          <w:i/>
          <w:iCs/>
          <w:noProof/>
        </w:rPr>
        <w:t>I</w:t>
      </w:r>
      <w:r w:rsidRPr="002E55DE">
        <w:rPr>
          <w:rFonts w:ascii="Times New Roman" w:hAnsi="Times New Roman"/>
          <w:noProof/>
        </w:rPr>
        <w:t xml:space="preserve"> with a mean of </w:t>
      </w:r>
      <w:r w:rsidR="00485D35" w:rsidRPr="002E55DE">
        <w:rPr>
          <w:rFonts w:ascii="Times New Roman" w:hAnsi="Times New Roman"/>
          <w:noProof/>
          <w:position w:val="-10"/>
        </w:rPr>
        <w:object w:dxaOrig="360" w:dyaOrig="320" w14:anchorId="033B6532">
          <v:shape id="_x0000_i1083" type="#_x0000_t75" style="width:18.45pt;height:16.1pt" o:ole="" o:preferrelative="f">
            <v:imagedata r:id="rId125" o:title=""/>
            <o:lock v:ext="edit" aspectratio="f"/>
          </v:shape>
          <o:OLEObject Type="Embed" ProgID="Equation.DSMT4" ShapeID="_x0000_i1083" DrawAspect="Content" ObjectID="_1818570648" r:id="rId126"/>
        </w:object>
      </w:r>
      <w:r w:rsidRPr="002E55DE">
        <w:rPr>
          <w:rFonts w:ascii="Times New Roman" w:hAnsi="Times New Roman"/>
        </w:rPr>
        <w:t xml:space="preserve"> </w:t>
      </w:r>
      <w:r w:rsidRPr="002E55DE">
        <w:rPr>
          <w:rFonts w:ascii="Times New Roman" w:hAnsi="Times New Roman"/>
          <w:noProof/>
        </w:rPr>
        <w:t>and a correlation matrix</w:t>
      </w:r>
      <w:r w:rsidRPr="002E55DE">
        <w:rPr>
          <w:rFonts w:ascii="Times New Roman" w:hAnsi="Times New Roman"/>
        </w:rPr>
        <w:t xml:space="preserve"> </w:t>
      </w:r>
      <w:r w:rsidR="00485D35" w:rsidRPr="002E55DE">
        <w:rPr>
          <w:rFonts w:ascii="Times New Roman" w:hAnsi="Times New Roman"/>
          <w:noProof/>
          <w:position w:val="-4"/>
        </w:rPr>
        <w:object w:dxaOrig="240" w:dyaOrig="260" w14:anchorId="1ABE7D7E">
          <v:shape id="_x0000_i1084" type="#_x0000_t75" style="width:12.8pt;height:12.8pt" o:ole="" o:preferrelative="f">
            <v:imagedata r:id="rId127" o:title=""/>
            <o:lock v:ext="edit" aspectratio="f"/>
          </v:shape>
          <o:OLEObject Type="Embed" ProgID="Equation.DSMT4" ShapeID="_x0000_i1084" DrawAspect="Content" ObjectID="_1818570649" r:id="rId128"/>
        </w:object>
      </w:r>
      <w:r w:rsidRPr="002E55DE">
        <w:rPr>
          <w:rFonts w:ascii="Times New Roman" w:hAnsi="Times New Roman"/>
          <w:noProof/>
        </w:rPr>
        <w:t xml:space="preserve">. </w:t>
      </w:r>
      <w:r w:rsidR="00A774E1" w:rsidRPr="002E55DE">
        <w:rPr>
          <w:rFonts w:ascii="Times New Roman" w:hAnsi="Times New Roman"/>
          <w:noProof/>
        </w:rPr>
        <w:t xml:space="preserve">A maximum likelihood inference approach is used in estimation. The log-likelihood function for a sample of </w:t>
      </w:r>
      <w:r w:rsidR="00A774E1" w:rsidRPr="002E55DE">
        <w:rPr>
          <w:rFonts w:ascii="Times New Roman" w:hAnsi="Times New Roman"/>
          <w:i/>
          <w:iCs/>
          <w:noProof/>
        </w:rPr>
        <w:t>Q</w:t>
      </w:r>
      <w:r w:rsidR="00A774E1" w:rsidRPr="002E55DE">
        <w:rPr>
          <w:rFonts w:ascii="Times New Roman" w:hAnsi="Times New Roman"/>
          <w:noProof/>
        </w:rPr>
        <w:t xml:space="preserve"> decision-makers is obtained as the sum of the individual-level log-likelihood functions.  </w:t>
      </w:r>
    </w:p>
    <w:p w14:paraId="4BFFA076" w14:textId="77777777" w:rsidR="00CF0E17" w:rsidRPr="002E55DE" w:rsidRDefault="00CF0E17" w:rsidP="003518AB">
      <w:pPr>
        <w:jc w:val="both"/>
        <w:rPr>
          <w:rFonts w:ascii="Times New Roman" w:hAnsi="Times New Roman"/>
        </w:rPr>
      </w:pPr>
    </w:p>
    <w:p w14:paraId="1058103E" w14:textId="6AEE7F51" w:rsidR="00745536" w:rsidRPr="002E55DE" w:rsidRDefault="00815C61" w:rsidP="00BE402A">
      <w:pPr>
        <w:pStyle w:val="Heading1"/>
        <w:tabs>
          <w:tab w:val="left" w:pos="3240"/>
        </w:tabs>
        <w:spacing w:line="240" w:lineRule="auto"/>
        <w:contextualSpacing w:val="0"/>
        <w:rPr>
          <w:caps/>
          <w:lang w:eastAsia="ko-KR"/>
        </w:rPr>
      </w:pPr>
      <w:r w:rsidRPr="002E55DE">
        <w:rPr>
          <w:caps/>
          <w:lang w:eastAsia="ko-KR"/>
        </w:rPr>
        <w:t xml:space="preserve">Empirical </w:t>
      </w:r>
      <w:r w:rsidR="00745536" w:rsidRPr="002E55DE">
        <w:rPr>
          <w:caps/>
          <w:lang w:eastAsia="ko-KR"/>
        </w:rPr>
        <w:t>Result</w:t>
      </w:r>
      <w:r w:rsidRPr="002E55DE">
        <w:rPr>
          <w:caps/>
          <w:lang w:eastAsia="ko-KR"/>
        </w:rPr>
        <w:t>s</w:t>
      </w:r>
      <w:r w:rsidR="00FE2150" w:rsidRPr="002E55DE">
        <w:rPr>
          <w:caps/>
          <w:lang w:eastAsia="ko-KR"/>
        </w:rPr>
        <w:t xml:space="preserve"> And DISCUSSION</w:t>
      </w:r>
    </w:p>
    <w:p w14:paraId="593CDE15" w14:textId="0E32A0B6" w:rsidR="00FB1558" w:rsidRPr="002E55DE" w:rsidRDefault="00E572BA" w:rsidP="003518AB">
      <w:pPr>
        <w:jc w:val="both"/>
      </w:pPr>
      <w:r w:rsidRPr="002E55DE">
        <w:rPr>
          <w:rFonts w:ascii="Times New Roman" w:hAnsi="Times New Roman"/>
          <w:lang w:eastAsia="ko-KR"/>
        </w:rPr>
        <w:t xml:space="preserve">This section </w:t>
      </w:r>
      <w:r w:rsidR="00CF4B4C" w:rsidRPr="002E55DE">
        <w:rPr>
          <w:rFonts w:ascii="Times New Roman" w:hAnsi="Times New Roman"/>
          <w:lang w:eastAsia="ko-KR"/>
        </w:rPr>
        <w:t>presents</w:t>
      </w:r>
      <w:r w:rsidRPr="002E55DE">
        <w:rPr>
          <w:rFonts w:ascii="Times New Roman" w:hAnsi="Times New Roman"/>
          <w:lang w:eastAsia="ko-KR"/>
        </w:rPr>
        <w:t xml:space="preserve"> the model estimation results for </w:t>
      </w:r>
      <w:r w:rsidR="00CF4B4C" w:rsidRPr="002E55DE">
        <w:rPr>
          <w:rFonts w:ascii="Times New Roman" w:hAnsi="Times New Roman"/>
          <w:lang w:eastAsia="ko-KR"/>
        </w:rPr>
        <w:t>the three outcomes of interest in the study</w:t>
      </w:r>
      <w:r w:rsidRPr="002E55DE">
        <w:rPr>
          <w:rFonts w:ascii="Times New Roman" w:hAnsi="Times New Roman"/>
          <w:lang w:eastAsia="ko-KR"/>
        </w:rPr>
        <w:t xml:space="preserve">. </w:t>
      </w:r>
      <w:r w:rsidR="00CF4B4C" w:rsidRPr="002E55DE">
        <w:rPr>
          <w:rFonts w:ascii="Times New Roman" w:hAnsi="Times New Roman"/>
          <w:lang w:eastAsia="ko-KR"/>
        </w:rPr>
        <w:t xml:space="preserve">A variety of </w:t>
      </w:r>
      <w:r w:rsidRPr="002E55DE">
        <w:rPr>
          <w:rFonts w:ascii="Times New Roman" w:hAnsi="Times New Roman"/>
          <w:lang w:eastAsia="ko-KR"/>
        </w:rPr>
        <w:t>functional forms and combinations for the explanatory variables were examined, with the final model selection based on statistical significance</w:t>
      </w:r>
      <w:r w:rsidR="00CF4B4C" w:rsidRPr="002E55DE">
        <w:rPr>
          <w:rFonts w:ascii="Times New Roman" w:hAnsi="Times New Roman"/>
          <w:lang w:eastAsia="ko-KR"/>
        </w:rPr>
        <w:t xml:space="preserve"> </w:t>
      </w:r>
      <w:r w:rsidRPr="002E55DE">
        <w:rPr>
          <w:rFonts w:ascii="Times New Roman" w:hAnsi="Times New Roman"/>
          <w:lang w:eastAsia="ko-KR"/>
        </w:rPr>
        <w:t xml:space="preserve">and parsimony considerations. Table 4 presents the estimation results. In Table 4, a positive coefficient for an exogenous variable indicates that individuals with the corresponding characteristic </w:t>
      </w:r>
      <w:r w:rsidR="00143523" w:rsidRPr="002E55DE">
        <w:rPr>
          <w:rFonts w:ascii="Times New Roman" w:hAnsi="Times New Roman"/>
          <w:lang w:eastAsia="ko-KR"/>
        </w:rPr>
        <w:t xml:space="preserve">have a higher propensity to </w:t>
      </w:r>
      <w:r w:rsidRPr="002E55DE">
        <w:rPr>
          <w:rFonts w:ascii="Times New Roman" w:hAnsi="Times New Roman"/>
          <w:lang w:eastAsia="ko-KR"/>
        </w:rPr>
        <w:t xml:space="preserve">walk frequently, have longer walking </w:t>
      </w:r>
      <w:r w:rsidR="00143523" w:rsidRPr="002E55DE">
        <w:rPr>
          <w:rFonts w:ascii="Times New Roman" w:hAnsi="Times New Roman"/>
          <w:lang w:eastAsia="ko-KR"/>
        </w:rPr>
        <w:t>durations</w:t>
      </w:r>
      <w:r w:rsidRPr="002E55DE">
        <w:rPr>
          <w:rFonts w:ascii="Times New Roman" w:hAnsi="Times New Roman"/>
          <w:lang w:eastAsia="ko-KR"/>
        </w:rPr>
        <w:t xml:space="preserve">, </w:t>
      </w:r>
      <w:r w:rsidR="00143523" w:rsidRPr="002E55DE">
        <w:rPr>
          <w:rFonts w:ascii="Times New Roman" w:hAnsi="Times New Roman"/>
          <w:lang w:eastAsia="ko-KR"/>
        </w:rPr>
        <w:t>and</w:t>
      </w:r>
      <w:r w:rsidRPr="002E55DE">
        <w:rPr>
          <w:rFonts w:ascii="Times New Roman" w:hAnsi="Times New Roman"/>
          <w:lang w:eastAsia="ko-KR"/>
        </w:rPr>
        <w:t xml:space="preserve"> </w:t>
      </w:r>
      <w:r w:rsidR="006C43F0" w:rsidRPr="002E55DE">
        <w:rPr>
          <w:rFonts w:ascii="Times New Roman" w:hAnsi="Times New Roman"/>
          <w:lang w:eastAsia="ko-KR"/>
        </w:rPr>
        <w:t xml:space="preserve">have a higher propensity to </w:t>
      </w:r>
      <w:r w:rsidRPr="002E55DE">
        <w:rPr>
          <w:rFonts w:ascii="Times New Roman" w:hAnsi="Times New Roman"/>
          <w:lang w:eastAsia="ko-KR"/>
        </w:rPr>
        <w:t>walk with oth</w:t>
      </w:r>
      <w:r w:rsidR="006C43F0" w:rsidRPr="002E55DE">
        <w:rPr>
          <w:rFonts w:ascii="Times New Roman" w:hAnsi="Times New Roman"/>
          <w:lang w:eastAsia="ko-KR"/>
        </w:rPr>
        <w:t>ers</w:t>
      </w:r>
      <w:r w:rsidRPr="002E55DE">
        <w:rPr>
          <w:rFonts w:ascii="Times New Roman" w:hAnsi="Times New Roman"/>
          <w:lang w:eastAsia="ko-KR"/>
        </w:rPr>
        <w:t xml:space="preserve">. Conversely, a negative coefficient suggests that individuals with higher levels of that exogenous variable </w:t>
      </w:r>
      <w:r w:rsidR="00143523" w:rsidRPr="002E55DE">
        <w:rPr>
          <w:rFonts w:ascii="Times New Roman" w:hAnsi="Times New Roman"/>
          <w:lang w:eastAsia="ko-KR"/>
        </w:rPr>
        <w:t xml:space="preserve">have a lower </w:t>
      </w:r>
      <w:r w:rsidR="006C43F0" w:rsidRPr="002E55DE">
        <w:rPr>
          <w:rFonts w:ascii="Times New Roman" w:hAnsi="Times New Roman"/>
          <w:lang w:eastAsia="ko-KR"/>
        </w:rPr>
        <w:t xml:space="preserve">inclination </w:t>
      </w:r>
      <w:r w:rsidRPr="002E55DE">
        <w:rPr>
          <w:rFonts w:ascii="Times New Roman" w:hAnsi="Times New Roman"/>
          <w:lang w:eastAsia="ko-KR"/>
        </w:rPr>
        <w:t xml:space="preserve">to </w:t>
      </w:r>
      <w:r w:rsidR="00143523" w:rsidRPr="002E55DE">
        <w:rPr>
          <w:rFonts w:ascii="Times New Roman" w:hAnsi="Times New Roman"/>
          <w:lang w:eastAsia="ko-KR"/>
        </w:rPr>
        <w:t xml:space="preserve">walk frequently, have shorter walking duration, and </w:t>
      </w:r>
      <w:r w:rsidR="00840C8D" w:rsidRPr="002E55DE">
        <w:rPr>
          <w:rFonts w:ascii="Times New Roman" w:hAnsi="Times New Roman"/>
          <w:lang w:eastAsia="ko-KR"/>
        </w:rPr>
        <w:t xml:space="preserve">have </w:t>
      </w:r>
      <w:r w:rsidR="006C43F0" w:rsidRPr="002E55DE">
        <w:rPr>
          <w:rFonts w:ascii="Times New Roman" w:hAnsi="Times New Roman"/>
          <w:lang w:eastAsia="ko-KR"/>
        </w:rPr>
        <w:t xml:space="preserve">a lower inclination to </w:t>
      </w:r>
      <w:r w:rsidRPr="002E55DE">
        <w:rPr>
          <w:rFonts w:ascii="Times New Roman" w:hAnsi="Times New Roman"/>
          <w:lang w:eastAsia="ko-KR"/>
        </w:rPr>
        <w:t xml:space="preserve">engage in </w:t>
      </w:r>
      <w:r w:rsidR="00143523" w:rsidRPr="002E55DE">
        <w:rPr>
          <w:rFonts w:ascii="Times New Roman" w:hAnsi="Times New Roman"/>
          <w:lang w:eastAsia="ko-KR"/>
        </w:rPr>
        <w:t>walking with other</w:t>
      </w:r>
      <w:r w:rsidR="00840C8D" w:rsidRPr="002E55DE">
        <w:rPr>
          <w:rFonts w:ascii="Times New Roman" w:hAnsi="Times New Roman"/>
          <w:lang w:eastAsia="ko-KR"/>
        </w:rPr>
        <w:t>s</w:t>
      </w:r>
      <w:r w:rsidR="00143523" w:rsidRPr="002E55DE">
        <w:rPr>
          <w:rFonts w:ascii="Times New Roman" w:hAnsi="Times New Roman"/>
          <w:lang w:eastAsia="ko-KR"/>
        </w:rPr>
        <w:t xml:space="preserve">. </w:t>
      </w:r>
      <w:r w:rsidRPr="002E55DE">
        <w:rPr>
          <w:rFonts w:ascii="Times New Roman" w:eastAsiaTheme="minorEastAsia" w:hAnsi="Times New Roman"/>
          <w:lang w:eastAsia="ko-KR"/>
        </w:rPr>
        <w:t>A “--” in Table 4 is used to signify that a variable is not statistically significant</w:t>
      </w:r>
      <w:r w:rsidR="00143523" w:rsidRPr="002E55DE">
        <w:rPr>
          <w:rFonts w:ascii="Times New Roman" w:eastAsiaTheme="minorEastAsia" w:hAnsi="Times New Roman"/>
          <w:lang w:eastAsia="ko-KR"/>
        </w:rPr>
        <w:t xml:space="preserve"> at the 95% confidence level</w:t>
      </w:r>
      <w:r w:rsidRPr="002E55DE">
        <w:rPr>
          <w:rFonts w:ascii="Times New Roman" w:eastAsiaTheme="minorEastAsia" w:hAnsi="Times New Roman"/>
          <w:lang w:eastAsia="ko-KR"/>
        </w:rPr>
        <w:t xml:space="preserve">. Note that the values reported in the “Thresholds” panel for frequency and companionship in Table 4 do not have any substantive interpretations on their own. These thresholds serve solely as a mapping mechanism to translate the underlying propensity to the actual observed ordinal category. For duration, the thresholds are fixed </w:t>
      </w:r>
      <w:r w:rsidR="00E1138F" w:rsidRPr="002E55DE">
        <w:rPr>
          <w:rFonts w:ascii="Times New Roman" w:eastAsiaTheme="minorEastAsia" w:hAnsi="Times New Roman"/>
          <w:lang w:eastAsia="ko-KR"/>
        </w:rPr>
        <w:t>based on</w:t>
      </w:r>
      <w:r w:rsidRPr="002E55DE">
        <w:rPr>
          <w:rFonts w:ascii="Times New Roman" w:eastAsiaTheme="minorEastAsia" w:hAnsi="Times New Roman"/>
          <w:lang w:eastAsia="ko-KR"/>
        </w:rPr>
        <w:t xml:space="preserve"> the brackets provided in the survey, as discussed in </w:t>
      </w:r>
      <w:r w:rsidR="00840C8D" w:rsidRPr="002E55DE">
        <w:rPr>
          <w:rFonts w:ascii="Times New Roman" w:eastAsiaTheme="minorEastAsia" w:hAnsi="Times New Roman"/>
          <w:lang w:eastAsia="ko-KR"/>
        </w:rPr>
        <w:t>S</w:t>
      </w:r>
      <w:r w:rsidRPr="002E55DE">
        <w:rPr>
          <w:rFonts w:ascii="Times New Roman" w:eastAsiaTheme="minorEastAsia" w:hAnsi="Times New Roman"/>
          <w:lang w:eastAsia="ko-KR"/>
        </w:rPr>
        <w:t>ection 3.4. Additionally, the duration model includes a constant term</w:t>
      </w:r>
      <w:r w:rsidR="00143523" w:rsidRPr="002E55DE">
        <w:rPr>
          <w:rFonts w:ascii="Times New Roman" w:eastAsiaTheme="minorEastAsia" w:hAnsi="Times New Roman"/>
          <w:lang w:eastAsia="ko-KR"/>
        </w:rPr>
        <w:t xml:space="preserve">, as discussed earlier. </w:t>
      </w:r>
      <w:r w:rsidR="00FB5103" w:rsidRPr="002E55DE">
        <w:rPr>
          <w:rFonts w:ascii="Times New Roman" w:eastAsiaTheme="minorEastAsia" w:hAnsi="Times New Roman"/>
          <w:lang w:eastAsia="ko-KR"/>
        </w:rPr>
        <w:t xml:space="preserve">Technically speaking, the coefficients in Table 4 correspond to the effects of exogenous variables (and the endogenous SC and walk frequency effects) on the logarithm of duration, but, for presentation ease, we will refer to ln(duration) simply as duration in the interpretation of results. </w:t>
      </w:r>
      <w:r w:rsidR="00BF1EFF" w:rsidRPr="002E55DE">
        <w:rPr>
          <w:rFonts w:ascii="Times New Roman" w:eastAsiaTheme="minorEastAsia" w:hAnsi="Times New Roman"/>
          <w:lang w:eastAsia="ko-KR"/>
        </w:rPr>
        <w:t>Finally, the effects of exogenous variables on the frequency dimensions reflect direct effects after accounting for any indirect effects of the variables through the SC dimension, while the effects for the duration dimension reflect direct effects after accounting for the mediating effects through the SC and frequency dimensions.</w:t>
      </w:r>
      <w:r w:rsidR="00BF1EFF" w:rsidRPr="002E55DE">
        <w:rPr>
          <w:rFonts w:eastAsiaTheme="minorEastAsia"/>
          <w:lang w:eastAsia="ko-KR"/>
        </w:rPr>
        <w:t xml:space="preserve"> </w:t>
      </w:r>
      <w:r w:rsidR="00BB1459" w:rsidRPr="002E55DE">
        <w:br w:type="page"/>
      </w:r>
      <w:r w:rsidR="00E83F5C" w:rsidRPr="002E55DE">
        <w:rPr>
          <w:rFonts w:eastAsiaTheme="minorEastAsia"/>
          <w:b/>
          <w:bCs/>
          <w:lang w:eastAsia="ko-KR"/>
        </w:rPr>
        <w:lastRenderedPageBreak/>
        <w:t xml:space="preserve">Table </w:t>
      </w:r>
      <w:r w:rsidR="0069321A" w:rsidRPr="002E55DE">
        <w:rPr>
          <w:rFonts w:eastAsiaTheme="minorEastAsia" w:hint="eastAsia"/>
          <w:b/>
          <w:bCs/>
          <w:lang w:eastAsia="ko-KR"/>
        </w:rPr>
        <w:t>4</w:t>
      </w:r>
      <w:r w:rsidR="00E83F5C" w:rsidRPr="002E55DE">
        <w:rPr>
          <w:rFonts w:eastAsiaTheme="minorEastAsia"/>
          <w:b/>
          <w:bCs/>
          <w:lang w:eastAsia="ko-KR"/>
        </w:rPr>
        <w:t xml:space="preserve">. Estimates </w:t>
      </w:r>
      <w:r w:rsidR="00AA7404" w:rsidRPr="002E55DE">
        <w:rPr>
          <w:rFonts w:eastAsiaTheme="minorEastAsia"/>
          <w:b/>
          <w:bCs/>
          <w:lang w:eastAsia="ko-KR"/>
        </w:rPr>
        <w:t>of Exogenous Variables on Outcome Variables</w:t>
      </w:r>
    </w:p>
    <w:tbl>
      <w:tblPr>
        <w:tblW w:w="5000" w:type="pct"/>
        <w:tblCellMar>
          <w:left w:w="0" w:type="dxa"/>
          <w:right w:w="43" w:type="dxa"/>
        </w:tblCellMar>
        <w:tblLook w:val="04A0" w:firstRow="1" w:lastRow="0" w:firstColumn="1" w:lastColumn="0" w:noHBand="0" w:noVBand="1"/>
      </w:tblPr>
      <w:tblGrid>
        <w:gridCol w:w="3632"/>
        <w:gridCol w:w="1028"/>
        <w:gridCol w:w="821"/>
        <w:gridCol w:w="1029"/>
        <w:gridCol w:w="1030"/>
        <w:gridCol w:w="889"/>
        <w:gridCol w:w="885"/>
      </w:tblGrid>
      <w:tr w:rsidR="002E55DE" w:rsidRPr="002E55DE" w14:paraId="646E45DE" w14:textId="5A95090E" w:rsidTr="00261282">
        <w:trPr>
          <w:trHeight w:val="144"/>
          <w:tblHeader/>
        </w:trPr>
        <w:tc>
          <w:tcPr>
            <w:tcW w:w="1950" w:type="pct"/>
            <w:vMerge w:val="restart"/>
            <w:tcBorders>
              <w:top w:val="single" w:sz="18" w:space="0" w:color="auto"/>
              <w:left w:val="single" w:sz="18" w:space="0" w:color="auto"/>
              <w:right w:val="single" w:sz="12" w:space="0" w:color="auto"/>
            </w:tcBorders>
            <w:tcMar>
              <w:top w:w="30" w:type="dxa"/>
              <w:left w:w="45" w:type="dxa"/>
              <w:bottom w:w="30" w:type="dxa"/>
              <w:right w:w="45" w:type="dxa"/>
            </w:tcMar>
            <w:vAlign w:val="center"/>
            <w:hideMark/>
          </w:tcPr>
          <w:p w14:paraId="333F8805" w14:textId="77777777" w:rsidR="00FE4593" w:rsidRPr="002E55DE" w:rsidRDefault="00FE4593" w:rsidP="00CB454F">
            <w:pPr>
              <w:rPr>
                <w:rFonts w:ascii="Times New Roman" w:eastAsia="Times New Roman" w:hAnsi="Times New Roman"/>
                <w:b/>
                <w:bCs/>
                <w:sz w:val="20"/>
              </w:rPr>
            </w:pPr>
            <w:bookmarkStart w:id="40" w:name="_Hlk162532869"/>
            <w:r w:rsidRPr="002E55DE">
              <w:rPr>
                <w:rFonts w:ascii="Times New Roman" w:eastAsia="Times New Roman" w:hAnsi="Times New Roman"/>
                <w:b/>
                <w:bCs/>
                <w:sz w:val="20"/>
              </w:rPr>
              <w:t>Exogenous variables (base)</w:t>
            </w:r>
          </w:p>
        </w:tc>
        <w:tc>
          <w:tcPr>
            <w:tcW w:w="993" w:type="pct"/>
            <w:gridSpan w:val="2"/>
            <w:tcBorders>
              <w:top w:val="single" w:sz="18" w:space="0" w:color="auto"/>
              <w:left w:val="single" w:sz="12" w:space="0" w:color="auto"/>
              <w:bottom w:val="single" w:sz="6" w:space="0" w:color="auto"/>
              <w:right w:val="single" w:sz="12" w:space="0" w:color="auto"/>
            </w:tcBorders>
            <w:tcMar>
              <w:top w:w="30" w:type="dxa"/>
              <w:left w:w="45" w:type="dxa"/>
              <w:bottom w:w="30" w:type="dxa"/>
              <w:right w:w="45" w:type="dxa"/>
            </w:tcMar>
            <w:vAlign w:val="center"/>
            <w:hideMark/>
          </w:tcPr>
          <w:p w14:paraId="2751FC1D" w14:textId="397D5041" w:rsidR="00FE4593" w:rsidRPr="002E55DE" w:rsidRDefault="00FE4593" w:rsidP="0015667B">
            <w:pPr>
              <w:jc w:val="center"/>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Frequency</w:t>
            </w:r>
          </w:p>
        </w:tc>
        <w:tc>
          <w:tcPr>
            <w:tcW w:w="1105" w:type="pct"/>
            <w:gridSpan w:val="2"/>
            <w:tcBorders>
              <w:top w:val="single" w:sz="18" w:space="0" w:color="auto"/>
              <w:left w:val="single" w:sz="12" w:space="0" w:color="auto"/>
              <w:bottom w:val="single" w:sz="6" w:space="0" w:color="auto"/>
              <w:right w:val="single" w:sz="12" w:space="0" w:color="auto"/>
            </w:tcBorders>
            <w:tcMar>
              <w:top w:w="30" w:type="dxa"/>
              <w:left w:w="45" w:type="dxa"/>
              <w:bottom w:w="30" w:type="dxa"/>
              <w:right w:w="45" w:type="dxa"/>
            </w:tcMar>
            <w:vAlign w:val="center"/>
            <w:hideMark/>
          </w:tcPr>
          <w:p w14:paraId="0F41A547" w14:textId="036AC03D" w:rsidR="00FE4593" w:rsidRPr="002E55DE" w:rsidRDefault="00FB5103">
            <w:pPr>
              <w:jc w:val="center"/>
              <w:rPr>
                <w:rFonts w:ascii="Times New Roman" w:eastAsiaTheme="minorEastAsia" w:hAnsi="Times New Roman"/>
                <w:b/>
                <w:bCs/>
                <w:sz w:val="20"/>
                <w:lang w:eastAsia="ko-KR"/>
              </w:rPr>
            </w:pPr>
            <w:r w:rsidRPr="002E55DE">
              <w:rPr>
                <w:rFonts w:ascii="Times New Roman" w:eastAsiaTheme="minorEastAsia" w:hAnsi="Times New Roman"/>
                <w:b/>
                <w:bCs/>
                <w:sz w:val="20"/>
                <w:lang w:eastAsia="ko-KR"/>
              </w:rPr>
              <w:t>Ln(</w:t>
            </w:r>
            <w:r w:rsidR="009C3C33" w:rsidRPr="002E55DE">
              <w:rPr>
                <w:rFonts w:ascii="Times New Roman" w:eastAsiaTheme="minorEastAsia" w:hAnsi="Times New Roman"/>
                <w:b/>
                <w:bCs/>
                <w:sz w:val="20"/>
                <w:lang w:eastAsia="ko-KR"/>
              </w:rPr>
              <w:t>Duration</w:t>
            </w:r>
            <w:r w:rsidRPr="002E55DE">
              <w:rPr>
                <w:rFonts w:ascii="Times New Roman" w:eastAsiaTheme="minorEastAsia" w:hAnsi="Times New Roman"/>
                <w:b/>
                <w:bCs/>
                <w:sz w:val="20"/>
                <w:lang w:eastAsia="ko-KR"/>
              </w:rPr>
              <w:t>)</w:t>
            </w:r>
          </w:p>
        </w:tc>
        <w:tc>
          <w:tcPr>
            <w:tcW w:w="952" w:type="pct"/>
            <w:gridSpan w:val="2"/>
            <w:tcBorders>
              <w:top w:val="single" w:sz="18" w:space="0" w:color="auto"/>
              <w:left w:val="single" w:sz="12" w:space="0" w:color="auto"/>
              <w:bottom w:val="single" w:sz="6" w:space="0" w:color="auto"/>
              <w:right w:val="single" w:sz="18" w:space="0" w:color="auto"/>
            </w:tcBorders>
            <w:vAlign w:val="center"/>
          </w:tcPr>
          <w:p w14:paraId="22894BEF" w14:textId="7703C6F9" w:rsidR="00FE4593" w:rsidRPr="002E55DE" w:rsidRDefault="00287DD8">
            <w:pPr>
              <w:jc w:val="center"/>
              <w:rPr>
                <w:rFonts w:ascii="Times New Roman" w:eastAsiaTheme="minorEastAsia" w:hAnsi="Times New Roman"/>
                <w:b/>
                <w:bCs/>
                <w:sz w:val="20"/>
                <w:lang w:eastAsia="ko-KR"/>
              </w:rPr>
            </w:pPr>
            <w:r w:rsidRPr="002E55DE">
              <w:rPr>
                <w:rFonts w:ascii="Times New Roman" w:eastAsiaTheme="minorEastAsia" w:hAnsi="Times New Roman"/>
                <w:b/>
                <w:bCs/>
                <w:sz w:val="20"/>
                <w:lang w:eastAsia="ko-KR"/>
              </w:rPr>
              <w:t xml:space="preserve">Social </w:t>
            </w:r>
            <w:r w:rsidR="009C3C33" w:rsidRPr="002E55DE">
              <w:rPr>
                <w:rFonts w:ascii="Times New Roman" w:eastAsiaTheme="minorEastAsia" w:hAnsi="Times New Roman"/>
                <w:b/>
                <w:bCs/>
                <w:sz w:val="20"/>
                <w:lang w:eastAsia="ko-KR"/>
              </w:rPr>
              <w:t>C</w:t>
            </w:r>
            <w:r w:rsidR="00AF02F2" w:rsidRPr="002E55DE">
              <w:rPr>
                <w:rFonts w:ascii="Times New Roman" w:eastAsiaTheme="minorEastAsia" w:hAnsi="Times New Roman"/>
                <w:b/>
                <w:bCs/>
                <w:sz w:val="20"/>
                <w:lang w:eastAsia="ko-KR"/>
              </w:rPr>
              <w:t>ompanionship</w:t>
            </w:r>
          </w:p>
        </w:tc>
      </w:tr>
      <w:tr w:rsidR="002E55DE" w:rsidRPr="002E55DE" w14:paraId="3DDD723F" w14:textId="5B7B215E" w:rsidTr="00261282">
        <w:trPr>
          <w:trHeight w:val="144"/>
        </w:trPr>
        <w:tc>
          <w:tcPr>
            <w:tcW w:w="1950" w:type="pct"/>
            <w:vMerge/>
            <w:tcBorders>
              <w:left w:val="single" w:sz="18" w:space="0" w:color="auto"/>
              <w:bottom w:val="single" w:sz="12" w:space="0" w:color="auto"/>
              <w:right w:val="single" w:sz="12" w:space="0" w:color="auto"/>
            </w:tcBorders>
            <w:vAlign w:val="center"/>
            <w:hideMark/>
          </w:tcPr>
          <w:p w14:paraId="757B54E0" w14:textId="77777777" w:rsidR="00FE4593" w:rsidRPr="002E55DE" w:rsidRDefault="00FE4593" w:rsidP="00FE4593">
            <w:pPr>
              <w:rPr>
                <w:rFonts w:ascii="Times New Roman" w:eastAsia="Times New Roman" w:hAnsi="Times New Roman"/>
                <w:b/>
                <w:bCs/>
                <w:sz w:val="20"/>
              </w:rPr>
            </w:pPr>
          </w:p>
        </w:tc>
        <w:tc>
          <w:tcPr>
            <w:tcW w:w="552" w:type="pct"/>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hideMark/>
          </w:tcPr>
          <w:p w14:paraId="1773FF8D" w14:textId="77777777" w:rsidR="00FE4593" w:rsidRPr="002E55DE" w:rsidRDefault="00FE4593" w:rsidP="00FE4593">
            <w:pPr>
              <w:jc w:val="center"/>
              <w:rPr>
                <w:rFonts w:ascii="Times New Roman" w:eastAsia="Times New Roman" w:hAnsi="Times New Roman"/>
                <w:sz w:val="20"/>
              </w:rPr>
            </w:pPr>
            <w:r w:rsidRPr="002E55DE">
              <w:rPr>
                <w:rFonts w:ascii="Times New Roman" w:eastAsia="Times New Roman" w:hAnsi="Times New Roman"/>
                <w:sz w:val="20"/>
              </w:rPr>
              <w:t>Coef.</w:t>
            </w:r>
          </w:p>
        </w:tc>
        <w:tc>
          <w:tcPr>
            <w:tcW w:w="441" w:type="pct"/>
            <w:tcBorders>
              <w:top w:val="single" w:sz="6" w:space="0" w:color="auto"/>
              <w:left w:val="single" w:sz="6" w:space="0" w:color="auto"/>
              <w:bottom w:val="single" w:sz="12" w:space="0" w:color="auto"/>
              <w:right w:val="single" w:sz="12" w:space="0" w:color="auto"/>
            </w:tcBorders>
            <w:tcMar>
              <w:top w:w="30" w:type="dxa"/>
              <w:left w:w="45" w:type="dxa"/>
              <w:bottom w:w="30" w:type="dxa"/>
              <w:right w:w="45" w:type="dxa"/>
            </w:tcMar>
            <w:hideMark/>
          </w:tcPr>
          <w:p w14:paraId="581F8688" w14:textId="77777777" w:rsidR="00FE4593" w:rsidRPr="002E55DE" w:rsidRDefault="00FE4593" w:rsidP="00FE4593">
            <w:pPr>
              <w:jc w:val="center"/>
              <w:rPr>
                <w:rFonts w:ascii="Times New Roman" w:eastAsia="Times New Roman" w:hAnsi="Times New Roman"/>
                <w:sz w:val="20"/>
              </w:rPr>
            </w:pPr>
            <w:r w:rsidRPr="002E55DE">
              <w:rPr>
                <w:rFonts w:ascii="Times New Roman" w:eastAsia="Times New Roman" w:hAnsi="Times New Roman"/>
                <w:sz w:val="20"/>
              </w:rPr>
              <w:t>t-stat</w:t>
            </w:r>
          </w:p>
        </w:tc>
        <w:tc>
          <w:tcPr>
            <w:tcW w:w="552" w:type="pct"/>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hideMark/>
          </w:tcPr>
          <w:p w14:paraId="4C790618" w14:textId="77777777" w:rsidR="00FE4593" w:rsidRPr="002E55DE" w:rsidRDefault="00FE4593" w:rsidP="00FE4593">
            <w:pPr>
              <w:jc w:val="center"/>
              <w:rPr>
                <w:rFonts w:ascii="Times New Roman" w:eastAsia="Times New Roman" w:hAnsi="Times New Roman"/>
                <w:sz w:val="20"/>
              </w:rPr>
            </w:pPr>
            <w:r w:rsidRPr="002E55DE">
              <w:rPr>
                <w:rFonts w:ascii="Times New Roman" w:eastAsia="Times New Roman" w:hAnsi="Times New Roman"/>
                <w:sz w:val="20"/>
              </w:rPr>
              <w:t>Coef.</w:t>
            </w:r>
          </w:p>
        </w:tc>
        <w:tc>
          <w:tcPr>
            <w:tcW w:w="553" w:type="pct"/>
            <w:tcBorders>
              <w:top w:val="single" w:sz="6" w:space="0" w:color="auto"/>
              <w:left w:val="single" w:sz="6" w:space="0" w:color="auto"/>
              <w:bottom w:val="single" w:sz="12" w:space="0" w:color="auto"/>
              <w:right w:val="single" w:sz="12" w:space="0" w:color="auto"/>
            </w:tcBorders>
            <w:tcMar>
              <w:top w:w="30" w:type="dxa"/>
              <w:left w:w="45" w:type="dxa"/>
              <w:bottom w:w="30" w:type="dxa"/>
              <w:right w:w="45" w:type="dxa"/>
            </w:tcMar>
            <w:hideMark/>
          </w:tcPr>
          <w:p w14:paraId="59EB95C4" w14:textId="77777777" w:rsidR="00FE4593" w:rsidRPr="002E55DE" w:rsidRDefault="00FE4593" w:rsidP="00FE4593">
            <w:pPr>
              <w:jc w:val="center"/>
              <w:rPr>
                <w:rFonts w:ascii="Times New Roman" w:eastAsia="Times New Roman" w:hAnsi="Times New Roman"/>
                <w:sz w:val="20"/>
              </w:rPr>
            </w:pPr>
            <w:r w:rsidRPr="002E55DE">
              <w:rPr>
                <w:rFonts w:ascii="Times New Roman" w:eastAsia="Times New Roman" w:hAnsi="Times New Roman"/>
                <w:sz w:val="20"/>
              </w:rPr>
              <w:t>t-stat</w:t>
            </w:r>
          </w:p>
        </w:tc>
        <w:tc>
          <w:tcPr>
            <w:tcW w:w="477" w:type="pct"/>
            <w:tcBorders>
              <w:top w:val="single" w:sz="6" w:space="0" w:color="auto"/>
              <w:left w:val="single" w:sz="12" w:space="0" w:color="auto"/>
              <w:bottom w:val="single" w:sz="12" w:space="0" w:color="auto"/>
              <w:right w:val="single" w:sz="4" w:space="0" w:color="auto"/>
            </w:tcBorders>
          </w:tcPr>
          <w:p w14:paraId="3BDF0C7D" w14:textId="6608FCFD" w:rsidR="00FE4593" w:rsidRPr="002E55DE" w:rsidRDefault="00FE4593" w:rsidP="00FE4593">
            <w:pPr>
              <w:jc w:val="center"/>
              <w:rPr>
                <w:rFonts w:ascii="Times New Roman" w:eastAsia="Times New Roman" w:hAnsi="Times New Roman"/>
                <w:sz w:val="20"/>
              </w:rPr>
            </w:pPr>
            <w:r w:rsidRPr="002E55DE">
              <w:rPr>
                <w:rFonts w:ascii="Times New Roman" w:eastAsia="Times New Roman" w:hAnsi="Times New Roman"/>
                <w:sz w:val="20"/>
              </w:rPr>
              <w:t>Coef.</w:t>
            </w:r>
          </w:p>
        </w:tc>
        <w:tc>
          <w:tcPr>
            <w:tcW w:w="475" w:type="pct"/>
            <w:tcBorders>
              <w:top w:val="single" w:sz="6" w:space="0" w:color="auto"/>
              <w:left w:val="single" w:sz="4" w:space="0" w:color="auto"/>
              <w:bottom w:val="single" w:sz="12" w:space="0" w:color="auto"/>
              <w:right w:val="single" w:sz="18" w:space="0" w:color="auto"/>
            </w:tcBorders>
          </w:tcPr>
          <w:p w14:paraId="1DBBF1B6" w14:textId="01DE6C60" w:rsidR="00FE4593" w:rsidRPr="002E55DE" w:rsidRDefault="00FE4593" w:rsidP="00FE4593">
            <w:pPr>
              <w:jc w:val="center"/>
              <w:rPr>
                <w:rFonts w:ascii="Times New Roman" w:eastAsia="Times New Roman" w:hAnsi="Times New Roman"/>
                <w:sz w:val="20"/>
              </w:rPr>
            </w:pPr>
            <w:r w:rsidRPr="002E55DE">
              <w:rPr>
                <w:rFonts w:ascii="Times New Roman" w:eastAsia="Times New Roman" w:hAnsi="Times New Roman"/>
                <w:sz w:val="20"/>
              </w:rPr>
              <w:t>t-stat</w:t>
            </w:r>
          </w:p>
        </w:tc>
      </w:tr>
      <w:tr w:rsidR="002E55DE" w:rsidRPr="002E55DE" w14:paraId="520D509A" w14:textId="77777777" w:rsidTr="00F424E8">
        <w:trPr>
          <w:trHeight w:val="23"/>
        </w:trPr>
        <w:tc>
          <w:tcPr>
            <w:tcW w:w="5000" w:type="pct"/>
            <w:gridSpan w:val="7"/>
            <w:tcBorders>
              <w:top w:val="single" w:sz="12" w:space="0" w:color="auto"/>
              <w:left w:val="single" w:sz="18" w:space="0" w:color="auto"/>
              <w:right w:val="single" w:sz="18" w:space="0" w:color="auto"/>
            </w:tcBorders>
            <w:tcMar>
              <w:top w:w="30" w:type="dxa"/>
              <w:left w:w="45" w:type="dxa"/>
              <w:bottom w:w="30" w:type="dxa"/>
              <w:right w:w="45" w:type="dxa"/>
            </w:tcMar>
            <w:vAlign w:val="center"/>
          </w:tcPr>
          <w:p w14:paraId="176D2ABD" w14:textId="730C5CE4" w:rsidR="00550C2F" w:rsidRPr="002E55DE" w:rsidRDefault="00550C2F" w:rsidP="00FE4593">
            <w:pPr>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Individual Characteristics</w:t>
            </w:r>
          </w:p>
        </w:tc>
      </w:tr>
      <w:tr w:rsidR="002E55DE" w:rsidRPr="002E55DE" w14:paraId="5D14FADD" w14:textId="44DB1F30" w:rsidTr="00904F28">
        <w:trPr>
          <w:trHeight w:val="144"/>
        </w:trPr>
        <w:tc>
          <w:tcPr>
            <w:tcW w:w="5000" w:type="pct"/>
            <w:gridSpan w:val="7"/>
            <w:tcBorders>
              <w:top w:val="single" w:sz="12" w:space="0" w:color="auto"/>
              <w:left w:val="single" w:sz="18" w:space="0" w:color="auto"/>
              <w:right w:val="single" w:sz="18" w:space="0" w:color="auto"/>
            </w:tcBorders>
            <w:tcMar>
              <w:top w:w="30" w:type="dxa"/>
              <w:left w:w="45" w:type="dxa"/>
              <w:bottom w:w="30" w:type="dxa"/>
              <w:right w:w="45" w:type="dxa"/>
            </w:tcMar>
            <w:vAlign w:val="center"/>
            <w:hideMark/>
          </w:tcPr>
          <w:p w14:paraId="25483EB2" w14:textId="5A163680" w:rsidR="00AB0920" w:rsidRPr="002E55DE" w:rsidRDefault="00AB0920" w:rsidP="00FE4593">
            <w:pPr>
              <w:rPr>
                <w:rFonts w:ascii="Times New Roman" w:eastAsia="Times New Roman" w:hAnsi="Times New Roman"/>
                <w:i/>
                <w:iCs/>
                <w:sz w:val="20"/>
              </w:rPr>
            </w:pPr>
            <w:r w:rsidRPr="002E55DE">
              <w:rPr>
                <w:rFonts w:ascii="Times New Roman" w:eastAsia="Times New Roman" w:hAnsi="Times New Roman"/>
                <w:i/>
                <w:iCs/>
                <w:sz w:val="20"/>
              </w:rPr>
              <w:t>Age (</w:t>
            </w:r>
            <w:r w:rsidR="00FA0B71" w:rsidRPr="002E55DE">
              <w:rPr>
                <w:rFonts w:ascii="Times New Roman" w:eastAsia="Times New Roman" w:hAnsi="Times New Roman"/>
                <w:i/>
                <w:iCs/>
                <w:sz w:val="20"/>
              </w:rPr>
              <w:t xml:space="preserve">base: </w:t>
            </w:r>
            <w:r w:rsidR="00963BBE" w:rsidRPr="002E55DE">
              <w:rPr>
                <w:rFonts w:ascii="Times New Roman" w:eastAsiaTheme="minorEastAsia" w:hAnsi="Times New Roman" w:hint="eastAsia"/>
                <w:i/>
                <w:iCs/>
                <w:sz w:val="20"/>
                <w:lang w:eastAsia="ko-KR"/>
              </w:rPr>
              <w:t>50-</w:t>
            </w:r>
            <w:r w:rsidRPr="002E55DE">
              <w:rPr>
                <w:rFonts w:ascii="Times New Roman" w:eastAsiaTheme="minorEastAsia" w:hAnsi="Times New Roman" w:hint="eastAsia"/>
                <w:i/>
                <w:iCs/>
                <w:sz w:val="20"/>
                <w:lang w:eastAsia="ko-KR"/>
              </w:rPr>
              <w:t>6</w:t>
            </w:r>
            <w:r w:rsidR="00963BBE" w:rsidRPr="002E55DE">
              <w:rPr>
                <w:rFonts w:ascii="Times New Roman" w:eastAsiaTheme="minorEastAsia" w:hAnsi="Times New Roman" w:hint="eastAsia"/>
                <w:i/>
                <w:iCs/>
                <w:sz w:val="20"/>
                <w:lang w:eastAsia="ko-KR"/>
              </w:rPr>
              <w:t>4</w:t>
            </w:r>
            <w:r w:rsidRPr="002E55DE">
              <w:rPr>
                <w:rFonts w:ascii="Times New Roman" w:eastAsia="Times New Roman" w:hAnsi="Times New Roman"/>
                <w:i/>
                <w:iCs/>
                <w:sz w:val="20"/>
              </w:rPr>
              <w:t xml:space="preserve"> years old)</w:t>
            </w:r>
          </w:p>
        </w:tc>
      </w:tr>
      <w:tr w:rsidR="002E55DE" w:rsidRPr="002E55DE" w14:paraId="2236F769" w14:textId="384210D0" w:rsidTr="00261282">
        <w:trPr>
          <w:trHeight w:val="144"/>
        </w:trPr>
        <w:tc>
          <w:tcPr>
            <w:tcW w:w="1950" w:type="pct"/>
            <w:tcBorders>
              <w:top w:val="single" w:sz="6" w:space="0" w:color="auto"/>
              <w:left w:val="single" w:sz="18" w:space="0" w:color="auto"/>
              <w:bottom w:val="single" w:sz="8" w:space="0" w:color="auto"/>
              <w:right w:val="single" w:sz="12" w:space="0" w:color="auto"/>
            </w:tcBorders>
            <w:tcMar>
              <w:top w:w="30" w:type="dxa"/>
              <w:left w:w="45" w:type="dxa"/>
              <w:bottom w:w="30" w:type="dxa"/>
              <w:right w:w="45" w:type="dxa"/>
            </w:tcMar>
            <w:vAlign w:val="center"/>
            <w:hideMark/>
          </w:tcPr>
          <w:p w14:paraId="08E8CFF9" w14:textId="4A56513E" w:rsidR="009C3C33" w:rsidRPr="002E55DE" w:rsidRDefault="009C3C33" w:rsidP="009C3C33">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65 years or older</w:t>
            </w:r>
          </w:p>
        </w:tc>
        <w:tc>
          <w:tcPr>
            <w:tcW w:w="552" w:type="pct"/>
            <w:tcBorders>
              <w:top w:val="single" w:sz="6" w:space="0" w:color="auto"/>
              <w:left w:val="single" w:sz="12" w:space="0" w:color="auto"/>
              <w:bottom w:val="single" w:sz="8" w:space="0" w:color="auto"/>
              <w:right w:val="single" w:sz="6" w:space="0" w:color="auto"/>
            </w:tcBorders>
            <w:tcMar>
              <w:top w:w="30" w:type="dxa"/>
              <w:left w:w="45" w:type="dxa"/>
              <w:bottom w:w="30" w:type="dxa"/>
              <w:right w:w="45" w:type="dxa"/>
            </w:tcMar>
          </w:tcPr>
          <w:p w14:paraId="667F3535" w14:textId="6F19B0D6" w:rsidR="009C3C33" w:rsidRPr="002E55DE" w:rsidRDefault="00094816"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-0.</w:t>
            </w:r>
            <w:r w:rsidR="0075047A" w:rsidRPr="002E55DE">
              <w:rPr>
                <w:rFonts w:ascii="Times New Roman" w:eastAsiaTheme="minorEastAsia" w:hAnsi="Times New Roman" w:hint="eastAsia"/>
                <w:sz w:val="20"/>
                <w:lang w:eastAsia="ko-KR"/>
              </w:rPr>
              <w:t>10</w:t>
            </w:r>
            <w:r w:rsidR="000A1ADF" w:rsidRPr="002E55DE">
              <w:rPr>
                <w:rFonts w:ascii="Times New Roman" w:eastAsiaTheme="minorEastAsia" w:hAnsi="Times New Roman" w:hint="eastAsia"/>
                <w:sz w:val="20"/>
                <w:lang w:eastAsia="ko-KR"/>
              </w:rPr>
              <w:t>9</w:t>
            </w:r>
          </w:p>
        </w:tc>
        <w:tc>
          <w:tcPr>
            <w:tcW w:w="441" w:type="pct"/>
            <w:tcBorders>
              <w:top w:val="single" w:sz="6" w:space="0" w:color="auto"/>
              <w:left w:val="single" w:sz="6" w:space="0" w:color="auto"/>
              <w:bottom w:val="single" w:sz="8" w:space="0" w:color="auto"/>
              <w:right w:val="single" w:sz="12" w:space="0" w:color="auto"/>
            </w:tcBorders>
            <w:tcMar>
              <w:top w:w="30" w:type="dxa"/>
              <w:left w:w="45" w:type="dxa"/>
              <w:bottom w:w="30" w:type="dxa"/>
              <w:right w:w="45" w:type="dxa"/>
            </w:tcMar>
          </w:tcPr>
          <w:p w14:paraId="39292379" w14:textId="47A1F6DB" w:rsidR="009C3C33" w:rsidRPr="002E55DE" w:rsidRDefault="00094816"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r w:rsidR="0075047A" w:rsidRPr="002E55DE">
              <w:rPr>
                <w:rFonts w:ascii="Times New Roman" w:eastAsiaTheme="minorEastAsia" w:hAnsi="Times New Roman" w:hint="eastAsia"/>
                <w:sz w:val="20"/>
                <w:lang w:eastAsia="ko-KR"/>
              </w:rPr>
              <w:t>2.</w:t>
            </w:r>
            <w:r w:rsidR="000A1ADF" w:rsidRPr="002E55DE">
              <w:rPr>
                <w:rFonts w:ascii="Times New Roman" w:eastAsiaTheme="minorEastAsia" w:hAnsi="Times New Roman" w:hint="eastAsia"/>
                <w:sz w:val="20"/>
                <w:lang w:eastAsia="ko-KR"/>
              </w:rPr>
              <w:t>26</w:t>
            </w:r>
          </w:p>
        </w:tc>
        <w:tc>
          <w:tcPr>
            <w:tcW w:w="552" w:type="pct"/>
            <w:tcBorders>
              <w:top w:val="single" w:sz="6" w:space="0" w:color="auto"/>
              <w:left w:val="single" w:sz="12" w:space="0" w:color="auto"/>
              <w:bottom w:val="single" w:sz="8" w:space="0" w:color="auto"/>
              <w:right w:val="single" w:sz="6" w:space="0" w:color="auto"/>
            </w:tcBorders>
            <w:tcMar>
              <w:top w:w="30" w:type="dxa"/>
              <w:left w:w="45" w:type="dxa"/>
              <w:bottom w:w="30" w:type="dxa"/>
              <w:right w:w="45" w:type="dxa"/>
            </w:tcMar>
          </w:tcPr>
          <w:p w14:paraId="7A429E0A" w14:textId="2B8805CD" w:rsidR="009C3C33" w:rsidRPr="002E55DE" w:rsidRDefault="00094816"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r w:rsidR="00AF5FAB" w:rsidRPr="002E55DE">
              <w:rPr>
                <w:rFonts w:ascii="Times New Roman" w:eastAsiaTheme="minorEastAsia" w:hAnsi="Times New Roman" w:hint="eastAsia"/>
                <w:sz w:val="20"/>
                <w:lang w:eastAsia="ko-KR"/>
              </w:rPr>
              <w:t>0.147</w:t>
            </w:r>
          </w:p>
        </w:tc>
        <w:tc>
          <w:tcPr>
            <w:tcW w:w="553" w:type="pct"/>
            <w:tcBorders>
              <w:top w:val="single" w:sz="6" w:space="0" w:color="auto"/>
              <w:left w:val="single" w:sz="6" w:space="0" w:color="auto"/>
              <w:bottom w:val="single" w:sz="8" w:space="0" w:color="auto"/>
              <w:right w:val="single" w:sz="12" w:space="0" w:color="auto"/>
            </w:tcBorders>
            <w:tcMar>
              <w:top w:w="30" w:type="dxa"/>
              <w:left w:w="45" w:type="dxa"/>
              <w:bottom w:w="30" w:type="dxa"/>
              <w:right w:w="45" w:type="dxa"/>
            </w:tcMar>
          </w:tcPr>
          <w:p w14:paraId="68B5D19A" w14:textId="63322836" w:rsidR="009C3C33" w:rsidRPr="002E55DE" w:rsidRDefault="00094816"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r w:rsidR="001C4D71" w:rsidRPr="002E55DE">
              <w:rPr>
                <w:rFonts w:ascii="Times New Roman" w:eastAsiaTheme="minorEastAsia" w:hAnsi="Times New Roman" w:hint="eastAsia"/>
                <w:sz w:val="20"/>
                <w:lang w:eastAsia="ko-KR"/>
              </w:rPr>
              <w:t>2.89</w:t>
            </w:r>
          </w:p>
        </w:tc>
        <w:tc>
          <w:tcPr>
            <w:tcW w:w="477" w:type="pct"/>
            <w:tcBorders>
              <w:top w:val="single" w:sz="6" w:space="0" w:color="auto"/>
              <w:left w:val="single" w:sz="12" w:space="0" w:color="auto"/>
              <w:bottom w:val="single" w:sz="8" w:space="0" w:color="auto"/>
              <w:right w:val="single" w:sz="4" w:space="0" w:color="auto"/>
            </w:tcBorders>
          </w:tcPr>
          <w:p w14:paraId="260C8590" w14:textId="0A410180" w:rsidR="009C3C33" w:rsidRPr="002E55DE" w:rsidRDefault="009C3C33"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475" w:type="pct"/>
            <w:tcBorders>
              <w:top w:val="single" w:sz="6" w:space="0" w:color="auto"/>
              <w:left w:val="single" w:sz="4" w:space="0" w:color="auto"/>
              <w:bottom w:val="single" w:sz="8" w:space="0" w:color="auto"/>
              <w:right w:val="single" w:sz="18" w:space="0" w:color="auto"/>
            </w:tcBorders>
          </w:tcPr>
          <w:p w14:paraId="598BCAE9" w14:textId="7913C416" w:rsidR="009C3C33" w:rsidRPr="002E55DE" w:rsidRDefault="009C3C33" w:rsidP="009C3C33">
            <w:pPr>
              <w:jc w:val="right"/>
              <w:rPr>
                <w:rFonts w:ascii="Times New Roman" w:eastAsia="Times New Roman" w:hAnsi="Times New Roman"/>
                <w:sz w:val="20"/>
              </w:rPr>
            </w:pPr>
            <w:r w:rsidRPr="002E55DE">
              <w:rPr>
                <w:rFonts w:ascii="Times New Roman" w:eastAsia="Times New Roman" w:hAnsi="Times New Roman"/>
                <w:sz w:val="20"/>
              </w:rPr>
              <w:t>--</w:t>
            </w:r>
          </w:p>
        </w:tc>
      </w:tr>
      <w:tr w:rsidR="002E55DE" w:rsidRPr="002E55DE" w14:paraId="145570E1" w14:textId="3ECA023A" w:rsidTr="00267B4A">
        <w:trPr>
          <w:trHeight w:val="144"/>
        </w:trPr>
        <w:tc>
          <w:tcPr>
            <w:tcW w:w="5000" w:type="pct"/>
            <w:gridSpan w:val="7"/>
            <w:tcBorders>
              <w:top w:val="single" w:sz="8" w:space="0" w:color="auto"/>
              <w:left w:val="single" w:sz="18" w:space="0" w:color="auto"/>
              <w:bottom w:val="single" w:sz="4" w:space="0" w:color="auto"/>
              <w:right w:val="single" w:sz="18" w:space="0" w:color="auto"/>
            </w:tcBorders>
            <w:tcMar>
              <w:top w:w="30" w:type="dxa"/>
              <w:left w:w="45" w:type="dxa"/>
              <w:bottom w:w="30" w:type="dxa"/>
              <w:right w:w="45" w:type="dxa"/>
            </w:tcMar>
            <w:vAlign w:val="center"/>
            <w:hideMark/>
          </w:tcPr>
          <w:p w14:paraId="66C43120" w14:textId="42B99308" w:rsidR="009C3C33" w:rsidRPr="002E55DE" w:rsidRDefault="003A3F28" w:rsidP="009C3C33">
            <w:pPr>
              <w:rPr>
                <w:rFonts w:ascii="Times New Roman" w:eastAsia="Times New Roman" w:hAnsi="Times New Roman"/>
                <w:sz w:val="20"/>
              </w:rPr>
            </w:pPr>
            <w:r w:rsidRPr="002E55DE">
              <w:rPr>
                <w:rFonts w:ascii="Times New Roman" w:eastAsia="Times New Roman" w:hAnsi="Times New Roman"/>
                <w:i/>
                <w:iCs/>
                <w:sz w:val="20"/>
              </w:rPr>
              <w:t>Gender (</w:t>
            </w:r>
            <w:r w:rsidR="00FA0B71" w:rsidRPr="002E55DE">
              <w:rPr>
                <w:rFonts w:ascii="Times New Roman" w:eastAsia="Times New Roman" w:hAnsi="Times New Roman"/>
                <w:i/>
                <w:iCs/>
                <w:sz w:val="20"/>
              </w:rPr>
              <w:t xml:space="preserve">base: </w:t>
            </w:r>
            <w:r w:rsidRPr="002E55DE">
              <w:rPr>
                <w:rFonts w:ascii="Times New Roman" w:eastAsiaTheme="minorEastAsia" w:hAnsi="Times New Roman" w:hint="eastAsia"/>
                <w:i/>
                <w:iCs/>
                <w:sz w:val="20"/>
                <w:lang w:eastAsia="ko-KR"/>
              </w:rPr>
              <w:t>M</w:t>
            </w:r>
            <w:r w:rsidRPr="002E55DE">
              <w:rPr>
                <w:rFonts w:ascii="Times New Roman" w:eastAsia="Times New Roman" w:hAnsi="Times New Roman"/>
                <w:i/>
                <w:iCs/>
                <w:sz w:val="20"/>
              </w:rPr>
              <w:t>an)</w:t>
            </w:r>
          </w:p>
        </w:tc>
      </w:tr>
      <w:tr w:rsidR="002E55DE" w:rsidRPr="002E55DE" w14:paraId="411EFA02" w14:textId="77777777" w:rsidTr="00261282">
        <w:trPr>
          <w:trHeight w:val="144"/>
        </w:trPr>
        <w:tc>
          <w:tcPr>
            <w:tcW w:w="1950" w:type="pct"/>
            <w:tcBorders>
              <w:top w:val="single" w:sz="4" w:space="0" w:color="auto"/>
              <w:left w:val="single" w:sz="18" w:space="0" w:color="auto"/>
              <w:bottom w:val="single" w:sz="6" w:space="0" w:color="auto"/>
              <w:right w:val="single" w:sz="12" w:space="0" w:color="auto"/>
            </w:tcBorders>
            <w:tcMar>
              <w:top w:w="30" w:type="dxa"/>
              <w:left w:w="45" w:type="dxa"/>
              <w:bottom w:w="30" w:type="dxa"/>
              <w:right w:w="45" w:type="dxa"/>
            </w:tcMar>
            <w:vAlign w:val="center"/>
          </w:tcPr>
          <w:p w14:paraId="23764FD0" w14:textId="5D0F0076" w:rsidR="009C3C33" w:rsidRPr="002E55DE" w:rsidRDefault="003A3F28" w:rsidP="009C3C33">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Woman</w:t>
            </w:r>
          </w:p>
        </w:tc>
        <w:tc>
          <w:tcPr>
            <w:tcW w:w="552" w:type="pct"/>
            <w:tcBorders>
              <w:top w:val="single" w:sz="4" w:space="0" w:color="auto"/>
              <w:left w:val="single" w:sz="12" w:space="0" w:color="auto"/>
              <w:bottom w:val="single" w:sz="6" w:space="0" w:color="auto"/>
              <w:right w:val="single" w:sz="6" w:space="0" w:color="auto"/>
            </w:tcBorders>
            <w:tcMar>
              <w:top w:w="30" w:type="dxa"/>
              <w:left w:w="45" w:type="dxa"/>
              <w:bottom w:w="30" w:type="dxa"/>
              <w:right w:w="45" w:type="dxa"/>
            </w:tcMar>
          </w:tcPr>
          <w:p w14:paraId="0CE0AEAA" w14:textId="2391A747" w:rsidR="009C3C33" w:rsidRPr="002E55DE" w:rsidRDefault="000A1ADF" w:rsidP="000A1ADF">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-0.143</w:t>
            </w:r>
          </w:p>
        </w:tc>
        <w:tc>
          <w:tcPr>
            <w:tcW w:w="441" w:type="pct"/>
            <w:tcBorders>
              <w:top w:val="single" w:sz="4" w:space="0" w:color="auto"/>
              <w:left w:val="single" w:sz="6" w:space="0" w:color="auto"/>
              <w:bottom w:val="single" w:sz="6" w:space="0" w:color="auto"/>
              <w:right w:val="single" w:sz="12" w:space="0" w:color="auto"/>
            </w:tcBorders>
            <w:tcMar>
              <w:top w:w="30" w:type="dxa"/>
              <w:left w:w="45" w:type="dxa"/>
              <w:bottom w:w="30" w:type="dxa"/>
              <w:right w:w="45" w:type="dxa"/>
            </w:tcMar>
          </w:tcPr>
          <w:p w14:paraId="229969E7" w14:textId="3D390694" w:rsidR="009C3C33" w:rsidRPr="002E55DE" w:rsidRDefault="000A1ADF"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-3.15</w:t>
            </w:r>
          </w:p>
        </w:tc>
        <w:tc>
          <w:tcPr>
            <w:tcW w:w="552" w:type="pct"/>
            <w:tcBorders>
              <w:top w:val="single" w:sz="4" w:space="0" w:color="auto"/>
              <w:left w:val="single" w:sz="12" w:space="0" w:color="auto"/>
              <w:bottom w:val="single" w:sz="6" w:space="0" w:color="auto"/>
              <w:right w:val="single" w:sz="6" w:space="0" w:color="auto"/>
            </w:tcBorders>
            <w:tcMar>
              <w:top w:w="30" w:type="dxa"/>
              <w:left w:w="45" w:type="dxa"/>
              <w:bottom w:w="30" w:type="dxa"/>
              <w:right w:w="45" w:type="dxa"/>
            </w:tcMar>
          </w:tcPr>
          <w:p w14:paraId="72809AF5" w14:textId="4FBE3754" w:rsidR="009C3C33" w:rsidRPr="002E55DE" w:rsidRDefault="00AF5FAB"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-0.160</w:t>
            </w:r>
          </w:p>
        </w:tc>
        <w:tc>
          <w:tcPr>
            <w:tcW w:w="553" w:type="pct"/>
            <w:tcBorders>
              <w:top w:val="single" w:sz="4" w:space="0" w:color="auto"/>
              <w:left w:val="single" w:sz="6" w:space="0" w:color="auto"/>
              <w:right w:val="single" w:sz="12" w:space="0" w:color="auto"/>
            </w:tcBorders>
            <w:tcMar>
              <w:top w:w="30" w:type="dxa"/>
              <w:left w:w="45" w:type="dxa"/>
              <w:bottom w:w="30" w:type="dxa"/>
              <w:right w:w="45" w:type="dxa"/>
            </w:tcMar>
          </w:tcPr>
          <w:p w14:paraId="4AC59340" w14:textId="4F5D6A01" w:rsidR="009C3C33" w:rsidRPr="002E55DE" w:rsidRDefault="00AF5FAB"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-3.21</w:t>
            </w:r>
          </w:p>
        </w:tc>
        <w:tc>
          <w:tcPr>
            <w:tcW w:w="477" w:type="pct"/>
            <w:tcBorders>
              <w:top w:val="single" w:sz="4" w:space="0" w:color="auto"/>
              <w:left w:val="single" w:sz="12" w:space="0" w:color="auto"/>
              <w:right w:val="single" w:sz="4" w:space="0" w:color="auto"/>
            </w:tcBorders>
          </w:tcPr>
          <w:p w14:paraId="18AEEDF9" w14:textId="4DB8960F" w:rsidR="009C3C33" w:rsidRPr="002E55DE" w:rsidRDefault="00192CE5"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p>
        </w:tc>
        <w:tc>
          <w:tcPr>
            <w:tcW w:w="475" w:type="pct"/>
            <w:tcBorders>
              <w:top w:val="single" w:sz="4" w:space="0" w:color="auto"/>
              <w:left w:val="single" w:sz="4" w:space="0" w:color="auto"/>
              <w:right w:val="single" w:sz="18" w:space="0" w:color="auto"/>
            </w:tcBorders>
          </w:tcPr>
          <w:p w14:paraId="09EC1645" w14:textId="6382C8BA" w:rsidR="009C3C33" w:rsidRPr="002E55DE" w:rsidRDefault="00192CE5"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p>
        </w:tc>
      </w:tr>
      <w:tr w:rsidR="002E55DE" w:rsidRPr="002E55DE" w14:paraId="7CA3DB9A" w14:textId="7F30E69E" w:rsidTr="00904F28">
        <w:trPr>
          <w:trHeight w:val="144"/>
        </w:trPr>
        <w:tc>
          <w:tcPr>
            <w:tcW w:w="5000" w:type="pct"/>
            <w:gridSpan w:val="7"/>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120C3682" w14:textId="79E3627A" w:rsidR="009C3C33" w:rsidRPr="002E55DE" w:rsidRDefault="003A3F28" w:rsidP="009C3C33">
            <w:pPr>
              <w:rPr>
                <w:rFonts w:ascii="Times New Roman" w:eastAsia="Times New Roman" w:hAnsi="Times New Roman"/>
                <w:i/>
                <w:iCs/>
                <w:sz w:val="20"/>
              </w:rPr>
            </w:pPr>
            <w:r w:rsidRPr="002E55DE">
              <w:rPr>
                <w:rFonts w:ascii="Times New Roman" w:eastAsiaTheme="minorEastAsia" w:hAnsi="Times New Roman" w:hint="eastAsia"/>
                <w:i/>
                <w:iCs/>
                <w:sz w:val="20"/>
                <w:lang w:eastAsia="ko-KR"/>
              </w:rPr>
              <w:t>Race/</w:t>
            </w:r>
            <w:r w:rsidRPr="002E55DE">
              <w:rPr>
                <w:rFonts w:ascii="Times New Roman" w:eastAsiaTheme="minorEastAsia" w:hAnsi="Times New Roman"/>
                <w:i/>
                <w:iCs/>
                <w:sz w:val="20"/>
                <w:lang w:eastAsia="ko-KR"/>
              </w:rPr>
              <w:t>Ethnicity</w:t>
            </w:r>
            <w:r w:rsidRPr="002E55DE">
              <w:rPr>
                <w:rFonts w:ascii="Times New Roman" w:eastAsiaTheme="minorEastAsia" w:hAnsi="Times New Roman" w:hint="eastAsia"/>
                <w:i/>
                <w:iCs/>
                <w:sz w:val="20"/>
                <w:lang w:eastAsia="ko-KR"/>
              </w:rPr>
              <w:t xml:space="preserve"> (</w:t>
            </w:r>
            <w:r w:rsidR="00FA0B71" w:rsidRPr="002E55DE">
              <w:rPr>
                <w:rFonts w:ascii="Times New Roman" w:eastAsia="Times New Roman" w:hAnsi="Times New Roman"/>
                <w:i/>
                <w:iCs/>
                <w:sz w:val="20"/>
              </w:rPr>
              <w:t xml:space="preserve">base: </w:t>
            </w:r>
            <w:r w:rsidRPr="002E55DE">
              <w:rPr>
                <w:rFonts w:ascii="Times New Roman" w:eastAsiaTheme="minorEastAsia" w:hAnsi="Times New Roman" w:hint="eastAsia"/>
                <w:i/>
                <w:iCs/>
                <w:sz w:val="20"/>
                <w:lang w:eastAsia="ko-KR"/>
              </w:rPr>
              <w:t>Non-Black)</w:t>
            </w:r>
          </w:p>
        </w:tc>
      </w:tr>
      <w:tr w:rsidR="002E55DE" w:rsidRPr="002E55DE" w14:paraId="18287015" w14:textId="24E9D1DD" w:rsidTr="00261282">
        <w:trPr>
          <w:trHeight w:val="144"/>
        </w:trPr>
        <w:tc>
          <w:tcPr>
            <w:tcW w:w="1950" w:type="pct"/>
            <w:tcBorders>
              <w:top w:val="single" w:sz="6" w:space="0" w:color="auto"/>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352C9E6E" w14:textId="3377B150" w:rsidR="009C3C33" w:rsidRPr="002E55DE" w:rsidRDefault="003A3F28" w:rsidP="009C3C33">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Black</w:t>
            </w:r>
          </w:p>
        </w:tc>
        <w:tc>
          <w:tcPr>
            <w:tcW w:w="552"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tcPr>
          <w:p w14:paraId="0BC6A2A1" w14:textId="1536C839" w:rsidR="009C3C33" w:rsidRPr="002E55DE" w:rsidRDefault="00CD115D"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0A1ADF" w:rsidRPr="002E55DE">
              <w:rPr>
                <w:rFonts w:ascii="Times New Roman" w:eastAsiaTheme="minorEastAsia" w:hAnsi="Times New Roman" w:hint="eastAsia"/>
                <w:sz w:val="20"/>
                <w:lang w:eastAsia="ko-KR"/>
              </w:rPr>
              <w:t>-</w:t>
            </w:r>
          </w:p>
        </w:tc>
        <w:tc>
          <w:tcPr>
            <w:tcW w:w="441" w:type="pct"/>
            <w:tcBorders>
              <w:top w:val="single" w:sz="6" w:space="0" w:color="auto"/>
              <w:left w:val="single" w:sz="6" w:space="0" w:color="auto"/>
              <w:bottom w:val="single" w:sz="6" w:space="0" w:color="auto"/>
              <w:right w:val="single" w:sz="12" w:space="0" w:color="auto"/>
            </w:tcBorders>
            <w:tcMar>
              <w:top w:w="30" w:type="dxa"/>
              <w:left w:w="45" w:type="dxa"/>
              <w:bottom w:w="30" w:type="dxa"/>
              <w:right w:w="45" w:type="dxa"/>
            </w:tcMar>
          </w:tcPr>
          <w:p w14:paraId="5E59A499" w14:textId="695CF9BF" w:rsidR="009C3C33" w:rsidRPr="002E55DE" w:rsidRDefault="00CD115D"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0A1ADF" w:rsidRPr="002E55DE">
              <w:rPr>
                <w:rFonts w:ascii="Times New Roman" w:eastAsiaTheme="minorEastAsia" w:hAnsi="Times New Roman" w:hint="eastAsia"/>
                <w:sz w:val="20"/>
                <w:lang w:eastAsia="ko-KR"/>
              </w:rPr>
              <w:t>-</w:t>
            </w:r>
          </w:p>
        </w:tc>
        <w:tc>
          <w:tcPr>
            <w:tcW w:w="552"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tcPr>
          <w:p w14:paraId="300C5E92" w14:textId="488BDABD" w:rsidR="009C3C33" w:rsidRPr="002E55DE" w:rsidRDefault="00AF5FAB"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3" w:type="pct"/>
            <w:tcBorders>
              <w:top w:val="single" w:sz="6" w:space="0" w:color="auto"/>
              <w:left w:val="single" w:sz="6" w:space="0" w:color="auto"/>
              <w:right w:val="single" w:sz="12" w:space="0" w:color="auto"/>
            </w:tcBorders>
            <w:tcMar>
              <w:top w:w="30" w:type="dxa"/>
              <w:left w:w="45" w:type="dxa"/>
              <w:bottom w:w="30" w:type="dxa"/>
              <w:right w:w="45" w:type="dxa"/>
            </w:tcMar>
          </w:tcPr>
          <w:p w14:paraId="6594CA79" w14:textId="71BEE1C6" w:rsidR="009C3C33" w:rsidRPr="002E55DE" w:rsidRDefault="00AF5FAB"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single" w:sz="6" w:space="0" w:color="auto"/>
              <w:left w:val="single" w:sz="12" w:space="0" w:color="auto"/>
              <w:right w:val="single" w:sz="4" w:space="0" w:color="auto"/>
            </w:tcBorders>
          </w:tcPr>
          <w:p w14:paraId="165A99A8" w14:textId="42E84FA8" w:rsidR="009C3C33" w:rsidRPr="002E55DE" w:rsidRDefault="00192CE5"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-0.171</w:t>
            </w:r>
          </w:p>
        </w:tc>
        <w:tc>
          <w:tcPr>
            <w:tcW w:w="475" w:type="pct"/>
            <w:tcBorders>
              <w:top w:val="single" w:sz="6" w:space="0" w:color="auto"/>
              <w:left w:val="single" w:sz="4" w:space="0" w:color="auto"/>
              <w:right w:val="single" w:sz="18" w:space="0" w:color="auto"/>
            </w:tcBorders>
          </w:tcPr>
          <w:p w14:paraId="3924C847" w14:textId="6544BB11" w:rsidR="009C3C33" w:rsidRPr="002E55DE" w:rsidRDefault="00192CE5"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-2.89</w:t>
            </w:r>
          </w:p>
        </w:tc>
      </w:tr>
      <w:tr w:rsidR="002E55DE" w:rsidRPr="002E55DE" w14:paraId="0E858190" w14:textId="77777777" w:rsidTr="00904F28">
        <w:trPr>
          <w:trHeight w:val="144"/>
        </w:trPr>
        <w:tc>
          <w:tcPr>
            <w:tcW w:w="5000" w:type="pct"/>
            <w:gridSpan w:val="7"/>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tcPr>
          <w:p w14:paraId="3FF3FEDF" w14:textId="4AAE867F" w:rsidR="009C3C33" w:rsidRPr="002E55DE" w:rsidRDefault="009C3C33" w:rsidP="009C3C33">
            <w:pPr>
              <w:rPr>
                <w:rFonts w:ascii="Times New Roman" w:eastAsia="Times New Roman" w:hAnsi="Times New Roman"/>
                <w:sz w:val="20"/>
              </w:rPr>
            </w:pPr>
            <w:r w:rsidRPr="002E55DE">
              <w:rPr>
                <w:rFonts w:ascii="Times New Roman" w:eastAsiaTheme="minorEastAsia" w:hAnsi="Times New Roman"/>
                <w:i/>
                <w:iCs/>
                <w:sz w:val="20"/>
                <w:lang w:eastAsia="ko-KR"/>
              </w:rPr>
              <w:t>Employment</w:t>
            </w:r>
            <w:r w:rsidRPr="002E55DE">
              <w:rPr>
                <w:rFonts w:ascii="Times New Roman" w:eastAsiaTheme="minorEastAsia" w:hAnsi="Times New Roman" w:hint="eastAsia"/>
                <w:i/>
                <w:iCs/>
                <w:sz w:val="20"/>
                <w:lang w:eastAsia="ko-KR"/>
              </w:rPr>
              <w:t xml:space="preserve"> status (</w:t>
            </w:r>
            <w:r w:rsidR="00FA0B71" w:rsidRPr="002E55DE">
              <w:rPr>
                <w:rFonts w:ascii="Times New Roman" w:eastAsia="Times New Roman" w:hAnsi="Times New Roman"/>
                <w:i/>
                <w:iCs/>
                <w:sz w:val="20"/>
              </w:rPr>
              <w:t xml:space="preserve">base: </w:t>
            </w:r>
            <w:r w:rsidRPr="002E55DE">
              <w:rPr>
                <w:rFonts w:ascii="Times New Roman" w:eastAsiaTheme="minorEastAsia" w:hAnsi="Times New Roman" w:hint="eastAsia"/>
                <w:i/>
                <w:iCs/>
                <w:sz w:val="20"/>
                <w:lang w:eastAsia="ko-KR"/>
              </w:rPr>
              <w:t>Retired or not employed)</w:t>
            </w:r>
          </w:p>
        </w:tc>
      </w:tr>
      <w:tr w:rsidR="002E55DE" w:rsidRPr="002E55DE" w14:paraId="646865BD" w14:textId="77777777" w:rsidTr="00261282">
        <w:trPr>
          <w:trHeight w:val="144"/>
        </w:trPr>
        <w:tc>
          <w:tcPr>
            <w:tcW w:w="1950" w:type="pct"/>
            <w:tcBorders>
              <w:top w:val="single" w:sz="6" w:space="0" w:color="auto"/>
              <w:left w:val="single" w:sz="18" w:space="0" w:color="auto"/>
              <w:bottom w:val="single" w:sz="6" w:space="0" w:color="auto"/>
              <w:right w:val="single" w:sz="12" w:space="0" w:color="auto"/>
            </w:tcBorders>
            <w:tcMar>
              <w:top w:w="30" w:type="dxa"/>
              <w:left w:w="45" w:type="dxa"/>
              <w:bottom w:w="30" w:type="dxa"/>
              <w:right w:w="45" w:type="dxa"/>
            </w:tcMar>
            <w:vAlign w:val="center"/>
          </w:tcPr>
          <w:p w14:paraId="1BF9B899" w14:textId="0822545D" w:rsidR="009C3C33" w:rsidRPr="002E55DE" w:rsidRDefault="009C3C33" w:rsidP="009C3C33">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Employed</w:t>
            </w:r>
          </w:p>
        </w:tc>
        <w:tc>
          <w:tcPr>
            <w:tcW w:w="552"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tcPr>
          <w:p w14:paraId="562B862B" w14:textId="18C96F9E" w:rsidR="009C3C33" w:rsidRPr="002E55DE" w:rsidRDefault="00CD115D"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0.1</w:t>
            </w:r>
            <w:r w:rsidR="0075047A" w:rsidRPr="002E55DE">
              <w:rPr>
                <w:rFonts w:ascii="Times New Roman" w:eastAsiaTheme="minorEastAsia" w:hAnsi="Times New Roman" w:hint="eastAsia"/>
                <w:sz w:val="20"/>
                <w:lang w:eastAsia="ko-KR"/>
              </w:rPr>
              <w:t>2</w:t>
            </w:r>
            <w:r w:rsidR="00AF5FAB" w:rsidRPr="002E55DE">
              <w:rPr>
                <w:rFonts w:ascii="Times New Roman" w:eastAsiaTheme="minorEastAsia" w:hAnsi="Times New Roman" w:hint="eastAsia"/>
                <w:sz w:val="20"/>
                <w:lang w:eastAsia="ko-KR"/>
              </w:rPr>
              <w:t>5</w:t>
            </w:r>
          </w:p>
        </w:tc>
        <w:tc>
          <w:tcPr>
            <w:tcW w:w="441" w:type="pct"/>
            <w:tcBorders>
              <w:top w:val="single" w:sz="6" w:space="0" w:color="auto"/>
              <w:left w:val="single" w:sz="6" w:space="0" w:color="auto"/>
              <w:bottom w:val="single" w:sz="6" w:space="0" w:color="auto"/>
              <w:right w:val="single" w:sz="12" w:space="0" w:color="auto"/>
            </w:tcBorders>
            <w:tcMar>
              <w:top w:w="30" w:type="dxa"/>
              <w:left w:w="45" w:type="dxa"/>
              <w:bottom w:w="30" w:type="dxa"/>
              <w:right w:w="45" w:type="dxa"/>
            </w:tcMar>
          </w:tcPr>
          <w:p w14:paraId="5EC70F7D" w14:textId="02CBBE38" w:rsidR="009C3C33" w:rsidRPr="002E55DE" w:rsidRDefault="00AF5FAB"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2.67</w:t>
            </w:r>
          </w:p>
        </w:tc>
        <w:tc>
          <w:tcPr>
            <w:tcW w:w="552"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tcPr>
          <w:p w14:paraId="15AA0F85" w14:textId="2AFB6B5F" w:rsidR="009C3C33" w:rsidRPr="002E55DE" w:rsidRDefault="009C3C33"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553" w:type="pct"/>
            <w:tcBorders>
              <w:top w:val="single" w:sz="6" w:space="0" w:color="auto"/>
              <w:left w:val="single" w:sz="6" w:space="0" w:color="auto"/>
              <w:right w:val="single" w:sz="12" w:space="0" w:color="auto"/>
            </w:tcBorders>
            <w:tcMar>
              <w:top w:w="30" w:type="dxa"/>
              <w:left w:w="45" w:type="dxa"/>
              <w:bottom w:w="30" w:type="dxa"/>
              <w:right w:w="45" w:type="dxa"/>
            </w:tcMar>
          </w:tcPr>
          <w:p w14:paraId="38222461" w14:textId="273D21AD" w:rsidR="009C3C33" w:rsidRPr="002E55DE" w:rsidRDefault="009C3C33"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477" w:type="pct"/>
            <w:tcBorders>
              <w:top w:val="single" w:sz="6" w:space="0" w:color="auto"/>
              <w:left w:val="single" w:sz="12" w:space="0" w:color="auto"/>
              <w:right w:val="single" w:sz="4" w:space="0" w:color="auto"/>
            </w:tcBorders>
          </w:tcPr>
          <w:p w14:paraId="10DA6685" w14:textId="2464D02F" w:rsidR="009C3C33" w:rsidRPr="002E55DE" w:rsidRDefault="00CD115D"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-0.1</w:t>
            </w:r>
            <w:r w:rsidR="009C12E5" w:rsidRPr="002E55DE">
              <w:rPr>
                <w:rFonts w:ascii="Times New Roman" w:eastAsiaTheme="minorEastAsia" w:hAnsi="Times New Roman" w:hint="eastAsia"/>
                <w:sz w:val="20"/>
                <w:lang w:eastAsia="ko-KR"/>
              </w:rPr>
              <w:t>5</w:t>
            </w:r>
            <w:r w:rsidR="00192CE5" w:rsidRPr="002E55DE">
              <w:rPr>
                <w:rFonts w:ascii="Times New Roman" w:eastAsiaTheme="minorEastAsia" w:hAnsi="Times New Roman" w:hint="eastAsia"/>
                <w:sz w:val="20"/>
                <w:lang w:eastAsia="ko-KR"/>
              </w:rPr>
              <w:t>0</w:t>
            </w:r>
          </w:p>
        </w:tc>
        <w:tc>
          <w:tcPr>
            <w:tcW w:w="475" w:type="pct"/>
            <w:tcBorders>
              <w:top w:val="single" w:sz="6" w:space="0" w:color="auto"/>
              <w:left w:val="single" w:sz="4" w:space="0" w:color="auto"/>
              <w:right w:val="single" w:sz="18" w:space="0" w:color="auto"/>
            </w:tcBorders>
          </w:tcPr>
          <w:p w14:paraId="259BC885" w14:textId="36467C29" w:rsidR="009C3C33" w:rsidRPr="002E55DE" w:rsidRDefault="00CD115D" w:rsidP="009C3C33">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r w:rsidR="009C12E5" w:rsidRPr="002E55DE">
              <w:rPr>
                <w:rFonts w:ascii="Times New Roman" w:eastAsiaTheme="minorEastAsia" w:hAnsi="Times New Roman" w:hint="eastAsia"/>
                <w:sz w:val="20"/>
                <w:lang w:eastAsia="ko-KR"/>
              </w:rPr>
              <w:t>2.7</w:t>
            </w:r>
            <w:r w:rsidR="00192CE5" w:rsidRPr="002E55DE">
              <w:rPr>
                <w:rFonts w:ascii="Times New Roman" w:eastAsiaTheme="minorEastAsia" w:hAnsi="Times New Roman" w:hint="eastAsia"/>
                <w:sz w:val="20"/>
                <w:lang w:eastAsia="ko-KR"/>
              </w:rPr>
              <w:t>8</w:t>
            </w:r>
          </w:p>
        </w:tc>
      </w:tr>
      <w:tr w:rsidR="002E55DE" w:rsidRPr="002E55DE" w14:paraId="230653D4" w14:textId="77777777" w:rsidTr="00904F28">
        <w:trPr>
          <w:trHeight w:val="144"/>
        </w:trPr>
        <w:tc>
          <w:tcPr>
            <w:tcW w:w="5000" w:type="pct"/>
            <w:gridSpan w:val="7"/>
            <w:tcBorders>
              <w:top w:val="single" w:sz="12" w:space="0" w:color="auto"/>
              <w:left w:val="single" w:sz="18" w:space="0" w:color="auto"/>
              <w:bottom w:val="single" w:sz="4" w:space="0" w:color="595959" w:themeColor="text1" w:themeTint="A6"/>
              <w:right w:val="single" w:sz="18" w:space="0" w:color="auto"/>
            </w:tcBorders>
            <w:tcMar>
              <w:top w:w="30" w:type="dxa"/>
              <w:left w:w="45" w:type="dxa"/>
              <w:bottom w:w="30" w:type="dxa"/>
              <w:right w:w="45" w:type="dxa"/>
            </w:tcMar>
            <w:vAlign w:val="center"/>
          </w:tcPr>
          <w:p w14:paraId="4F6CFBD7" w14:textId="473984C3" w:rsidR="009C3C33" w:rsidRPr="002E55DE" w:rsidRDefault="009C3C33" w:rsidP="009C3C33">
            <w:pPr>
              <w:rPr>
                <w:rFonts w:ascii="Times New Roman" w:eastAsiaTheme="minorEastAsia" w:hAnsi="Times New Roman"/>
                <w:b/>
                <w:bCs/>
                <w:sz w:val="20"/>
                <w:lang w:eastAsia="ko-KR"/>
              </w:rPr>
            </w:pPr>
            <w:r w:rsidRPr="002E55DE">
              <w:rPr>
                <w:rFonts w:ascii="Times New Roman" w:eastAsiaTheme="minorEastAsia" w:hAnsi="Times New Roman"/>
                <w:b/>
                <w:bCs/>
                <w:sz w:val="20"/>
                <w:lang w:eastAsia="ko-KR"/>
              </w:rPr>
              <w:t>Household</w:t>
            </w:r>
            <w:r w:rsidRPr="002E55DE">
              <w:rPr>
                <w:rFonts w:ascii="Times New Roman" w:eastAsiaTheme="minorEastAsia" w:hAnsi="Times New Roman" w:hint="eastAsia"/>
                <w:b/>
                <w:bCs/>
                <w:sz w:val="20"/>
                <w:lang w:eastAsia="ko-KR"/>
              </w:rPr>
              <w:t xml:space="preserve"> Characteristics</w:t>
            </w:r>
          </w:p>
        </w:tc>
      </w:tr>
      <w:tr w:rsidR="002E55DE" w:rsidRPr="002E55DE" w14:paraId="72796329" w14:textId="148A7624" w:rsidTr="00904F28">
        <w:trPr>
          <w:trHeight w:val="144"/>
        </w:trPr>
        <w:tc>
          <w:tcPr>
            <w:tcW w:w="5000" w:type="pct"/>
            <w:gridSpan w:val="7"/>
            <w:tcBorders>
              <w:top w:val="single" w:sz="12" w:space="0" w:color="auto"/>
              <w:left w:val="single" w:sz="18" w:space="0" w:color="auto"/>
              <w:bottom w:val="single" w:sz="4" w:space="0" w:color="595959" w:themeColor="text1" w:themeTint="A6"/>
              <w:right w:val="single" w:sz="18" w:space="0" w:color="auto"/>
            </w:tcBorders>
            <w:tcMar>
              <w:top w:w="30" w:type="dxa"/>
              <w:left w:w="45" w:type="dxa"/>
              <w:bottom w:w="30" w:type="dxa"/>
              <w:right w:w="45" w:type="dxa"/>
            </w:tcMar>
            <w:vAlign w:val="center"/>
            <w:hideMark/>
          </w:tcPr>
          <w:p w14:paraId="1EE2FB94" w14:textId="798BC402" w:rsidR="009C3C33" w:rsidRPr="002E55DE" w:rsidRDefault="009C3C33" w:rsidP="009C3C33">
            <w:pPr>
              <w:rPr>
                <w:rFonts w:ascii="Times New Roman" w:eastAsia="Times New Roman" w:hAnsi="Times New Roman"/>
                <w:i/>
                <w:iCs/>
                <w:sz w:val="20"/>
              </w:rPr>
            </w:pPr>
            <w:r w:rsidRPr="002E55DE">
              <w:rPr>
                <w:rFonts w:ascii="Times New Roman" w:eastAsia="Times New Roman" w:hAnsi="Times New Roman"/>
                <w:i/>
                <w:iCs/>
                <w:sz w:val="20"/>
              </w:rPr>
              <w:t>Household composition (</w:t>
            </w:r>
            <w:r w:rsidR="00FA0B71" w:rsidRPr="002E55DE">
              <w:rPr>
                <w:rFonts w:ascii="Times New Roman" w:eastAsia="Times New Roman" w:hAnsi="Times New Roman"/>
                <w:i/>
                <w:iCs/>
                <w:sz w:val="20"/>
              </w:rPr>
              <w:t xml:space="preserve">base: </w:t>
            </w:r>
            <w:r w:rsidRPr="002E55DE">
              <w:rPr>
                <w:rFonts w:ascii="Times New Roman" w:eastAsiaTheme="minorEastAsia" w:hAnsi="Times New Roman" w:hint="eastAsia"/>
                <w:i/>
                <w:iCs/>
                <w:sz w:val="20"/>
                <w:lang w:eastAsia="ko-KR"/>
              </w:rPr>
              <w:t>T</w:t>
            </w:r>
            <w:r w:rsidR="00CD25AF" w:rsidRPr="002E55DE">
              <w:rPr>
                <w:rFonts w:ascii="Times New Roman" w:eastAsiaTheme="minorEastAsia" w:hAnsi="Times New Roman"/>
                <w:i/>
                <w:iCs/>
                <w:sz w:val="20"/>
                <w:lang w:eastAsia="ko-KR"/>
              </w:rPr>
              <w:t xml:space="preserve">wo </w:t>
            </w:r>
            <w:r w:rsidRPr="002E55DE">
              <w:rPr>
                <w:rFonts w:ascii="Times New Roman" w:eastAsiaTheme="minorEastAsia" w:hAnsi="Times New Roman" w:hint="eastAsia"/>
                <w:i/>
                <w:iCs/>
                <w:sz w:val="20"/>
                <w:lang w:eastAsia="ko-KR"/>
              </w:rPr>
              <w:t>adult</w:t>
            </w:r>
            <w:r w:rsidR="000E2265" w:rsidRPr="002E55DE">
              <w:rPr>
                <w:rFonts w:ascii="Times New Roman" w:eastAsiaTheme="minorEastAsia" w:hAnsi="Times New Roman" w:hint="eastAsia"/>
                <w:i/>
                <w:iCs/>
                <w:sz w:val="20"/>
                <w:lang w:eastAsia="ko-KR"/>
              </w:rPr>
              <w:t>s</w:t>
            </w:r>
            <w:r w:rsidRPr="002E55DE">
              <w:rPr>
                <w:rFonts w:ascii="Times New Roman" w:eastAsia="Times New Roman" w:hAnsi="Times New Roman"/>
                <w:i/>
                <w:iCs/>
                <w:sz w:val="20"/>
              </w:rPr>
              <w:t xml:space="preserve"> without child)</w:t>
            </w:r>
          </w:p>
        </w:tc>
      </w:tr>
      <w:tr w:rsidR="002E55DE" w:rsidRPr="002E55DE" w14:paraId="62360F45" w14:textId="7D3DF9F5" w:rsidTr="00EE4E12">
        <w:trPr>
          <w:trHeight w:val="144"/>
        </w:trPr>
        <w:tc>
          <w:tcPr>
            <w:tcW w:w="1950" w:type="pct"/>
            <w:tcBorders>
              <w:top w:val="single"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35DE0445" w14:textId="0C5A55C4" w:rsidR="009C3C33" w:rsidRPr="002E55DE" w:rsidRDefault="00CD25AF" w:rsidP="009C3C33">
            <w:pPr>
              <w:ind w:left="144"/>
              <w:rPr>
                <w:rFonts w:ascii="Times New Roman" w:eastAsiaTheme="minorEastAsia" w:hAnsi="Times New Roman"/>
                <w:sz w:val="20"/>
                <w:lang w:eastAsia="ko-KR"/>
              </w:rPr>
            </w:pPr>
            <w:r w:rsidRPr="002E55DE">
              <w:rPr>
                <w:rFonts w:ascii="Times New Roman" w:eastAsiaTheme="minorEastAsia" w:hAnsi="Times New Roman"/>
                <w:sz w:val="20"/>
                <w:lang w:eastAsia="ko-KR"/>
              </w:rPr>
              <w:t>Single adult</w:t>
            </w:r>
            <w:r w:rsidR="003A1A3B" w:rsidRPr="002E55DE">
              <w:rPr>
                <w:rFonts w:ascii="Times New Roman" w:eastAsiaTheme="minorEastAsia" w:hAnsi="Times New Roman" w:hint="eastAsia"/>
                <w:sz w:val="20"/>
                <w:lang w:eastAsia="ko-KR"/>
              </w:rPr>
              <w:t xml:space="preserve"> without child</w:t>
            </w:r>
          </w:p>
        </w:tc>
        <w:tc>
          <w:tcPr>
            <w:tcW w:w="552"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2156A5F5" w14:textId="3098BA5D" w:rsidR="009C3C33" w:rsidRPr="002E55DE" w:rsidRDefault="009C3C33"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441"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14296825" w14:textId="1B70AC21" w:rsidR="009C3C33" w:rsidRPr="002E55DE" w:rsidRDefault="009C3C33"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552"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138D1981" w14:textId="74EB5B49" w:rsidR="009C3C33" w:rsidRPr="002E55DE" w:rsidRDefault="00334952"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553"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271816F9" w14:textId="73ED13F4" w:rsidR="009C3C33" w:rsidRPr="002E55DE" w:rsidRDefault="00334952"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477" w:type="pct"/>
            <w:tcBorders>
              <w:top w:val="single" w:sz="4" w:space="0" w:color="595959" w:themeColor="text1" w:themeTint="A6"/>
              <w:left w:val="single" w:sz="12" w:space="0" w:color="auto"/>
              <w:bottom w:val="dashSmallGap" w:sz="4" w:space="0" w:color="595959" w:themeColor="text1" w:themeTint="A6"/>
              <w:right w:val="single" w:sz="4" w:space="0" w:color="auto"/>
            </w:tcBorders>
          </w:tcPr>
          <w:p w14:paraId="3849E5DE" w14:textId="681866F3" w:rsidR="009C3C33" w:rsidRPr="002E55DE" w:rsidRDefault="001E4693"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w:t>
            </w:r>
            <w:r w:rsidR="009C12E5" w:rsidRPr="002E55DE">
              <w:rPr>
                <w:rFonts w:ascii="Times New Roman" w:eastAsiaTheme="minorEastAsia" w:hAnsi="Times New Roman" w:hint="eastAsia"/>
                <w:sz w:val="20"/>
                <w:lang w:eastAsia="ko-KR"/>
              </w:rPr>
              <w:t>2</w:t>
            </w:r>
            <w:r w:rsidR="00192CE5" w:rsidRPr="002E55DE">
              <w:rPr>
                <w:rFonts w:ascii="Times New Roman" w:eastAsiaTheme="minorEastAsia" w:hAnsi="Times New Roman" w:hint="eastAsia"/>
                <w:sz w:val="20"/>
                <w:lang w:eastAsia="ko-KR"/>
              </w:rPr>
              <w:t>83</w:t>
            </w:r>
          </w:p>
        </w:tc>
        <w:tc>
          <w:tcPr>
            <w:tcW w:w="475" w:type="pct"/>
            <w:tcBorders>
              <w:top w:val="single" w:sz="4" w:space="0" w:color="595959" w:themeColor="text1" w:themeTint="A6"/>
              <w:left w:val="single" w:sz="4" w:space="0" w:color="auto"/>
              <w:bottom w:val="dashSmallGap" w:sz="4" w:space="0" w:color="595959" w:themeColor="text1" w:themeTint="A6"/>
              <w:right w:val="single" w:sz="18" w:space="0" w:color="auto"/>
            </w:tcBorders>
          </w:tcPr>
          <w:p w14:paraId="4DAB185A" w14:textId="0B326F7E" w:rsidR="009C3C33" w:rsidRPr="002E55DE" w:rsidRDefault="001E4693"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9C12E5" w:rsidRPr="002E55DE">
              <w:rPr>
                <w:rFonts w:ascii="Times New Roman" w:eastAsiaTheme="minorEastAsia" w:hAnsi="Times New Roman" w:hint="eastAsia"/>
                <w:sz w:val="20"/>
                <w:lang w:eastAsia="ko-KR"/>
              </w:rPr>
              <w:t>4</w:t>
            </w:r>
            <w:r w:rsidRPr="002E55DE">
              <w:rPr>
                <w:rFonts w:ascii="Times New Roman" w:eastAsiaTheme="minorEastAsia" w:hAnsi="Times New Roman" w:hint="eastAsia"/>
                <w:sz w:val="20"/>
                <w:lang w:eastAsia="ko-KR"/>
              </w:rPr>
              <w:t>.</w:t>
            </w:r>
            <w:r w:rsidR="00192CE5" w:rsidRPr="002E55DE">
              <w:rPr>
                <w:rFonts w:ascii="Times New Roman" w:eastAsiaTheme="minorEastAsia" w:hAnsi="Times New Roman" w:hint="eastAsia"/>
                <w:sz w:val="20"/>
                <w:lang w:eastAsia="ko-KR"/>
              </w:rPr>
              <w:t>8</w:t>
            </w:r>
            <w:r w:rsidR="009C12E5" w:rsidRPr="002E55DE">
              <w:rPr>
                <w:rFonts w:ascii="Times New Roman" w:eastAsiaTheme="minorEastAsia" w:hAnsi="Times New Roman" w:hint="eastAsia"/>
                <w:sz w:val="20"/>
                <w:lang w:eastAsia="ko-KR"/>
              </w:rPr>
              <w:t>9</w:t>
            </w:r>
          </w:p>
        </w:tc>
      </w:tr>
      <w:tr w:rsidR="002E55DE" w:rsidRPr="002E55DE" w14:paraId="17E829A8" w14:textId="77777777" w:rsidTr="00EE4E12">
        <w:trPr>
          <w:trHeight w:val="144"/>
        </w:trPr>
        <w:tc>
          <w:tcPr>
            <w:tcW w:w="1950" w:type="pct"/>
            <w:tcBorders>
              <w:top w:val="single"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6AF77FCA" w14:textId="0F59BA4C" w:rsidR="004D0DE0" w:rsidRPr="002E55DE" w:rsidRDefault="004D0DE0" w:rsidP="009C3C33">
            <w:pPr>
              <w:ind w:left="144"/>
              <w:rPr>
                <w:rFonts w:ascii="Times New Roman" w:eastAsiaTheme="minorEastAsia" w:hAnsi="Times New Roman"/>
                <w:sz w:val="20"/>
                <w:lang w:eastAsia="ko-KR"/>
              </w:rPr>
            </w:pPr>
            <w:r w:rsidRPr="002E55DE">
              <w:rPr>
                <w:rFonts w:ascii="Times New Roman" w:eastAsiaTheme="minorEastAsia" w:hAnsi="Times New Roman"/>
                <w:sz w:val="20"/>
                <w:lang w:eastAsia="ko-KR"/>
              </w:rPr>
              <w:t xml:space="preserve">Three or more </w:t>
            </w:r>
            <w:r w:rsidR="00C754FC" w:rsidRPr="002E55DE">
              <w:rPr>
                <w:rFonts w:ascii="Times New Roman" w:eastAsiaTheme="minorEastAsia" w:hAnsi="Times New Roman"/>
                <w:sz w:val="20"/>
                <w:lang w:eastAsia="ko-KR"/>
              </w:rPr>
              <w:t>adults</w:t>
            </w:r>
            <w:r w:rsidRPr="002E55DE">
              <w:rPr>
                <w:rFonts w:ascii="Times New Roman" w:eastAsiaTheme="minorEastAsia" w:hAnsi="Times New Roman"/>
                <w:sz w:val="20"/>
                <w:lang w:eastAsia="ko-KR"/>
              </w:rPr>
              <w:t xml:space="preserve"> without child</w:t>
            </w:r>
          </w:p>
        </w:tc>
        <w:tc>
          <w:tcPr>
            <w:tcW w:w="552"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33EE4D50" w14:textId="232E5A5C" w:rsidR="004D0DE0" w:rsidRPr="002E55DE" w:rsidRDefault="004D0DE0"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441"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5818C350" w14:textId="59033616" w:rsidR="004D0DE0" w:rsidRPr="002E55DE" w:rsidRDefault="004D0DE0"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552"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4909B851" w14:textId="28EBE7E0" w:rsidR="004D0DE0" w:rsidRPr="002E55DE" w:rsidRDefault="001E4693"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192CE5" w:rsidRPr="002E55DE">
              <w:rPr>
                <w:rFonts w:ascii="Times New Roman" w:eastAsiaTheme="minorEastAsia" w:hAnsi="Times New Roman" w:hint="eastAsia"/>
                <w:sz w:val="20"/>
                <w:lang w:eastAsia="ko-KR"/>
              </w:rPr>
              <w:t>0.119</w:t>
            </w:r>
          </w:p>
        </w:tc>
        <w:tc>
          <w:tcPr>
            <w:tcW w:w="553"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14F0D69E" w14:textId="01E515AD" w:rsidR="004D0DE0" w:rsidRPr="002E55DE" w:rsidRDefault="001E4693" w:rsidP="009C3C33">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192CE5" w:rsidRPr="002E55DE">
              <w:rPr>
                <w:rFonts w:ascii="Times New Roman" w:eastAsiaTheme="minorEastAsia" w:hAnsi="Times New Roman" w:hint="eastAsia"/>
                <w:sz w:val="20"/>
                <w:lang w:eastAsia="ko-KR"/>
              </w:rPr>
              <w:t>1.89</w:t>
            </w:r>
          </w:p>
        </w:tc>
        <w:tc>
          <w:tcPr>
            <w:tcW w:w="477" w:type="pct"/>
            <w:tcBorders>
              <w:top w:val="single" w:sz="4" w:space="0" w:color="595959" w:themeColor="text1" w:themeTint="A6"/>
              <w:left w:val="single" w:sz="12" w:space="0" w:color="auto"/>
              <w:bottom w:val="dashSmallGap" w:sz="4" w:space="0" w:color="595959" w:themeColor="text1" w:themeTint="A6"/>
              <w:right w:val="single" w:sz="4" w:space="0" w:color="auto"/>
            </w:tcBorders>
          </w:tcPr>
          <w:p w14:paraId="7666210B" w14:textId="1BA4816B" w:rsidR="004D0DE0" w:rsidRPr="002E55DE" w:rsidRDefault="00980D67" w:rsidP="009C3C33">
            <w:pPr>
              <w:jc w:val="right"/>
              <w:rPr>
                <w:rFonts w:ascii="Times New Roman" w:eastAsia="Times New Roman" w:hAnsi="Times New Roman"/>
                <w:sz w:val="20"/>
              </w:rPr>
            </w:pPr>
            <w:r w:rsidRPr="002E55DE">
              <w:rPr>
                <w:rFonts w:ascii="Times New Roman" w:eastAsia="Times New Roman" w:hAnsi="Times New Roman"/>
                <w:sz w:val="20"/>
              </w:rPr>
              <w:t>--</w:t>
            </w:r>
          </w:p>
        </w:tc>
        <w:tc>
          <w:tcPr>
            <w:tcW w:w="475" w:type="pct"/>
            <w:tcBorders>
              <w:top w:val="single" w:sz="4" w:space="0" w:color="595959" w:themeColor="text1" w:themeTint="A6"/>
              <w:left w:val="single" w:sz="4" w:space="0" w:color="auto"/>
              <w:bottom w:val="dashSmallGap" w:sz="4" w:space="0" w:color="595959" w:themeColor="text1" w:themeTint="A6"/>
              <w:right w:val="single" w:sz="18" w:space="0" w:color="auto"/>
            </w:tcBorders>
          </w:tcPr>
          <w:p w14:paraId="470EA54C" w14:textId="2AEDFC98" w:rsidR="004D0DE0" w:rsidRPr="002E55DE" w:rsidRDefault="00980D67" w:rsidP="009C3C33">
            <w:pPr>
              <w:jc w:val="right"/>
              <w:rPr>
                <w:rFonts w:ascii="Times New Roman" w:eastAsia="Times New Roman" w:hAnsi="Times New Roman"/>
                <w:sz w:val="20"/>
              </w:rPr>
            </w:pPr>
            <w:r w:rsidRPr="002E55DE">
              <w:rPr>
                <w:rFonts w:ascii="Times New Roman" w:eastAsia="Times New Roman" w:hAnsi="Times New Roman"/>
                <w:sz w:val="20"/>
              </w:rPr>
              <w:t>--</w:t>
            </w:r>
          </w:p>
        </w:tc>
      </w:tr>
      <w:tr w:rsidR="002E55DE" w:rsidRPr="002E55DE" w14:paraId="58810A9E" w14:textId="77777777" w:rsidTr="00EE4E12">
        <w:trPr>
          <w:trHeight w:val="144"/>
        </w:trPr>
        <w:tc>
          <w:tcPr>
            <w:tcW w:w="1950" w:type="pct"/>
            <w:tcBorders>
              <w:top w:val="single"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5795B67F" w14:textId="054E9C50" w:rsidR="00094816" w:rsidRPr="002E55DE" w:rsidRDefault="00094816" w:rsidP="00980D67">
            <w:pPr>
              <w:ind w:left="144"/>
              <w:rPr>
                <w:rFonts w:ascii="Times New Roman" w:eastAsiaTheme="minorEastAsia" w:hAnsi="Times New Roman"/>
                <w:sz w:val="20"/>
                <w:lang w:eastAsia="ko-KR"/>
              </w:rPr>
            </w:pPr>
            <w:r w:rsidRPr="002E55DE">
              <w:rPr>
                <w:rFonts w:ascii="Times New Roman" w:eastAsiaTheme="minorEastAsia" w:hAnsi="Times New Roman"/>
                <w:sz w:val="20"/>
                <w:lang w:eastAsia="ko-KR"/>
              </w:rPr>
              <w:t>Single adult with child</w:t>
            </w:r>
          </w:p>
        </w:tc>
        <w:tc>
          <w:tcPr>
            <w:tcW w:w="552" w:type="pct"/>
            <w:vMerge w:val="restart"/>
            <w:tcBorders>
              <w:top w:val="single" w:sz="4" w:space="0" w:color="595959" w:themeColor="text1" w:themeTint="A6"/>
              <w:left w:val="single" w:sz="12" w:space="0" w:color="auto"/>
              <w:right w:val="single" w:sz="6" w:space="0" w:color="auto"/>
            </w:tcBorders>
            <w:tcMar>
              <w:top w:w="30" w:type="dxa"/>
              <w:left w:w="45" w:type="dxa"/>
              <w:bottom w:w="30" w:type="dxa"/>
              <w:right w:w="45" w:type="dxa"/>
            </w:tcMar>
            <w:vAlign w:val="center"/>
          </w:tcPr>
          <w:p w14:paraId="2587017A" w14:textId="63501734" w:rsidR="00094816" w:rsidRPr="002E55DE" w:rsidRDefault="001E4693"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w:t>
            </w:r>
            <w:r w:rsidR="00F529B6" w:rsidRPr="002E55DE">
              <w:rPr>
                <w:rFonts w:ascii="Times New Roman" w:eastAsiaTheme="minorEastAsia" w:hAnsi="Times New Roman" w:hint="eastAsia"/>
                <w:sz w:val="20"/>
                <w:lang w:eastAsia="ko-KR"/>
              </w:rPr>
              <w:t>204</w:t>
            </w:r>
          </w:p>
        </w:tc>
        <w:tc>
          <w:tcPr>
            <w:tcW w:w="441" w:type="pct"/>
            <w:vMerge w:val="restart"/>
            <w:tcBorders>
              <w:top w:val="single" w:sz="4" w:space="0" w:color="595959" w:themeColor="text1" w:themeTint="A6"/>
              <w:left w:val="single" w:sz="6" w:space="0" w:color="auto"/>
              <w:right w:val="single" w:sz="12" w:space="0" w:color="auto"/>
            </w:tcBorders>
            <w:tcMar>
              <w:top w:w="30" w:type="dxa"/>
              <w:left w:w="45" w:type="dxa"/>
              <w:bottom w:w="30" w:type="dxa"/>
              <w:right w:w="45" w:type="dxa"/>
            </w:tcMar>
            <w:vAlign w:val="center"/>
          </w:tcPr>
          <w:p w14:paraId="475068E8" w14:textId="4C7D33D6" w:rsidR="00094816" w:rsidRPr="002E55DE" w:rsidRDefault="001E4693"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-3.</w:t>
            </w:r>
            <w:r w:rsidR="00AF5FAB" w:rsidRPr="002E55DE">
              <w:rPr>
                <w:rFonts w:ascii="Times New Roman" w:eastAsiaTheme="minorEastAsia" w:hAnsi="Times New Roman" w:hint="eastAsia"/>
                <w:sz w:val="20"/>
                <w:lang w:eastAsia="ko-KR"/>
              </w:rPr>
              <w:t>30</w:t>
            </w:r>
          </w:p>
        </w:tc>
        <w:tc>
          <w:tcPr>
            <w:tcW w:w="552"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72D55FF9" w14:textId="48C72BDB" w:rsidR="00094816" w:rsidRPr="002E55DE" w:rsidRDefault="00094816" w:rsidP="00980D67">
            <w:pPr>
              <w:jc w:val="right"/>
              <w:rPr>
                <w:rFonts w:ascii="Times New Roman" w:eastAsia="Times New Roman" w:hAnsi="Times New Roman"/>
                <w:sz w:val="20"/>
              </w:rPr>
            </w:pPr>
            <w:r w:rsidRPr="002E55DE">
              <w:rPr>
                <w:rFonts w:ascii="Times New Roman" w:eastAsia="Times New Roman" w:hAnsi="Times New Roman"/>
                <w:sz w:val="20"/>
              </w:rPr>
              <w:t>--</w:t>
            </w:r>
          </w:p>
        </w:tc>
        <w:tc>
          <w:tcPr>
            <w:tcW w:w="553"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7ECFCF89" w14:textId="3264CD60" w:rsidR="00094816" w:rsidRPr="002E55DE" w:rsidRDefault="00094816" w:rsidP="00980D67">
            <w:pPr>
              <w:jc w:val="right"/>
              <w:rPr>
                <w:rFonts w:ascii="Times New Roman" w:eastAsia="Times New Roman" w:hAnsi="Times New Roman"/>
                <w:sz w:val="20"/>
              </w:rPr>
            </w:pPr>
            <w:r w:rsidRPr="002E55DE">
              <w:rPr>
                <w:rFonts w:ascii="Times New Roman" w:eastAsia="Times New Roman" w:hAnsi="Times New Roman"/>
                <w:sz w:val="20"/>
              </w:rPr>
              <w:t>--</w:t>
            </w:r>
          </w:p>
        </w:tc>
        <w:tc>
          <w:tcPr>
            <w:tcW w:w="477" w:type="pct"/>
            <w:vMerge w:val="restart"/>
            <w:tcBorders>
              <w:top w:val="single" w:sz="4" w:space="0" w:color="595959" w:themeColor="text1" w:themeTint="A6"/>
              <w:left w:val="single" w:sz="12" w:space="0" w:color="auto"/>
              <w:right w:val="single" w:sz="4" w:space="0" w:color="auto"/>
            </w:tcBorders>
            <w:vAlign w:val="center"/>
          </w:tcPr>
          <w:p w14:paraId="0559B32F" w14:textId="17AAD1A4" w:rsidR="00094816" w:rsidRPr="002E55DE" w:rsidRDefault="00D85134" w:rsidP="00094816">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0.2</w:t>
            </w:r>
            <w:r w:rsidR="009C12E5" w:rsidRPr="002E55DE">
              <w:rPr>
                <w:rFonts w:ascii="Times New Roman" w:eastAsiaTheme="minorEastAsia" w:hAnsi="Times New Roman" w:hint="eastAsia"/>
                <w:sz w:val="20"/>
                <w:lang w:eastAsia="ko-KR"/>
              </w:rPr>
              <w:t>57</w:t>
            </w:r>
          </w:p>
        </w:tc>
        <w:tc>
          <w:tcPr>
            <w:tcW w:w="475" w:type="pct"/>
            <w:vMerge w:val="restart"/>
            <w:tcBorders>
              <w:top w:val="single" w:sz="4" w:space="0" w:color="595959" w:themeColor="text1" w:themeTint="A6"/>
              <w:left w:val="single" w:sz="4" w:space="0" w:color="auto"/>
              <w:right w:val="single" w:sz="18" w:space="0" w:color="auto"/>
            </w:tcBorders>
            <w:vAlign w:val="center"/>
          </w:tcPr>
          <w:p w14:paraId="5D3BC1A7" w14:textId="7A3A761A" w:rsidR="00094816" w:rsidRPr="002E55DE" w:rsidRDefault="00D85134" w:rsidP="00094816">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3.</w:t>
            </w:r>
            <w:r w:rsidR="009C12E5" w:rsidRPr="002E55DE">
              <w:rPr>
                <w:rFonts w:ascii="Times New Roman" w:eastAsiaTheme="minorEastAsia" w:hAnsi="Times New Roman" w:hint="eastAsia"/>
                <w:sz w:val="20"/>
                <w:lang w:eastAsia="ko-KR"/>
              </w:rPr>
              <w:t>3</w:t>
            </w:r>
            <w:r w:rsidR="00192CE5" w:rsidRPr="002E55DE">
              <w:rPr>
                <w:rFonts w:ascii="Times New Roman" w:eastAsiaTheme="minorEastAsia" w:hAnsi="Times New Roman" w:hint="eastAsia"/>
                <w:sz w:val="20"/>
                <w:lang w:eastAsia="ko-KR"/>
              </w:rPr>
              <w:t>9</w:t>
            </w:r>
          </w:p>
        </w:tc>
      </w:tr>
      <w:tr w:rsidR="002E55DE" w:rsidRPr="002E55DE" w14:paraId="42B9889D" w14:textId="77777777" w:rsidTr="00EE4E12">
        <w:trPr>
          <w:trHeight w:val="144"/>
        </w:trPr>
        <w:tc>
          <w:tcPr>
            <w:tcW w:w="1950" w:type="pct"/>
            <w:tcBorders>
              <w:top w:val="single"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0BC89FB5" w14:textId="03E02440" w:rsidR="00094816" w:rsidRPr="002E55DE" w:rsidRDefault="00094816" w:rsidP="00980D67">
            <w:pPr>
              <w:ind w:left="144"/>
              <w:rPr>
                <w:rFonts w:ascii="Times New Roman" w:eastAsiaTheme="minorEastAsia" w:hAnsi="Times New Roman"/>
                <w:sz w:val="20"/>
                <w:lang w:eastAsia="ko-KR"/>
              </w:rPr>
            </w:pPr>
            <w:r w:rsidRPr="002E55DE">
              <w:rPr>
                <w:rFonts w:ascii="Times New Roman" w:eastAsiaTheme="minorEastAsia" w:hAnsi="Times New Roman"/>
                <w:sz w:val="20"/>
                <w:lang w:eastAsia="ko-KR"/>
              </w:rPr>
              <w:t>Two adult</w:t>
            </w:r>
            <w:r w:rsidRPr="002E55DE">
              <w:rPr>
                <w:rFonts w:ascii="Times New Roman" w:eastAsiaTheme="minorEastAsia" w:hAnsi="Times New Roman" w:hint="eastAsia"/>
                <w:sz w:val="20"/>
                <w:lang w:eastAsia="ko-KR"/>
              </w:rPr>
              <w:t>s</w:t>
            </w:r>
            <w:r w:rsidRPr="002E55DE">
              <w:rPr>
                <w:rFonts w:ascii="Times New Roman" w:eastAsiaTheme="minorEastAsia" w:hAnsi="Times New Roman"/>
                <w:sz w:val="20"/>
                <w:lang w:eastAsia="ko-KR"/>
              </w:rPr>
              <w:t xml:space="preserve"> with child</w:t>
            </w:r>
          </w:p>
        </w:tc>
        <w:tc>
          <w:tcPr>
            <w:tcW w:w="552" w:type="pct"/>
            <w:vMerge/>
            <w:tcBorders>
              <w:left w:val="single" w:sz="12" w:space="0" w:color="auto"/>
              <w:right w:val="single" w:sz="6" w:space="0" w:color="auto"/>
            </w:tcBorders>
            <w:tcMar>
              <w:top w:w="30" w:type="dxa"/>
              <w:left w:w="45" w:type="dxa"/>
              <w:bottom w:w="30" w:type="dxa"/>
              <w:right w:w="45" w:type="dxa"/>
            </w:tcMar>
          </w:tcPr>
          <w:p w14:paraId="2AA3A7FD" w14:textId="77777777" w:rsidR="00094816" w:rsidRPr="002E55DE" w:rsidRDefault="00094816" w:rsidP="00980D67">
            <w:pPr>
              <w:jc w:val="right"/>
              <w:rPr>
                <w:rFonts w:ascii="Times New Roman" w:eastAsia="Times New Roman" w:hAnsi="Times New Roman"/>
                <w:sz w:val="20"/>
              </w:rPr>
            </w:pPr>
          </w:p>
        </w:tc>
        <w:tc>
          <w:tcPr>
            <w:tcW w:w="441" w:type="pct"/>
            <w:vMerge/>
            <w:tcBorders>
              <w:left w:val="single" w:sz="6" w:space="0" w:color="auto"/>
              <w:right w:val="single" w:sz="12" w:space="0" w:color="auto"/>
            </w:tcBorders>
            <w:tcMar>
              <w:top w:w="30" w:type="dxa"/>
              <w:left w:w="45" w:type="dxa"/>
              <w:bottom w:w="30" w:type="dxa"/>
              <w:right w:w="45" w:type="dxa"/>
            </w:tcMar>
          </w:tcPr>
          <w:p w14:paraId="63706874" w14:textId="77777777" w:rsidR="00094816" w:rsidRPr="002E55DE" w:rsidRDefault="00094816" w:rsidP="00980D67">
            <w:pPr>
              <w:jc w:val="right"/>
              <w:rPr>
                <w:rFonts w:ascii="Times New Roman" w:eastAsia="Times New Roman" w:hAnsi="Times New Roman"/>
                <w:sz w:val="20"/>
              </w:rPr>
            </w:pPr>
          </w:p>
        </w:tc>
        <w:tc>
          <w:tcPr>
            <w:tcW w:w="552"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6A641848" w14:textId="719BA25C" w:rsidR="00094816" w:rsidRPr="002E55DE" w:rsidRDefault="00094816" w:rsidP="00980D67">
            <w:pPr>
              <w:jc w:val="right"/>
              <w:rPr>
                <w:rFonts w:ascii="Times New Roman" w:eastAsia="Times New Roman" w:hAnsi="Times New Roman"/>
                <w:sz w:val="20"/>
              </w:rPr>
            </w:pPr>
            <w:r w:rsidRPr="002E55DE">
              <w:rPr>
                <w:rFonts w:ascii="Times New Roman" w:eastAsia="Times New Roman" w:hAnsi="Times New Roman"/>
                <w:sz w:val="20"/>
              </w:rPr>
              <w:t>--</w:t>
            </w:r>
          </w:p>
        </w:tc>
        <w:tc>
          <w:tcPr>
            <w:tcW w:w="553"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1D0482D0" w14:textId="5DA9C010" w:rsidR="00094816" w:rsidRPr="002E55DE" w:rsidRDefault="00094816" w:rsidP="00980D67">
            <w:pPr>
              <w:jc w:val="right"/>
              <w:rPr>
                <w:rFonts w:ascii="Times New Roman" w:eastAsia="Times New Roman" w:hAnsi="Times New Roman"/>
                <w:sz w:val="20"/>
              </w:rPr>
            </w:pPr>
            <w:r w:rsidRPr="002E55DE">
              <w:rPr>
                <w:rFonts w:ascii="Times New Roman" w:eastAsia="Times New Roman" w:hAnsi="Times New Roman"/>
                <w:sz w:val="20"/>
              </w:rPr>
              <w:t>--</w:t>
            </w:r>
          </w:p>
        </w:tc>
        <w:tc>
          <w:tcPr>
            <w:tcW w:w="477" w:type="pct"/>
            <w:vMerge/>
            <w:tcBorders>
              <w:left w:val="single" w:sz="12" w:space="0" w:color="auto"/>
              <w:right w:val="single" w:sz="4" w:space="0" w:color="auto"/>
            </w:tcBorders>
          </w:tcPr>
          <w:p w14:paraId="511B1451" w14:textId="4F64F4B5" w:rsidR="00094816" w:rsidRPr="002E55DE" w:rsidRDefault="00094816" w:rsidP="00980D67">
            <w:pPr>
              <w:jc w:val="right"/>
              <w:rPr>
                <w:rFonts w:ascii="Times New Roman" w:eastAsia="Times New Roman" w:hAnsi="Times New Roman"/>
                <w:sz w:val="20"/>
                <w:highlight w:val="yellow"/>
              </w:rPr>
            </w:pPr>
          </w:p>
        </w:tc>
        <w:tc>
          <w:tcPr>
            <w:tcW w:w="475" w:type="pct"/>
            <w:vMerge/>
            <w:tcBorders>
              <w:left w:val="single" w:sz="4" w:space="0" w:color="auto"/>
              <w:right w:val="single" w:sz="18" w:space="0" w:color="auto"/>
            </w:tcBorders>
          </w:tcPr>
          <w:p w14:paraId="16E74E74" w14:textId="0E30E4E7" w:rsidR="00094816" w:rsidRPr="002E55DE" w:rsidRDefault="00094816" w:rsidP="00980D67">
            <w:pPr>
              <w:jc w:val="right"/>
              <w:rPr>
                <w:rFonts w:ascii="Times New Roman" w:eastAsia="Times New Roman" w:hAnsi="Times New Roman"/>
                <w:sz w:val="20"/>
              </w:rPr>
            </w:pPr>
          </w:p>
        </w:tc>
      </w:tr>
      <w:tr w:rsidR="002E55DE" w:rsidRPr="002E55DE" w14:paraId="72E0D775" w14:textId="77777777" w:rsidTr="00EE4E12">
        <w:trPr>
          <w:trHeight w:val="144"/>
        </w:trPr>
        <w:tc>
          <w:tcPr>
            <w:tcW w:w="1950" w:type="pct"/>
            <w:tcBorders>
              <w:top w:val="single" w:sz="4" w:space="0" w:color="595959" w:themeColor="text1" w:themeTint="A6"/>
              <w:left w:val="single" w:sz="18" w:space="0" w:color="auto"/>
              <w:bottom w:val="single" w:sz="4" w:space="0" w:color="auto"/>
              <w:right w:val="single" w:sz="12" w:space="0" w:color="auto"/>
            </w:tcBorders>
            <w:tcMar>
              <w:top w:w="30" w:type="dxa"/>
              <w:left w:w="45" w:type="dxa"/>
              <w:bottom w:w="30" w:type="dxa"/>
              <w:right w:w="45" w:type="dxa"/>
            </w:tcMar>
            <w:vAlign w:val="center"/>
          </w:tcPr>
          <w:p w14:paraId="1892AC36" w14:textId="1B679CEB" w:rsidR="00094816" w:rsidRPr="002E55DE" w:rsidRDefault="00094816" w:rsidP="00980D67">
            <w:pPr>
              <w:ind w:left="144"/>
              <w:rPr>
                <w:rFonts w:ascii="Times New Roman" w:eastAsiaTheme="minorEastAsia" w:hAnsi="Times New Roman"/>
                <w:sz w:val="20"/>
                <w:lang w:eastAsia="ko-KR"/>
              </w:rPr>
            </w:pPr>
            <w:r w:rsidRPr="002E55DE">
              <w:rPr>
                <w:rFonts w:ascii="Times New Roman" w:eastAsiaTheme="minorEastAsia" w:hAnsi="Times New Roman"/>
                <w:sz w:val="20"/>
                <w:lang w:eastAsia="ko-KR"/>
              </w:rPr>
              <w:t>Three or more adult</w:t>
            </w:r>
            <w:r w:rsidRPr="002E55DE">
              <w:rPr>
                <w:rFonts w:ascii="Times New Roman" w:eastAsiaTheme="minorEastAsia" w:hAnsi="Times New Roman" w:hint="eastAsia"/>
                <w:sz w:val="20"/>
                <w:lang w:eastAsia="ko-KR"/>
              </w:rPr>
              <w:t>s</w:t>
            </w:r>
            <w:r w:rsidRPr="002E55DE">
              <w:rPr>
                <w:rFonts w:ascii="Times New Roman" w:eastAsiaTheme="minorEastAsia" w:hAnsi="Times New Roman"/>
                <w:sz w:val="20"/>
                <w:lang w:eastAsia="ko-KR"/>
              </w:rPr>
              <w:t xml:space="preserve"> with child</w:t>
            </w:r>
          </w:p>
        </w:tc>
        <w:tc>
          <w:tcPr>
            <w:tcW w:w="552" w:type="pct"/>
            <w:vMerge/>
            <w:tcBorders>
              <w:left w:val="single" w:sz="12" w:space="0" w:color="auto"/>
              <w:bottom w:val="single" w:sz="4" w:space="0" w:color="auto"/>
              <w:right w:val="single" w:sz="6" w:space="0" w:color="auto"/>
            </w:tcBorders>
            <w:tcMar>
              <w:top w:w="30" w:type="dxa"/>
              <w:left w:w="45" w:type="dxa"/>
              <w:bottom w:w="30" w:type="dxa"/>
              <w:right w:w="45" w:type="dxa"/>
            </w:tcMar>
          </w:tcPr>
          <w:p w14:paraId="4DE54DB0" w14:textId="77777777" w:rsidR="00094816" w:rsidRPr="002E55DE" w:rsidRDefault="00094816" w:rsidP="00980D67">
            <w:pPr>
              <w:jc w:val="right"/>
              <w:rPr>
                <w:rFonts w:ascii="Times New Roman" w:eastAsia="Times New Roman" w:hAnsi="Times New Roman"/>
                <w:sz w:val="20"/>
              </w:rPr>
            </w:pPr>
          </w:p>
        </w:tc>
        <w:tc>
          <w:tcPr>
            <w:tcW w:w="441" w:type="pct"/>
            <w:vMerge/>
            <w:tcBorders>
              <w:left w:val="single" w:sz="6" w:space="0" w:color="auto"/>
              <w:bottom w:val="single" w:sz="4" w:space="0" w:color="auto"/>
              <w:right w:val="single" w:sz="12" w:space="0" w:color="auto"/>
            </w:tcBorders>
            <w:tcMar>
              <w:top w:w="30" w:type="dxa"/>
              <w:left w:w="45" w:type="dxa"/>
              <w:bottom w:w="30" w:type="dxa"/>
              <w:right w:w="45" w:type="dxa"/>
            </w:tcMar>
          </w:tcPr>
          <w:p w14:paraId="70E22A02" w14:textId="77777777" w:rsidR="00094816" w:rsidRPr="002E55DE" w:rsidRDefault="00094816" w:rsidP="00980D67">
            <w:pPr>
              <w:jc w:val="right"/>
              <w:rPr>
                <w:rFonts w:ascii="Times New Roman" w:eastAsia="Times New Roman" w:hAnsi="Times New Roman"/>
                <w:sz w:val="20"/>
              </w:rPr>
            </w:pPr>
          </w:p>
        </w:tc>
        <w:tc>
          <w:tcPr>
            <w:tcW w:w="552" w:type="pct"/>
            <w:tcBorders>
              <w:top w:val="single" w:sz="4" w:space="0" w:color="595959" w:themeColor="text1" w:themeTint="A6"/>
              <w:left w:val="single" w:sz="12" w:space="0" w:color="auto"/>
              <w:bottom w:val="single" w:sz="4" w:space="0" w:color="auto"/>
              <w:right w:val="single" w:sz="6" w:space="0" w:color="auto"/>
            </w:tcBorders>
            <w:tcMar>
              <w:top w:w="30" w:type="dxa"/>
              <w:left w:w="45" w:type="dxa"/>
              <w:bottom w:w="30" w:type="dxa"/>
              <w:right w:w="45" w:type="dxa"/>
            </w:tcMar>
          </w:tcPr>
          <w:p w14:paraId="2F727D19" w14:textId="2FD1C0BA" w:rsidR="00094816" w:rsidRPr="002E55DE" w:rsidRDefault="001E4693"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192CE5" w:rsidRPr="002E55DE">
              <w:rPr>
                <w:rFonts w:ascii="Times New Roman" w:eastAsiaTheme="minorEastAsia" w:hAnsi="Times New Roman" w:hint="eastAsia"/>
                <w:sz w:val="20"/>
                <w:lang w:eastAsia="ko-KR"/>
              </w:rPr>
              <w:t>0.218</w:t>
            </w:r>
          </w:p>
        </w:tc>
        <w:tc>
          <w:tcPr>
            <w:tcW w:w="553" w:type="pct"/>
            <w:tcBorders>
              <w:top w:val="single" w:sz="4" w:space="0" w:color="595959" w:themeColor="text1" w:themeTint="A6"/>
              <w:left w:val="single" w:sz="6" w:space="0" w:color="auto"/>
              <w:bottom w:val="single" w:sz="4" w:space="0" w:color="auto"/>
              <w:right w:val="single" w:sz="12" w:space="0" w:color="auto"/>
            </w:tcBorders>
            <w:tcMar>
              <w:top w:w="30" w:type="dxa"/>
              <w:left w:w="45" w:type="dxa"/>
              <w:bottom w:w="30" w:type="dxa"/>
              <w:right w:w="45" w:type="dxa"/>
            </w:tcMar>
          </w:tcPr>
          <w:p w14:paraId="5635F0FC" w14:textId="427338E8" w:rsidR="00094816" w:rsidRPr="002E55DE" w:rsidRDefault="001E4693"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r w:rsidR="00D25A98" w:rsidRPr="002E55DE">
              <w:rPr>
                <w:rFonts w:ascii="Times New Roman" w:eastAsiaTheme="minorEastAsia" w:hAnsi="Times New Roman" w:hint="eastAsia"/>
                <w:sz w:val="20"/>
                <w:lang w:eastAsia="ko-KR"/>
              </w:rPr>
              <w:t>2.</w:t>
            </w:r>
            <w:r w:rsidR="00192CE5" w:rsidRPr="002E55DE">
              <w:rPr>
                <w:rFonts w:ascii="Times New Roman" w:eastAsiaTheme="minorEastAsia" w:hAnsi="Times New Roman" w:hint="eastAsia"/>
                <w:sz w:val="20"/>
                <w:lang w:eastAsia="ko-KR"/>
              </w:rPr>
              <w:t>42</w:t>
            </w:r>
          </w:p>
        </w:tc>
        <w:tc>
          <w:tcPr>
            <w:tcW w:w="477" w:type="pct"/>
            <w:vMerge/>
            <w:tcBorders>
              <w:left w:val="single" w:sz="12" w:space="0" w:color="auto"/>
              <w:bottom w:val="single" w:sz="4" w:space="0" w:color="auto"/>
              <w:right w:val="single" w:sz="4" w:space="0" w:color="auto"/>
            </w:tcBorders>
          </w:tcPr>
          <w:p w14:paraId="6E6AE9A2" w14:textId="5F65F594" w:rsidR="00094816" w:rsidRPr="002E55DE" w:rsidRDefault="00094816" w:rsidP="00980D67">
            <w:pPr>
              <w:jc w:val="right"/>
              <w:rPr>
                <w:rFonts w:ascii="Times New Roman" w:eastAsia="Times New Roman" w:hAnsi="Times New Roman"/>
                <w:sz w:val="20"/>
                <w:highlight w:val="yellow"/>
              </w:rPr>
            </w:pPr>
          </w:p>
        </w:tc>
        <w:tc>
          <w:tcPr>
            <w:tcW w:w="475" w:type="pct"/>
            <w:vMerge/>
            <w:tcBorders>
              <w:left w:val="single" w:sz="4" w:space="0" w:color="auto"/>
              <w:bottom w:val="single" w:sz="4" w:space="0" w:color="auto"/>
              <w:right w:val="single" w:sz="18" w:space="0" w:color="auto"/>
            </w:tcBorders>
          </w:tcPr>
          <w:p w14:paraId="1691CFE2" w14:textId="62B654ED" w:rsidR="00094816" w:rsidRPr="002E55DE" w:rsidRDefault="00094816" w:rsidP="00980D67">
            <w:pPr>
              <w:jc w:val="right"/>
              <w:rPr>
                <w:rFonts w:ascii="Times New Roman" w:eastAsia="Times New Roman" w:hAnsi="Times New Roman"/>
                <w:sz w:val="20"/>
              </w:rPr>
            </w:pPr>
          </w:p>
        </w:tc>
      </w:tr>
      <w:tr w:rsidR="002E55DE" w:rsidRPr="002E55DE" w14:paraId="33E89F57" w14:textId="24E81819" w:rsidTr="00C26C0A">
        <w:trPr>
          <w:trHeight w:val="144"/>
        </w:trPr>
        <w:tc>
          <w:tcPr>
            <w:tcW w:w="5000" w:type="pct"/>
            <w:gridSpan w:val="7"/>
            <w:tcBorders>
              <w:top w:val="single" w:sz="4"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76F12D2D" w14:textId="63BBD96B" w:rsidR="00980D67" w:rsidRPr="002E55DE" w:rsidRDefault="00980D67" w:rsidP="00980D67">
            <w:pPr>
              <w:rPr>
                <w:rFonts w:ascii="Times New Roman" w:eastAsia="Times New Roman" w:hAnsi="Times New Roman"/>
                <w:i/>
                <w:iCs/>
                <w:sz w:val="20"/>
              </w:rPr>
            </w:pPr>
            <w:r w:rsidRPr="002E55DE">
              <w:rPr>
                <w:rFonts w:ascii="Times New Roman" w:eastAsia="Times New Roman" w:hAnsi="Times New Roman"/>
                <w:i/>
                <w:iCs/>
                <w:sz w:val="20"/>
              </w:rPr>
              <w:t>Household income (</w:t>
            </w:r>
            <w:r w:rsidR="00FA0B71" w:rsidRPr="002E55DE">
              <w:rPr>
                <w:rFonts w:ascii="Times New Roman" w:eastAsia="Times New Roman" w:hAnsi="Times New Roman"/>
                <w:i/>
                <w:iCs/>
                <w:sz w:val="20"/>
              </w:rPr>
              <w:t xml:space="preserve">base: </w:t>
            </w:r>
            <w:r w:rsidRPr="002E55DE">
              <w:rPr>
                <w:rFonts w:ascii="Times New Roman" w:eastAsia="Times New Roman" w:hAnsi="Times New Roman"/>
                <w:i/>
                <w:iCs/>
                <w:sz w:val="20"/>
              </w:rPr>
              <w:t>&lt; $100,000)</w:t>
            </w:r>
          </w:p>
        </w:tc>
      </w:tr>
      <w:tr w:rsidR="002E55DE" w:rsidRPr="002E55DE" w14:paraId="041DCC62" w14:textId="4D719F5C" w:rsidTr="00EE4E12">
        <w:trPr>
          <w:trHeight w:val="144"/>
        </w:trPr>
        <w:tc>
          <w:tcPr>
            <w:tcW w:w="1950" w:type="pct"/>
            <w:tcBorders>
              <w:top w:val="single" w:sz="6" w:space="0" w:color="auto"/>
              <w:left w:val="single" w:sz="18" w:space="0" w:color="auto"/>
              <w:bottom w:val="single" w:sz="12" w:space="0" w:color="auto"/>
              <w:right w:val="single" w:sz="12" w:space="0" w:color="auto"/>
            </w:tcBorders>
            <w:tcMar>
              <w:top w:w="30" w:type="dxa"/>
              <w:left w:w="45" w:type="dxa"/>
              <w:bottom w:w="30" w:type="dxa"/>
              <w:right w:w="45" w:type="dxa"/>
            </w:tcMar>
            <w:vAlign w:val="center"/>
            <w:hideMark/>
          </w:tcPr>
          <w:p w14:paraId="7E359C53" w14:textId="77777777" w:rsidR="00980D67" w:rsidRPr="002E55DE" w:rsidRDefault="00980D67" w:rsidP="00980D67">
            <w:pPr>
              <w:ind w:left="144"/>
              <w:rPr>
                <w:rFonts w:ascii="Times New Roman" w:eastAsia="Times New Roman" w:hAnsi="Times New Roman"/>
                <w:sz w:val="20"/>
              </w:rPr>
            </w:pPr>
            <w:r w:rsidRPr="002E55DE">
              <w:rPr>
                <w:rFonts w:ascii="Times New Roman" w:eastAsia="Times New Roman" w:hAnsi="Times New Roman"/>
                <w:sz w:val="20"/>
              </w:rPr>
              <w:t>$100,000 or higher</w:t>
            </w:r>
          </w:p>
        </w:tc>
        <w:tc>
          <w:tcPr>
            <w:tcW w:w="552" w:type="pct"/>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tcPr>
          <w:p w14:paraId="69BB268B" w14:textId="1CCFE7FA" w:rsidR="00980D67" w:rsidRPr="002E55DE" w:rsidRDefault="00D85134"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0.0</w:t>
            </w:r>
            <w:r w:rsidR="00F529B6" w:rsidRPr="002E55DE">
              <w:rPr>
                <w:rFonts w:ascii="Times New Roman" w:eastAsiaTheme="minorEastAsia" w:hAnsi="Times New Roman" w:hint="eastAsia"/>
                <w:sz w:val="20"/>
                <w:lang w:eastAsia="ko-KR"/>
              </w:rPr>
              <w:t>9</w:t>
            </w:r>
            <w:r w:rsidR="00AF5FAB" w:rsidRPr="002E55DE">
              <w:rPr>
                <w:rFonts w:ascii="Times New Roman" w:eastAsiaTheme="minorEastAsia" w:hAnsi="Times New Roman" w:hint="eastAsia"/>
                <w:sz w:val="20"/>
                <w:lang w:eastAsia="ko-KR"/>
              </w:rPr>
              <w:t>2</w:t>
            </w:r>
          </w:p>
        </w:tc>
        <w:tc>
          <w:tcPr>
            <w:tcW w:w="441" w:type="pct"/>
            <w:tcBorders>
              <w:top w:val="single" w:sz="6" w:space="0" w:color="auto"/>
              <w:left w:val="single" w:sz="6" w:space="0" w:color="auto"/>
              <w:bottom w:val="single" w:sz="12" w:space="0" w:color="auto"/>
              <w:right w:val="single" w:sz="12" w:space="0" w:color="auto"/>
            </w:tcBorders>
            <w:tcMar>
              <w:top w:w="30" w:type="dxa"/>
              <w:left w:w="45" w:type="dxa"/>
              <w:bottom w:w="30" w:type="dxa"/>
              <w:right w:w="45" w:type="dxa"/>
            </w:tcMar>
          </w:tcPr>
          <w:p w14:paraId="4BC28F37" w14:textId="6F032BC6" w:rsidR="00980D67" w:rsidRPr="002E55DE" w:rsidRDefault="00D85134"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1.</w:t>
            </w:r>
            <w:r w:rsidR="00F529B6" w:rsidRPr="002E55DE">
              <w:rPr>
                <w:rFonts w:ascii="Times New Roman" w:eastAsiaTheme="minorEastAsia" w:hAnsi="Times New Roman" w:hint="eastAsia"/>
                <w:sz w:val="20"/>
                <w:lang w:eastAsia="ko-KR"/>
              </w:rPr>
              <w:t>6</w:t>
            </w:r>
            <w:r w:rsidR="00AF5FAB" w:rsidRPr="002E55DE">
              <w:rPr>
                <w:rFonts w:ascii="Times New Roman" w:eastAsiaTheme="minorEastAsia" w:hAnsi="Times New Roman" w:hint="eastAsia"/>
                <w:sz w:val="20"/>
                <w:lang w:eastAsia="ko-KR"/>
              </w:rPr>
              <w:t>9</w:t>
            </w:r>
          </w:p>
        </w:tc>
        <w:tc>
          <w:tcPr>
            <w:tcW w:w="552" w:type="pct"/>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tcPr>
          <w:p w14:paraId="01FD2054" w14:textId="67B32F7B" w:rsidR="00980D67" w:rsidRPr="002E55DE" w:rsidRDefault="00192CE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0.149</w:t>
            </w:r>
          </w:p>
        </w:tc>
        <w:tc>
          <w:tcPr>
            <w:tcW w:w="553" w:type="pct"/>
            <w:tcBorders>
              <w:top w:val="single" w:sz="6" w:space="0" w:color="auto"/>
              <w:left w:val="single" w:sz="6" w:space="0" w:color="auto"/>
              <w:bottom w:val="single" w:sz="12" w:space="0" w:color="auto"/>
              <w:right w:val="single" w:sz="12" w:space="0" w:color="auto"/>
            </w:tcBorders>
            <w:tcMar>
              <w:top w:w="30" w:type="dxa"/>
              <w:left w:w="45" w:type="dxa"/>
              <w:bottom w:w="30" w:type="dxa"/>
              <w:right w:w="45" w:type="dxa"/>
            </w:tcMar>
          </w:tcPr>
          <w:p w14:paraId="66CDE6D8" w14:textId="0FF37C3A" w:rsidR="00980D67" w:rsidRPr="002E55DE" w:rsidRDefault="00192CE5"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2.51</w:t>
            </w:r>
          </w:p>
        </w:tc>
        <w:tc>
          <w:tcPr>
            <w:tcW w:w="477" w:type="pct"/>
            <w:tcBorders>
              <w:top w:val="single" w:sz="6" w:space="0" w:color="auto"/>
              <w:left w:val="single" w:sz="12" w:space="0" w:color="auto"/>
              <w:bottom w:val="single" w:sz="12" w:space="0" w:color="auto"/>
              <w:right w:val="single" w:sz="4" w:space="0" w:color="auto"/>
            </w:tcBorders>
          </w:tcPr>
          <w:p w14:paraId="715C1FB1" w14:textId="56BFDA5F" w:rsidR="00980D67" w:rsidRPr="002E55DE" w:rsidRDefault="00980D67" w:rsidP="00980D67">
            <w:pPr>
              <w:jc w:val="right"/>
              <w:rPr>
                <w:rFonts w:ascii="Times New Roman" w:eastAsia="Times New Roman" w:hAnsi="Times New Roman"/>
                <w:sz w:val="20"/>
              </w:rPr>
            </w:pPr>
            <w:r w:rsidRPr="002E55DE">
              <w:rPr>
                <w:rFonts w:ascii="Times New Roman" w:eastAsia="Times New Roman" w:hAnsi="Times New Roman"/>
                <w:sz w:val="20"/>
              </w:rPr>
              <w:t>--</w:t>
            </w:r>
          </w:p>
        </w:tc>
        <w:tc>
          <w:tcPr>
            <w:tcW w:w="475" w:type="pct"/>
            <w:tcBorders>
              <w:top w:val="single" w:sz="6" w:space="0" w:color="auto"/>
              <w:left w:val="single" w:sz="4" w:space="0" w:color="auto"/>
              <w:bottom w:val="single" w:sz="12" w:space="0" w:color="auto"/>
              <w:right w:val="single" w:sz="18" w:space="0" w:color="auto"/>
            </w:tcBorders>
          </w:tcPr>
          <w:p w14:paraId="1AFB7241" w14:textId="5FE63513" w:rsidR="00980D67" w:rsidRPr="002E55DE" w:rsidRDefault="00980D67" w:rsidP="00980D67">
            <w:pPr>
              <w:jc w:val="right"/>
              <w:rPr>
                <w:rFonts w:ascii="Times New Roman" w:eastAsia="Times New Roman" w:hAnsi="Times New Roman"/>
                <w:sz w:val="20"/>
              </w:rPr>
            </w:pPr>
            <w:r w:rsidRPr="002E55DE">
              <w:rPr>
                <w:rFonts w:ascii="Times New Roman" w:eastAsia="Times New Roman" w:hAnsi="Times New Roman"/>
                <w:sz w:val="20"/>
              </w:rPr>
              <w:t>--</w:t>
            </w:r>
          </w:p>
        </w:tc>
      </w:tr>
      <w:tr w:rsidR="002E55DE" w:rsidRPr="002E55DE" w14:paraId="4645BE58" w14:textId="77777777" w:rsidTr="002A3447">
        <w:trPr>
          <w:trHeight w:val="144"/>
        </w:trPr>
        <w:tc>
          <w:tcPr>
            <w:tcW w:w="5000" w:type="pct"/>
            <w:gridSpan w:val="7"/>
            <w:tcBorders>
              <w:top w:val="single" w:sz="12" w:space="0" w:color="auto"/>
              <w:left w:val="single" w:sz="18" w:space="0" w:color="auto"/>
              <w:bottom w:val="single" w:sz="12" w:space="0" w:color="auto"/>
              <w:right w:val="single" w:sz="18" w:space="0" w:color="auto"/>
            </w:tcBorders>
            <w:tcMar>
              <w:top w:w="30" w:type="dxa"/>
              <w:left w:w="45" w:type="dxa"/>
              <w:bottom w:w="30" w:type="dxa"/>
              <w:right w:w="45" w:type="dxa"/>
            </w:tcMar>
            <w:vAlign w:val="center"/>
          </w:tcPr>
          <w:p w14:paraId="276E1C70" w14:textId="2B640977" w:rsidR="0083308B" w:rsidRPr="002E55DE" w:rsidRDefault="0083308B" w:rsidP="002A3447">
            <w:pPr>
              <w:rPr>
                <w:rFonts w:ascii="Times New Roman" w:eastAsia="Times New Roman" w:hAnsi="Times New Roman"/>
                <w:sz w:val="20"/>
              </w:rPr>
            </w:pPr>
            <w:r w:rsidRPr="002E55DE">
              <w:rPr>
                <w:rFonts w:ascii="Times New Roman" w:eastAsia="Times New Roman" w:hAnsi="Times New Roman"/>
                <w:b/>
                <w:bCs/>
                <w:sz w:val="20"/>
              </w:rPr>
              <w:t>Endogenous Effects</w:t>
            </w:r>
          </w:p>
        </w:tc>
      </w:tr>
      <w:tr w:rsidR="002E55DE" w:rsidRPr="002E55DE" w14:paraId="19905378" w14:textId="77777777" w:rsidTr="002A3447">
        <w:trPr>
          <w:trHeight w:val="144"/>
        </w:trPr>
        <w:tc>
          <w:tcPr>
            <w:tcW w:w="5000" w:type="pct"/>
            <w:gridSpan w:val="7"/>
            <w:tcBorders>
              <w:top w:val="single" w:sz="12" w:space="0" w:color="auto"/>
              <w:left w:val="single" w:sz="18" w:space="0" w:color="auto"/>
              <w:bottom w:val="single" w:sz="8" w:space="0" w:color="auto"/>
              <w:right w:val="single" w:sz="18" w:space="0" w:color="auto"/>
            </w:tcBorders>
            <w:tcMar>
              <w:top w:w="30" w:type="dxa"/>
              <w:left w:w="45" w:type="dxa"/>
              <w:bottom w:w="30" w:type="dxa"/>
              <w:right w:w="45" w:type="dxa"/>
            </w:tcMar>
            <w:vAlign w:val="center"/>
          </w:tcPr>
          <w:p w14:paraId="2ACD1AF8" w14:textId="22FB91C2" w:rsidR="00AB757D" w:rsidRPr="002E55DE" w:rsidRDefault="00AB757D" w:rsidP="002A3447">
            <w:pPr>
              <w:rPr>
                <w:rFonts w:ascii="Times New Roman" w:eastAsiaTheme="minorEastAsia" w:hAnsi="Times New Roman"/>
                <w:i/>
                <w:iCs/>
                <w:sz w:val="20"/>
                <w:lang w:eastAsia="ko-KR"/>
              </w:rPr>
            </w:pPr>
            <w:r w:rsidRPr="002E55DE">
              <w:rPr>
                <w:rFonts w:ascii="Times New Roman" w:eastAsiaTheme="minorEastAsia" w:hAnsi="Times New Roman"/>
                <w:i/>
                <w:iCs/>
                <w:sz w:val="20"/>
                <w:lang w:eastAsia="ko-KR"/>
              </w:rPr>
              <w:t>Companionship</w:t>
            </w:r>
            <w:r w:rsidR="00B05E2A" w:rsidRPr="002E55DE">
              <w:rPr>
                <w:rFonts w:ascii="Times New Roman" w:eastAsiaTheme="minorEastAsia" w:hAnsi="Times New Roman" w:hint="eastAsia"/>
                <w:i/>
                <w:iCs/>
                <w:sz w:val="20"/>
                <w:lang w:eastAsia="ko-KR"/>
              </w:rPr>
              <w:t xml:space="preserve"> (</w:t>
            </w:r>
            <w:r w:rsidR="00FA0B71" w:rsidRPr="002E55DE">
              <w:rPr>
                <w:rFonts w:ascii="Times New Roman" w:eastAsia="Times New Roman" w:hAnsi="Times New Roman"/>
                <w:i/>
                <w:iCs/>
                <w:sz w:val="20"/>
              </w:rPr>
              <w:t xml:space="preserve">base: </w:t>
            </w:r>
            <w:r w:rsidR="00B05E2A" w:rsidRPr="002E55DE">
              <w:rPr>
                <w:rFonts w:ascii="Times New Roman" w:eastAsiaTheme="minorEastAsia" w:hAnsi="Times New Roman" w:hint="eastAsia"/>
                <w:i/>
                <w:iCs/>
                <w:sz w:val="20"/>
                <w:lang w:eastAsia="ko-KR"/>
              </w:rPr>
              <w:t>Walk with others sometimes or less)</w:t>
            </w:r>
          </w:p>
        </w:tc>
      </w:tr>
      <w:tr w:rsidR="002E55DE" w:rsidRPr="002E55DE" w14:paraId="175B76B2" w14:textId="77777777" w:rsidTr="00EE4E12">
        <w:trPr>
          <w:trHeight w:val="144"/>
        </w:trPr>
        <w:tc>
          <w:tcPr>
            <w:tcW w:w="1950" w:type="pct"/>
            <w:tcBorders>
              <w:top w:val="single" w:sz="8" w:space="0" w:color="auto"/>
              <w:left w:val="single" w:sz="18" w:space="0" w:color="auto"/>
              <w:bottom w:val="single" w:sz="6" w:space="0" w:color="auto"/>
              <w:right w:val="single" w:sz="12" w:space="0" w:color="auto"/>
            </w:tcBorders>
            <w:tcMar>
              <w:top w:w="30" w:type="dxa"/>
              <w:left w:w="45" w:type="dxa"/>
              <w:bottom w:w="30" w:type="dxa"/>
              <w:right w:w="45" w:type="dxa"/>
            </w:tcMar>
            <w:vAlign w:val="center"/>
          </w:tcPr>
          <w:p w14:paraId="426335F5" w14:textId="6A54895B" w:rsidR="004663C1" w:rsidRPr="002E55DE" w:rsidRDefault="0083308B" w:rsidP="00980D67">
            <w:pPr>
              <w:ind w:left="144"/>
              <w:rPr>
                <w:rFonts w:ascii="Times New Roman" w:eastAsia="Times New Roman" w:hAnsi="Times New Roman"/>
                <w:sz w:val="20"/>
              </w:rPr>
            </w:pPr>
            <w:r w:rsidRPr="002E55DE">
              <w:rPr>
                <w:rFonts w:ascii="Times New Roman" w:eastAsia="Times New Roman" w:hAnsi="Times New Roman"/>
                <w:sz w:val="20"/>
              </w:rPr>
              <w:t>Walk with others</w:t>
            </w:r>
            <w:r w:rsidR="004D1EC9" w:rsidRPr="002E55DE">
              <w:rPr>
                <w:rFonts w:ascii="Times New Roman" w:eastAsia="Times New Roman" w:hAnsi="Times New Roman"/>
                <w:sz w:val="20"/>
              </w:rPr>
              <w:t xml:space="preserve"> -</w:t>
            </w:r>
            <w:r w:rsidRPr="002E55DE">
              <w:rPr>
                <w:rFonts w:ascii="Times New Roman" w:eastAsia="Times New Roman" w:hAnsi="Times New Roman"/>
                <w:sz w:val="20"/>
              </w:rPr>
              <w:t xml:space="preserve"> often or always</w:t>
            </w:r>
          </w:p>
        </w:tc>
        <w:tc>
          <w:tcPr>
            <w:tcW w:w="552" w:type="pct"/>
            <w:tcBorders>
              <w:top w:val="single" w:sz="8" w:space="0" w:color="auto"/>
              <w:left w:val="single" w:sz="12" w:space="0" w:color="auto"/>
              <w:bottom w:val="single" w:sz="6" w:space="0" w:color="auto"/>
              <w:right w:val="single" w:sz="6" w:space="0" w:color="auto"/>
            </w:tcBorders>
            <w:tcMar>
              <w:top w:w="30" w:type="dxa"/>
              <w:left w:w="45" w:type="dxa"/>
              <w:bottom w:w="30" w:type="dxa"/>
              <w:right w:w="45" w:type="dxa"/>
            </w:tcMar>
          </w:tcPr>
          <w:p w14:paraId="7319D596" w14:textId="49A890B8" w:rsidR="004663C1"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w:t>
            </w:r>
            <w:r w:rsidR="00F529B6" w:rsidRPr="002E55DE">
              <w:rPr>
                <w:rFonts w:ascii="Times New Roman" w:eastAsiaTheme="minorEastAsia" w:hAnsi="Times New Roman" w:hint="eastAsia"/>
                <w:sz w:val="20"/>
                <w:lang w:eastAsia="ko-KR"/>
              </w:rPr>
              <w:t>2</w:t>
            </w:r>
            <w:r w:rsidR="00AF5FAB" w:rsidRPr="002E55DE">
              <w:rPr>
                <w:rFonts w:ascii="Times New Roman" w:eastAsiaTheme="minorEastAsia" w:hAnsi="Times New Roman" w:hint="eastAsia"/>
                <w:sz w:val="20"/>
                <w:lang w:eastAsia="ko-KR"/>
              </w:rPr>
              <w:t>54</w:t>
            </w:r>
          </w:p>
        </w:tc>
        <w:tc>
          <w:tcPr>
            <w:tcW w:w="441" w:type="pct"/>
            <w:tcBorders>
              <w:top w:val="single" w:sz="8" w:space="0" w:color="auto"/>
              <w:left w:val="single" w:sz="6" w:space="0" w:color="auto"/>
              <w:bottom w:val="single" w:sz="6" w:space="0" w:color="auto"/>
              <w:right w:val="single" w:sz="12" w:space="0" w:color="auto"/>
            </w:tcBorders>
            <w:tcMar>
              <w:top w:w="30" w:type="dxa"/>
              <w:left w:w="45" w:type="dxa"/>
              <w:bottom w:w="30" w:type="dxa"/>
              <w:right w:w="45" w:type="dxa"/>
            </w:tcMar>
          </w:tcPr>
          <w:p w14:paraId="4123D6AD" w14:textId="536E9123" w:rsidR="004663C1"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w:t>
            </w:r>
            <w:r w:rsidR="00F529B6" w:rsidRPr="002E55DE">
              <w:rPr>
                <w:rFonts w:ascii="Times New Roman" w:eastAsiaTheme="minorEastAsia" w:hAnsi="Times New Roman" w:hint="eastAsia"/>
                <w:sz w:val="20"/>
                <w:lang w:eastAsia="ko-KR"/>
              </w:rPr>
              <w:t>4.</w:t>
            </w:r>
            <w:r w:rsidR="00AF5FAB" w:rsidRPr="002E55DE">
              <w:rPr>
                <w:rFonts w:ascii="Times New Roman" w:eastAsiaTheme="minorEastAsia" w:hAnsi="Times New Roman" w:hint="eastAsia"/>
                <w:sz w:val="20"/>
                <w:lang w:eastAsia="ko-KR"/>
              </w:rPr>
              <w:t>19</w:t>
            </w:r>
          </w:p>
        </w:tc>
        <w:tc>
          <w:tcPr>
            <w:tcW w:w="552" w:type="pct"/>
            <w:tcBorders>
              <w:top w:val="single" w:sz="8" w:space="0" w:color="auto"/>
              <w:left w:val="single" w:sz="12" w:space="0" w:color="auto"/>
              <w:bottom w:val="single" w:sz="6" w:space="0" w:color="auto"/>
              <w:right w:val="single" w:sz="6" w:space="0" w:color="auto"/>
            </w:tcBorders>
            <w:tcMar>
              <w:top w:w="30" w:type="dxa"/>
              <w:left w:w="45" w:type="dxa"/>
              <w:bottom w:w="30" w:type="dxa"/>
              <w:right w:w="45" w:type="dxa"/>
            </w:tcMar>
          </w:tcPr>
          <w:p w14:paraId="16EF7601" w14:textId="73C76ECD" w:rsidR="004663C1" w:rsidRPr="002E55DE" w:rsidRDefault="00192CE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1.179</w:t>
            </w:r>
          </w:p>
        </w:tc>
        <w:tc>
          <w:tcPr>
            <w:tcW w:w="553" w:type="pct"/>
            <w:tcBorders>
              <w:top w:val="single" w:sz="8" w:space="0" w:color="auto"/>
              <w:left w:val="single" w:sz="6" w:space="0" w:color="auto"/>
              <w:bottom w:val="single" w:sz="6" w:space="0" w:color="auto"/>
              <w:right w:val="single" w:sz="12" w:space="0" w:color="auto"/>
            </w:tcBorders>
            <w:tcMar>
              <w:top w:w="30" w:type="dxa"/>
              <w:left w:w="45" w:type="dxa"/>
              <w:bottom w:w="30" w:type="dxa"/>
              <w:right w:w="45" w:type="dxa"/>
            </w:tcMar>
          </w:tcPr>
          <w:p w14:paraId="7B8EBEF4" w14:textId="083BF38C" w:rsidR="004663C1" w:rsidRPr="002E55DE" w:rsidDel="008C2947" w:rsidRDefault="00192CE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10.57</w:t>
            </w:r>
          </w:p>
        </w:tc>
        <w:tc>
          <w:tcPr>
            <w:tcW w:w="477" w:type="pct"/>
            <w:tcBorders>
              <w:top w:val="single" w:sz="8" w:space="0" w:color="auto"/>
              <w:left w:val="single" w:sz="12" w:space="0" w:color="auto"/>
              <w:bottom w:val="single" w:sz="6" w:space="0" w:color="auto"/>
              <w:right w:val="single" w:sz="4" w:space="0" w:color="auto"/>
            </w:tcBorders>
          </w:tcPr>
          <w:p w14:paraId="2E40987E" w14:textId="0ED986ED" w:rsidR="004663C1" w:rsidRPr="002E55DE" w:rsidRDefault="004D1EC9" w:rsidP="00980D67">
            <w:pPr>
              <w:jc w:val="right"/>
              <w:rPr>
                <w:rFonts w:ascii="Times New Roman" w:eastAsia="Times New Roman" w:hAnsi="Times New Roman"/>
                <w:sz w:val="20"/>
              </w:rPr>
            </w:pPr>
            <w:r w:rsidRPr="002E55DE">
              <w:rPr>
                <w:rFonts w:ascii="Times New Roman" w:eastAsia="Times New Roman" w:hAnsi="Times New Roman"/>
                <w:sz w:val="20"/>
              </w:rPr>
              <w:t>--</w:t>
            </w:r>
          </w:p>
        </w:tc>
        <w:tc>
          <w:tcPr>
            <w:tcW w:w="475" w:type="pct"/>
            <w:tcBorders>
              <w:top w:val="single" w:sz="8" w:space="0" w:color="auto"/>
              <w:left w:val="single" w:sz="4" w:space="0" w:color="auto"/>
              <w:bottom w:val="single" w:sz="6" w:space="0" w:color="auto"/>
              <w:right w:val="single" w:sz="18" w:space="0" w:color="auto"/>
            </w:tcBorders>
          </w:tcPr>
          <w:p w14:paraId="7F26EB5E" w14:textId="68395459" w:rsidR="004663C1" w:rsidRPr="002E55DE" w:rsidRDefault="004D1EC9" w:rsidP="00980D67">
            <w:pPr>
              <w:jc w:val="right"/>
              <w:rPr>
                <w:rFonts w:ascii="Times New Roman" w:eastAsia="Times New Roman" w:hAnsi="Times New Roman"/>
                <w:sz w:val="20"/>
              </w:rPr>
            </w:pPr>
            <w:r w:rsidRPr="002E55DE">
              <w:rPr>
                <w:rFonts w:ascii="Times New Roman" w:eastAsia="Times New Roman" w:hAnsi="Times New Roman"/>
                <w:sz w:val="20"/>
              </w:rPr>
              <w:t>--</w:t>
            </w:r>
          </w:p>
        </w:tc>
      </w:tr>
      <w:tr w:rsidR="002E55DE" w:rsidRPr="002E55DE" w14:paraId="23969BFB" w14:textId="77777777" w:rsidTr="005F06E6">
        <w:trPr>
          <w:trHeight w:val="144"/>
        </w:trPr>
        <w:tc>
          <w:tcPr>
            <w:tcW w:w="5000" w:type="pct"/>
            <w:gridSpan w:val="7"/>
            <w:tcBorders>
              <w:top w:val="single" w:sz="8" w:space="0" w:color="auto"/>
              <w:left w:val="single" w:sz="18" w:space="0" w:color="auto"/>
              <w:bottom w:val="single" w:sz="6" w:space="0" w:color="auto"/>
              <w:right w:val="single" w:sz="18" w:space="0" w:color="auto"/>
            </w:tcBorders>
            <w:tcMar>
              <w:top w:w="30" w:type="dxa"/>
              <w:left w:w="45" w:type="dxa"/>
              <w:bottom w:w="30" w:type="dxa"/>
              <w:right w:w="45" w:type="dxa"/>
            </w:tcMar>
            <w:vAlign w:val="center"/>
          </w:tcPr>
          <w:p w14:paraId="2E37892F" w14:textId="0DEB83C8" w:rsidR="005F06E6" w:rsidRPr="002E55DE" w:rsidRDefault="005F06E6" w:rsidP="002A3447">
            <w:pPr>
              <w:rPr>
                <w:rFonts w:ascii="Times New Roman" w:eastAsia="Times New Roman" w:hAnsi="Times New Roman"/>
                <w:sz w:val="20"/>
              </w:rPr>
            </w:pPr>
            <w:r w:rsidRPr="002E55DE">
              <w:rPr>
                <w:rFonts w:ascii="Times New Roman" w:eastAsiaTheme="minorEastAsia" w:hAnsi="Times New Roman"/>
                <w:i/>
                <w:iCs/>
                <w:sz w:val="20"/>
                <w:lang w:eastAsia="ko-KR"/>
              </w:rPr>
              <w:t>Frequency</w:t>
            </w:r>
            <w:r w:rsidRPr="002E55DE">
              <w:rPr>
                <w:rFonts w:ascii="Times New Roman" w:eastAsiaTheme="minorEastAsia" w:hAnsi="Times New Roman" w:hint="eastAsia"/>
                <w:sz w:val="20"/>
                <w:lang w:eastAsia="ko-KR"/>
              </w:rPr>
              <w:t xml:space="preserve"> </w:t>
            </w:r>
            <w:r w:rsidRPr="002E55DE">
              <w:rPr>
                <w:rFonts w:ascii="Times New Roman" w:eastAsiaTheme="minorEastAsia" w:hAnsi="Times New Roman"/>
                <w:i/>
                <w:iCs/>
                <w:sz w:val="20"/>
                <w:lang w:eastAsia="ko-KR"/>
              </w:rPr>
              <w:t>(</w:t>
            </w:r>
            <w:r w:rsidR="00FA0B71" w:rsidRPr="002E55DE">
              <w:rPr>
                <w:rFonts w:ascii="Times New Roman" w:eastAsia="Times New Roman" w:hAnsi="Times New Roman"/>
                <w:i/>
                <w:iCs/>
                <w:sz w:val="20"/>
              </w:rPr>
              <w:t xml:space="preserve">base: </w:t>
            </w:r>
            <w:r w:rsidRPr="002E55DE">
              <w:rPr>
                <w:rFonts w:ascii="Times New Roman" w:eastAsiaTheme="minorEastAsia" w:hAnsi="Times New Roman"/>
                <w:i/>
                <w:iCs/>
                <w:sz w:val="20"/>
                <w:lang w:eastAsia="ko-KR"/>
              </w:rPr>
              <w:t xml:space="preserve">Never walk or less than </w:t>
            </w:r>
            <w:r w:rsidR="009042DD" w:rsidRPr="002E55DE">
              <w:rPr>
                <w:rFonts w:ascii="Times New Roman" w:eastAsiaTheme="minorEastAsia" w:hAnsi="Times New Roman" w:hint="eastAsia"/>
                <w:i/>
                <w:iCs/>
                <w:sz w:val="20"/>
                <w:lang w:eastAsia="ko-KR"/>
              </w:rPr>
              <w:t>two</w:t>
            </w:r>
            <w:r w:rsidRPr="002E55DE">
              <w:rPr>
                <w:rFonts w:ascii="Times New Roman" w:eastAsiaTheme="minorEastAsia" w:hAnsi="Times New Roman"/>
                <w:i/>
                <w:iCs/>
                <w:sz w:val="20"/>
                <w:lang w:eastAsia="ko-KR"/>
              </w:rPr>
              <w:t xml:space="preserve"> days a week)</w:t>
            </w:r>
          </w:p>
        </w:tc>
      </w:tr>
      <w:tr w:rsidR="002E55DE" w:rsidRPr="002E55DE" w14:paraId="1CC8686D" w14:textId="77777777" w:rsidTr="00261282">
        <w:trPr>
          <w:trHeight w:val="144"/>
        </w:trPr>
        <w:tc>
          <w:tcPr>
            <w:tcW w:w="1950" w:type="pct"/>
            <w:tcBorders>
              <w:top w:val="single" w:sz="8"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13B05C63" w14:textId="1672A19A" w:rsidR="005008D5" w:rsidRPr="002E55DE" w:rsidRDefault="005F06E6" w:rsidP="00980D67">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 xml:space="preserve">Walk more than </w:t>
            </w:r>
            <w:r w:rsidR="009042DD" w:rsidRPr="002E55DE">
              <w:rPr>
                <w:rFonts w:ascii="Times New Roman" w:eastAsiaTheme="minorEastAsia" w:hAnsi="Times New Roman" w:hint="eastAsia"/>
                <w:sz w:val="20"/>
                <w:lang w:eastAsia="ko-KR"/>
              </w:rPr>
              <w:t>three</w:t>
            </w:r>
            <w:r w:rsidRPr="002E55DE">
              <w:rPr>
                <w:rFonts w:ascii="Times New Roman" w:eastAsiaTheme="minorEastAsia" w:hAnsi="Times New Roman" w:hint="eastAsia"/>
                <w:sz w:val="20"/>
                <w:lang w:eastAsia="ko-KR"/>
              </w:rPr>
              <w:t xml:space="preserve"> days a week</w:t>
            </w:r>
          </w:p>
        </w:tc>
        <w:tc>
          <w:tcPr>
            <w:tcW w:w="552" w:type="pct"/>
            <w:tcBorders>
              <w:top w:val="single" w:sz="8" w:space="0" w:color="auto"/>
              <w:left w:val="single" w:sz="12" w:space="0" w:color="auto"/>
              <w:bottom w:val="single" w:sz="12" w:space="0" w:color="auto"/>
              <w:right w:val="single" w:sz="6" w:space="0" w:color="auto"/>
            </w:tcBorders>
            <w:tcMar>
              <w:top w:w="30" w:type="dxa"/>
              <w:left w:w="45" w:type="dxa"/>
              <w:bottom w:w="30" w:type="dxa"/>
              <w:right w:w="45" w:type="dxa"/>
            </w:tcMar>
          </w:tcPr>
          <w:p w14:paraId="6FD4F5D0" w14:textId="578A36C3" w:rsidR="005008D5" w:rsidRPr="002E55DE" w:rsidRDefault="009042DD"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41" w:type="pct"/>
            <w:tcBorders>
              <w:top w:val="single" w:sz="8" w:space="0" w:color="auto"/>
              <w:left w:val="single" w:sz="6" w:space="0" w:color="auto"/>
              <w:bottom w:val="single" w:sz="12" w:space="0" w:color="auto"/>
              <w:right w:val="single" w:sz="12" w:space="0" w:color="auto"/>
            </w:tcBorders>
            <w:tcMar>
              <w:top w:w="30" w:type="dxa"/>
              <w:left w:w="45" w:type="dxa"/>
              <w:bottom w:w="30" w:type="dxa"/>
              <w:right w:w="45" w:type="dxa"/>
            </w:tcMar>
          </w:tcPr>
          <w:p w14:paraId="57E72113" w14:textId="5BC01E5D" w:rsidR="005008D5" w:rsidRPr="002E55DE" w:rsidRDefault="009042DD"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2" w:type="pct"/>
            <w:tcBorders>
              <w:top w:val="single" w:sz="8" w:space="0" w:color="auto"/>
              <w:left w:val="single" w:sz="12" w:space="0" w:color="auto"/>
              <w:bottom w:val="single" w:sz="12" w:space="0" w:color="auto"/>
              <w:right w:val="single" w:sz="6" w:space="0" w:color="auto"/>
            </w:tcBorders>
            <w:tcMar>
              <w:top w:w="30" w:type="dxa"/>
              <w:left w:w="45" w:type="dxa"/>
              <w:bottom w:w="30" w:type="dxa"/>
              <w:right w:w="45" w:type="dxa"/>
            </w:tcMar>
          </w:tcPr>
          <w:p w14:paraId="58ECC120" w14:textId="0CB1A968" w:rsidR="005008D5" w:rsidRPr="002E55DE" w:rsidRDefault="00192CE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0.374</w:t>
            </w:r>
          </w:p>
        </w:tc>
        <w:tc>
          <w:tcPr>
            <w:tcW w:w="553" w:type="pct"/>
            <w:tcBorders>
              <w:top w:val="single" w:sz="8" w:space="0" w:color="auto"/>
              <w:left w:val="single" w:sz="6" w:space="0" w:color="auto"/>
              <w:bottom w:val="single" w:sz="12" w:space="0" w:color="auto"/>
              <w:right w:val="single" w:sz="12" w:space="0" w:color="auto"/>
            </w:tcBorders>
            <w:tcMar>
              <w:top w:w="30" w:type="dxa"/>
              <w:left w:w="45" w:type="dxa"/>
              <w:bottom w:w="30" w:type="dxa"/>
              <w:right w:w="45" w:type="dxa"/>
            </w:tcMar>
          </w:tcPr>
          <w:p w14:paraId="0DB9BFB2" w14:textId="2023CB3E" w:rsidR="005008D5" w:rsidRPr="002E55DE" w:rsidRDefault="00192CE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5.26</w:t>
            </w:r>
          </w:p>
        </w:tc>
        <w:tc>
          <w:tcPr>
            <w:tcW w:w="477" w:type="pct"/>
            <w:tcBorders>
              <w:top w:val="single" w:sz="8" w:space="0" w:color="auto"/>
              <w:left w:val="single" w:sz="12" w:space="0" w:color="auto"/>
              <w:bottom w:val="single" w:sz="12" w:space="0" w:color="auto"/>
              <w:right w:val="single" w:sz="4" w:space="0" w:color="auto"/>
            </w:tcBorders>
          </w:tcPr>
          <w:p w14:paraId="29FBC5B0" w14:textId="20691D98" w:rsidR="005008D5" w:rsidRPr="002E55DE" w:rsidRDefault="009042DD"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5" w:type="pct"/>
            <w:tcBorders>
              <w:top w:val="single" w:sz="8" w:space="0" w:color="auto"/>
              <w:left w:val="single" w:sz="4" w:space="0" w:color="auto"/>
              <w:bottom w:val="single" w:sz="12" w:space="0" w:color="auto"/>
              <w:right w:val="single" w:sz="18" w:space="0" w:color="auto"/>
            </w:tcBorders>
          </w:tcPr>
          <w:p w14:paraId="3ADBC95B" w14:textId="227DCCE8" w:rsidR="005008D5" w:rsidRPr="002E55DE" w:rsidRDefault="009042DD"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r>
      <w:tr w:rsidR="002E55DE" w:rsidRPr="002E55DE" w14:paraId="2EDFA9CA" w14:textId="77777777" w:rsidTr="00261282">
        <w:trPr>
          <w:trHeight w:val="144"/>
        </w:trPr>
        <w:tc>
          <w:tcPr>
            <w:tcW w:w="1950" w:type="pct"/>
            <w:tcBorders>
              <w:top w:val="single" w:sz="12"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4DA0EF8E" w14:textId="58445573" w:rsidR="00874470" w:rsidRPr="002E55DE" w:rsidRDefault="00874470" w:rsidP="00980D67">
            <w:pPr>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Variance</w:t>
            </w:r>
          </w:p>
        </w:tc>
        <w:tc>
          <w:tcPr>
            <w:tcW w:w="552" w:type="pct"/>
            <w:tcBorders>
              <w:top w:val="single" w:sz="12" w:space="0" w:color="auto"/>
              <w:left w:val="single" w:sz="12" w:space="0" w:color="auto"/>
              <w:bottom w:val="single" w:sz="12" w:space="0" w:color="auto"/>
              <w:right w:val="single" w:sz="4" w:space="0" w:color="auto"/>
            </w:tcBorders>
            <w:vAlign w:val="center"/>
          </w:tcPr>
          <w:p w14:paraId="3212EBCF" w14:textId="16F9C430" w:rsidR="00874470" w:rsidRPr="002E55DE" w:rsidRDefault="00874470" w:rsidP="00261282">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w:t>
            </w:r>
          </w:p>
        </w:tc>
        <w:tc>
          <w:tcPr>
            <w:tcW w:w="441" w:type="pct"/>
            <w:tcBorders>
              <w:top w:val="single" w:sz="12" w:space="0" w:color="auto"/>
              <w:left w:val="single" w:sz="4" w:space="0" w:color="auto"/>
              <w:bottom w:val="single" w:sz="12" w:space="0" w:color="auto"/>
              <w:right w:val="single" w:sz="12" w:space="0" w:color="auto"/>
            </w:tcBorders>
            <w:vAlign w:val="center"/>
          </w:tcPr>
          <w:p w14:paraId="1AED3A25" w14:textId="1078418A" w:rsidR="00874470" w:rsidRPr="002E55DE" w:rsidRDefault="00874470" w:rsidP="00261282">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w:t>
            </w:r>
          </w:p>
        </w:tc>
        <w:tc>
          <w:tcPr>
            <w:tcW w:w="552" w:type="pct"/>
            <w:tcBorders>
              <w:top w:val="single" w:sz="12" w:space="0" w:color="auto"/>
              <w:left w:val="single" w:sz="12" w:space="0" w:color="auto"/>
              <w:bottom w:val="single" w:sz="12" w:space="0" w:color="auto"/>
              <w:right w:val="single" w:sz="4" w:space="0" w:color="auto"/>
            </w:tcBorders>
            <w:vAlign w:val="center"/>
          </w:tcPr>
          <w:p w14:paraId="19DC5E08" w14:textId="494838CD" w:rsidR="00874470" w:rsidRPr="002E55DE" w:rsidRDefault="00874470" w:rsidP="00261282">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0.988</w:t>
            </w:r>
          </w:p>
        </w:tc>
        <w:tc>
          <w:tcPr>
            <w:tcW w:w="553" w:type="pct"/>
            <w:tcBorders>
              <w:top w:val="single" w:sz="12" w:space="0" w:color="auto"/>
              <w:left w:val="single" w:sz="4" w:space="0" w:color="auto"/>
              <w:bottom w:val="single" w:sz="12" w:space="0" w:color="auto"/>
              <w:right w:val="single" w:sz="12" w:space="0" w:color="auto"/>
            </w:tcBorders>
            <w:vAlign w:val="center"/>
          </w:tcPr>
          <w:p w14:paraId="36102269" w14:textId="457C2C2B" w:rsidR="00874470" w:rsidRPr="002E55DE" w:rsidRDefault="00874470" w:rsidP="00261282">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29.20</w:t>
            </w:r>
          </w:p>
        </w:tc>
        <w:tc>
          <w:tcPr>
            <w:tcW w:w="477" w:type="pct"/>
            <w:tcBorders>
              <w:top w:val="single" w:sz="12" w:space="0" w:color="auto"/>
              <w:left w:val="single" w:sz="12" w:space="0" w:color="auto"/>
              <w:bottom w:val="single" w:sz="12" w:space="0" w:color="auto"/>
              <w:right w:val="single" w:sz="4" w:space="0" w:color="auto"/>
            </w:tcBorders>
            <w:vAlign w:val="center"/>
          </w:tcPr>
          <w:p w14:paraId="2404F741" w14:textId="5F8D70E5" w:rsidR="00874470" w:rsidRPr="002E55DE" w:rsidRDefault="00874470" w:rsidP="00261282">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w:t>
            </w:r>
          </w:p>
        </w:tc>
        <w:tc>
          <w:tcPr>
            <w:tcW w:w="475" w:type="pct"/>
            <w:tcBorders>
              <w:top w:val="single" w:sz="12" w:space="0" w:color="auto"/>
              <w:left w:val="single" w:sz="4" w:space="0" w:color="auto"/>
              <w:bottom w:val="single" w:sz="12" w:space="0" w:color="auto"/>
              <w:right w:val="single" w:sz="18" w:space="0" w:color="auto"/>
            </w:tcBorders>
            <w:vAlign w:val="center"/>
          </w:tcPr>
          <w:p w14:paraId="5E103575" w14:textId="02405AAE" w:rsidR="00874470" w:rsidRPr="002E55DE" w:rsidRDefault="00874470" w:rsidP="00261282">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w:t>
            </w:r>
          </w:p>
        </w:tc>
      </w:tr>
      <w:tr w:rsidR="002E55DE" w:rsidRPr="002E55DE" w14:paraId="092067ED" w14:textId="77777777" w:rsidTr="00815C61">
        <w:trPr>
          <w:trHeight w:val="144"/>
        </w:trPr>
        <w:tc>
          <w:tcPr>
            <w:tcW w:w="5000" w:type="pct"/>
            <w:gridSpan w:val="7"/>
            <w:tcBorders>
              <w:top w:val="single" w:sz="12" w:space="0" w:color="auto"/>
              <w:left w:val="single" w:sz="18" w:space="0" w:color="auto"/>
              <w:bottom w:val="single" w:sz="12" w:space="0" w:color="auto"/>
              <w:right w:val="single" w:sz="18" w:space="0" w:color="auto"/>
            </w:tcBorders>
            <w:tcMar>
              <w:top w:w="30" w:type="dxa"/>
              <w:left w:w="45" w:type="dxa"/>
              <w:bottom w:w="30" w:type="dxa"/>
              <w:right w:w="45" w:type="dxa"/>
            </w:tcMar>
            <w:vAlign w:val="center"/>
          </w:tcPr>
          <w:p w14:paraId="2D14918C" w14:textId="34089ACC" w:rsidR="00980D67" w:rsidRPr="002E55DE" w:rsidRDefault="00980D67" w:rsidP="00980D67">
            <w:pPr>
              <w:rPr>
                <w:rFonts w:ascii="Times New Roman" w:eastAsia="Times New Roman" w:hAnsi="Times New Roman"/>
                <w:b/>
                <w:bCs/>
                <w:sz w:val="20"/>
              </w:rPr>
            </w:pPr>
            <w:r w:rsidRPr="002E55DE">
              <w:rPr>
                <w:rFonts w:ascii="Times New Roman" w:eastAsiaTheme="minorEastAsia" w:hAnsi="Times New Roman" w:hint="eastAsia"/>
                <w:b/>
                <w:bCs/>
                <w:sz w:val="20"/>
                <w:lang w:eastAsia="ko-KR"/>
              </w:rPr>
              <w:t>Correlations</w:t>
            </w:r>
          </w:p>
        </w:tc>
      </w:tr>
      <w:tr w:rsidR="002E55DE" w:rsidRPr="002E55DE" w14:paraId="6EBED6AC" w14:textId="77777777" w:rsidTr="00261282">
        <w:trPr>
          <w:trHeight w:val="144"/>
        </w:trPr>
        <w:tc>
          <w:tcPr>
            <w:tcW w:w="1950" w:type="pct"/>
            <w:tcBorders>
              <w:top w:val="single" w:sz="12" w:space="0" w:color="auto"/>
              <w:left w:val="single" w:sz="18" w:space="0" w:color="auto"/>
              <w:bottom w:val="dashSmallGap" w:sz="4" w:space="0" w:color="auto"/>
              <w:right w:val="single" w:sz="12" w:space="0" w:color="auto"/>
            </w:tcBorders>
            <w:tcMar>
              <w:top w:w="30" w:type="dxa"/>
              <w:left w:w="45" w:type="dxa"/>
              <w:bottom w:w="30" w:type="dxa"/>
              <w:right w:w="45" w:type="dxa"/>
            </w:tcMar>
            <w:vAlign w:val="center"/>
          </w:tcPr>
          <w:p w14:paraId="20519F0D" w14:textId="2F2527ED" w:rsidR="00980D67" w:rsidRPr="002E55DE" w:rsidRDefault="00980D67" w:rsidP="00980D67">
            <w:pPr>
              <w:rPr>
                <w:rFonts w:ascii="Times New Roman" w:eastAsiaTheme="minorEastAsia" w:hAnsi="Times New Roman"/>
                <w:sz w:val="20"/>
                <w:lang w:eastAsia="ko-KR"/>
              </w:rPr>
            </w:pPr>
            <w:r w:rsidRPr="002E55DE">
              <w:rPr>
                <w:rFonts w:ascii="Times New Roman" w:eastAsiaTheme="minorEastAsia" w:hAnsi="Times New Roman"/>
                <w:sz w:val="20"/>
                <w:lang w:eastAsia="ko-KR"/>
              </w:rPr>
              <w:t>Frequency</w:t>
            </w:r>
          </w:p>
        </w:tc>
        <w:tc>
          <w:tcPr>
            <w:tcW w:w="552" w:type="pct"/>
            <w:tcBorders>
              <w:top w:val="single" w:sz="12" w:space="0" w:color="auto"/>
              <w:left w:val="single" w:sz="12" w:space="0" w:color="auto"/>
              <w:bottom w:val="dashSmallGap" w:sz="4" w:space="0" w:color="auto"/>
              <w:right w:val="single" w:sz="8" w:space="0" w:color="auto"/>
            </w:tcBorders>
            <w:tcMar>
              <w:top w:w="30" w:type="dxa"/>
              <w:left w:w="45" w:type="dxa"/>
              <w:bottom w:w="30" w:type="dxa"/>
              <w:right w:w="45" w:type="dxa"/>
            </w:tcMar>
          </w:tcPr>
          <w:p w14:paraId="5CD9BC90" w14:textId="6AC44182"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1.0</w:t>
            </w:r>
            <w:r w:rsidR="007C456C" w:rsidRPr="002E55DE">
              <w:rPr>
                <w:rFonts w:ascii="Times New Roman" w:eastAsiaTheme="minorEastAsia" w:hAnsi="Times New Roman" w:hint="eastAsia"/>
                <w:sz w:val="20"/>
                <w:lang w:eastAsia="ko-KR"/>
              </w:rPr>
              <w:t>0</w:t>
            </w:r>
          </w:p>
        </w:tc>
        <w:tc>
          <w:tcPr>
            <w:tcW w:w="441" w:type="pct"/>
            <w:tcBorders>
              <w:top w:val="single" w:sz="12" w:space="0" w:color="auto"/>
              <w:left w:val="single" w:sz="8" w:space="0" w:color="auto"/>
              <w:bottom w:val="dashSmallGap" w:sz="4" w:space="0" w:color="auto"/>
              <w:right w:val="single" w:sz="12" w:space="0" w:color="auto"/>
            </w:tcBorders>
          </w:tcPr>
          <w:p w14:paraId="5F97BA4B" w14:textId="55BD6725"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2" w:type="pct"/>
            <w:tcBorders>
              <w:top w:val="single" w:sz="12" w:space="0" w:color="auto"/>
              <w:left w:val="single" w:sz="12" w:space="0" w:color="auto"/>
              <w:bottom w:val="dashSmallGap" w:sz="4" w:space="0" w:color="auto"/>
              <w:right w:val="single" w:sz="8" w:space="0" w:color="auto"/>
            </w:tcBorders>
            <w:tcMar>
              <w:top w:w="30" w:type="dxa"/>
              <w:left w:w="45" w:type="dxa"/>
              <w:bottom w:w="30" w:type="dxa"/>
              <w:right w:w="45" w:type="dxa"/>
            </w:tcMar>
          </w:tcPr>
          <w:p w14:paraId="47EB1EBA" w14:textId="58E293E9" w:rsidR="00980D67" w:rsidRPr="002E55DE" w:rsidRDefault="009571F6"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w:t>
            </w:r>
            <w:r w:rsidR="00C8464F" w:rsidRPr="002E55DE">
              <w:rPr>
                <w:rFonts w:ascii="Times New Roman" w:eastAsiaTheme="minorEastAsia" w:hAnsi="Times New Roman" w:hint="eastAsia"/>
                <w:sz w:val="20"/>
                <w:lang w:eastAsia="ko-KR"/>
              </w:rPr>
              <w:t>6</w:t>
            </w:r>
            <w:r w:rsidR="00126528" w:rsidRPr="002E55DE">
              <w:rPr>
                <w:rFonts w:ascii="Times New Roman" w:eastAsiaTheme="minorEastAsia" w:hAnsi="Times New Roman"/>
                <w:sz w:val="20"/>
                <w:lang w:eastAsia="ko-KR"/>
              </w:rPr>
              <w:t>6</w:t>
            </w:r>
          </w:p>
        </w:tc>
        <w:tc>
          <w:tcPr>
            <w:tcW w:w="553" w:type="pct"/>
            <w:tcBorders>
              <w:top w:val="single" w:sz="12" w:space="0" w:color="auto"/>
              <w:left w:val="single" w:sz="8" w:space="0" w:color="auto"/>
              <w:bottom w:val="dashSmallGap" w:sz="4" w:space="0" w:color="auto"/>
              <w:right w:val="single" w:sz="12" w:space="0" w:color="auto"/>
            </w:tcBorders>
          </w:tcPr>
          <w:p w14:paraId="600C32E2" w14:textId="65084751" w:rsidR="00980D67" w:rsidRPr="002E55DE" w:rsidRDefault="00C8464F"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24.</w:t>
            </w:r>
            <w:r w:rsidR="007C456C" w:rsidRPr="002E55DE">
              <w:rPr>
                <w:rFonts w:ascii="Times New Roman" w:eastAsiaTheme="minorEastAsia" w:hAnsi="Times New Roman" w:hint="eastAsia"/>
                <w:sz w:val="20"/>
                <w:lang w:eastAsia="ko-KR"/>
              </w:rPr>
              <w:t>5</w:t>
            </w:r>
            <w:r w:rsidRPr="002E55DE">
              <w:rPr>
                <w:rFonts w:ascii="Times New Roman" w:eastAsiaTheme="minorEastAsia" w:hAnsi="Times New Roman" w:hint="eastAsia"/>
                <w:sz w:val="20"/>
                <w:lang w:eastAsia="ko-KR"/>
              </w:rPr>
              <w:t>4</w:t>
            </w:r>
          </w:p>
        </w:tc>
        <w:tc>
          <w:tcPr>
            <w:tcW w:w="477" w:type="pct"/>
            <w:tcBorders>
              <w:top w:val="single" w:sz="12" w:space="0" w:color="auto"/>
              <w:left w:val="single" w:sz="12" w:space="0" w:color="auto"/>
              <w:bottom w:val="dashSmallGap" w:sz="4" w:space="0" w:color="auto"/>
              <w:right w:val="single" w:sz="8" w:space="0" w:color="auto"/>
            </w:tcBorders>
          </w:tcPr>
          <w:p w14:paraId="1F90D707" w14:textId="1235E149" w:rsidR="00980D67" w:rsidRPr="002E55DE" w:rsidRDefault="009571F6"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-0.5</w:t>
            </w:r>
            <w:r w:rsidR="00126528" w:rsidRPr="002E55DE">
              <w:rPr>
                <w:rFonts w:ascii="Times New Roman" w:eastAsiaTheme="minorEastAsia" w:hAnsi="Times New Roman"/>
                <w:sz w:val="20"/>
                <w:lang w:eastAsia="ko-KR"/>
              </w:rPr>
              <w:t>7</w:t>
            </w:r>
          </w:p>
        </w:tc>
        <w:tc>
          <w:tcPr>
            <w:tcW w:w="475" w:type="pct"/>
            <w:tcBorders>
              <w:top w:val="single" w:sz="12" w:space="0" w:color="auto"/>
              <w:left w:val="single" w:sz="8" w:space="0" w:color="auto"/>
              <w:bottom w:val="dashSmallGap" w:sz="4" w:space="0" w:color="auto"/>
              <w:right w:val="single" w:sz="18" w:space="0" w:color="auto"/>
            </w:tcBorders>
          </w:tcPr>
          <w:p w14:paraId="27E3F1C5" w14:textId="6013C138" w:rsidR="00980D67" w:rsidRPr="002E55DE" w:rsidRDefault="009571F6"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w:t>
            </w:r>
            <w:r w:rsidR="00C8464F" w:rsidRPr="002E55DE">
              <w:rPr>
                <w:rFonts w:ascii="Times New Roman" w:eastAsiaTheme="minorEastAsia" w:hAnsi="Times New Roman" w:hint="eastAsia"/>
                <w:sz w:val="20"/>
                <w:lang w:eastAsia="ko-KR"/>
              </w:rPr>
              <w:t>15.</w:t>
            </w:r>
            <w:r w:rsidR="007C456C" w:rsidRPr="002E55DE">
              <w:rPr>
                <w:rFonts w:ascii="Times New Roman" w:eastAsiaTheme="minorEastAsia" w:hAnsi="Times New Roman" w:hint="eastAsia"/>
                <w:sz w:val="20"/>
                <w:lang w:eastAsia="ko-KR"/>
              </w:rPr>
              <w:t>98</w:t>
            </w:r>
          </w:p>
        </w:tc>
      </w:tr>
      <w:tr w:rsidR="002E55DE" w:rsidRPr="002E55DE" w14:paraId="67E9833F" w14:textId="77777777" w:rsidTr="00261282">
        <w:trPr>
          <w:trHeight w:val="144"/>
        </w:trPr>
        <w:tc>
          <w:tcPr>
            <w:tcW w:w="1950" w:type="pct"/>
            <w:tcBorders>
              <w:top w:val="dashSmallGap" w:sz="4" w:space="0" w:color="auto"/>
              <w:left w:val="single" w:sz="18" w:space="0" w:color="auto"/>
              <w:bottom w:val="dashSmallGap" w:sz="4" w:space="0" w:color="auto"/>
              <w:right w:val="single" w:sz="12" w:space="0" w:color="auto"/>
            </w:tcBorders>
            <w:tcMar>
              <w:top w:w="30" w:type="dxa"/>
              <w:left w:w="45" w:type="dxa"/>
              <w:bottom w:w="30" w:type="dxa"/>
              <w:right w:w="45" w:type="dxa"/>
            </w:tcMar>
            <w:vAlign w:val="center"/>
          </w:tcPr>
          <w:p w14:paraId="5A80E075" w14:textId="33E84350" w:rsidR="00980D67" w:rsidRPr="002E55DE" w:rsidRDefault="00980D67" w:rsidP="00980D67">
            <w:pPr>
              <w:rPr>
                <w:rFonts w:ascii="Times New Roman" w:eastAsiaTheme="minorEastAsia" w:hAnsi="Times New Roman"/>
                <w:sz w:val="20"/>
                <w:lang w:eastAsia="ko-KR"/>
              </w:rPr>
            </w:pPr>
            <w:r w:rsidRPr="002E55DE">
              <w:rPr>
                <w:rFonts w:ascii="Times New Roman" w:eastAsiaTheme="minorEastAsia" w:hAnsi="Times New Roman"/>
                <w:sz w:val="20"/>
                <w:lang w:eastAsia="ko-KR"/>
              </w:rPr>
              <w:t>Duration</w:t>
            </w:r>
          </w:p>
        </w:tc>
        <w:tc>
          <w:tcPr>
            <w:tcW w:w="552" w:type="pct"/>
            <w:tcBorders>
              <w:top w:val="dashSmallGap" w:sz="4" w:space="0" w:color="auto"/>
              <w:left w:val="single" w:sz="12" w:space="0" w:color="auto"/>
              <w:bottom w:val="dashSmallGap" w:sz="4" w:space="0" w:color="auto"/>
              <w:right w:val="single" w:sz="8" w:space="0" w:color="auto"/>
            </w:tcBorders>
            <w:tcMar>
              <w:top w:w="30" w:type="dxa"/>
              <w:left w:w="45" w:type="dxa"/>
              <w:bottom w:w="30" w:type="dxa"/>
              <w:right w:w="45" w:type="dxa"/>
            </w:tcMar>
          </w:tcPr>
          <w:p w14:paraId="55ABF20C" w14:textId="09732E65"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41" w:type="pct"/>
            <w:tcBorders>
              <w:top w:val="dashSmallGap" w:sz="4" w:space="0" w:color="auto"/>
              <w:left w:val="single" w:sz="8" w:space="0" w:color="auto"/>
              <w:bottom w:val="dashSmallGap" w:sz="4" w:space="0" w:color="auto"/>
              <w:right w:val="single" w:sz="12" w:space="0" w:color="auto"/>
            </w:tcBorders>
          </w:tcPr>
          <w:p w14:paraId="50EE25B6" w14:textId="22C7960F"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2" w:type="pct"/>
            <w:tcBorders>
              <w:top w:val="dashSmallGap" w:sz="4" w:space="0" w:color="auto"/>
              <w:left w:val="single" w:sz="12" w:space="0" w:color="auto"/>
              <w:bottom w:val="dashSmallGap" w:sz="4" w:space="0" w:color="auto"/>
              <w:right w:val="single" w:sz="8" w:space="0" w:color="auto"/>
            </w:tcBorders>
            <w:tcMar>
              <w:top w:w="30" w:type="dxa"/>
              <w:left w:w="45" w:type="dxa"/>
              <w:bottom w:w="30" w:type="dxa"/>
              <w:right w:w="45" w:type="dxa"/>
            </w:tcMar>
          </w:tcPr>
          <w:p w14:paraId="6DE20FCD" w14:textId="11690A01"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1.00</w:t>
            </w:r>
          </w:p>
        </w:tc>
        <w:tc>
          <w:tcPr>
            <w:tcW w:w="553" w:type="pct"/>
            <w:tcBorders>
              <w:top w:val="dashSmallGap" w:sz="4" w:space="0" w:color="auto"/>
              <w:left w:val="single" w:sz="8" w:space="0" w:color="auto"/>
              <w:bottom w:val="dashSmallGap" w:sz="4" w:space="0" w:color="auto"/>
              <w:right w:val="single" w:sz="12" w:space="0" w:color="auto"/>
            </w:tcBorders>
          </w:tcPr>
          <w:p w14:paraId="65C76BDF" w14:textId="3E60F334"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dashSmallGap" w:sz="4" w:space="0" w:color="auto"/>
              <w:left w:val="single" w:sz="12" w:space="0" w:color="auto"/>
              <w:bottom w:val="dashSmallGap" w:sz="4" w:space="0" w:color="auto"/>
              <w:right w:val="single" w:sz="8" w:space="0" w:color="auto"/>
            </w:tcBorders>
          </w:tcPr>
          <w:p w14:paraId="7941FAB1" w14:textId="38107779" w:rsidR="00980D67" w:rsidRPr="002E55DE" w:rsidRDefault="009571F6" w:rsidP="00980D67">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-0.</w:t>
            </w:r>
            <w:r w:rsidR="00F33FCB" w:rsidRPr="002E55DE">
              <w:rPr>
                <w:rFonts w:ascii="Times New Roman" w:eastAsiaTheme="minorEastAsia" w:hAnsi="Times New Roman" w:hint="eastAsia"/>
                <w:sz w:val="20"/>
                <w:lang w:eastAsia="ko-KR"/>
              </w:rPr>
              <w:t>4</w:t>
            </w:r>
            <w:r w:rsidR="007C456C" w:rsidRPr="002E55DE">
              <w:rPr>
                <w:rFonts w:ascii="Times New Roman" w:eastAsiaTheme="minorEastAsia" w:hAnsi="Times New Roman" w:hint="eastAsia"/>
                <w:sz w:val="20"/>
                <w:lang w:eastAsia="ko-KR"/>
              </w:rPr>
              <w:t>4</w:t>
            </w:r>
          </w:p>
        </w:tc>
        <w:tc>
          <w:tcPr>
            <w:tcW w:w="475" w:type="pct"/>
            <w:tcBorders>
              <w:top w:val="dashSmallGap" w:sz="4" w:space="0" w:color="auto"/>
              <w:left w:val="single" w:sz="8" w:space="0" w:color="auto"/>
              <w:bottom w:val="dashSmallGap" w:sz="4" w:space="0" w:color="auto"/>
              <w:right w:val="single" w:sz="18" w:space="0" w:color="auto"/>
            </w:tcBorders>
          </w:tcPr>
          <w:p w14:paraId="53AE7C75" w14:textId="2EE38CE2" w:rsidR="00980D67" w:rsidRPr="002E55DE" w:rsidRDefault="009571F6" w:rsidP="0043437A">
            <w:pPr>
              <w:jc w:val="right"/>
              <w:rPr>
                <w:rFonts w:ascii="Times New Roman" w:eastAsia="Times New Roman" w:hAnsi="Times New Roman"/>
                <w:sz w:val="20"/>
              </w:rPr>
            </w:pPr>
            <w:r w:rsidRPr="002E55DE">
              <w:rPr>
                <w:rFonts w:ascii="Times New Roman" w:eastAsiaTheme="minorEastAsia" w:hAnsi="Times New Roman" w:hint="eastAsia"/>
                <w:sz w:val="20"/>
                <w:lang w:eastAsia="ko-KR"/>
              </w:rPr>
              <w:t>-1</w:t>
            </w:r>
            <w:r w:rsidR="007C456C" w:rsidRPr="002E55DE">
              <w:rPr>
                <w:rFonts w:ascii="Times New Roman" w:eastAsiaTheme="minorEastAsia" w:hAnsi="Times New Roman" w:hint="eastAsia"/>
                <w:sz w:val="20"/>
                <w:lang w:eastAsia="ko-KR"/>
              </w:rPr>
              <w:t>1.28</w:t>
            </w:r>
          </w:p>
        </w:tc>
      </w:tr>
      <w:tr w:rsidR="002E55DE" w:rsidRPr="002E55DE" w14:paraId="1FC503D1" w14:textId="77777777" w:rsidTr="00261282">
        <w:trPr>
          <w:trHeight w:val="144"/>
        </w:trPr>
        <w:tc>
          <w:tcPr>
            <w:tcW w:w="1950" w:type="pct"/>
            <w:tcBorders>
              <w:top w:val="dashSmallGap" w:sz="4"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556AB2BB" w14:textId="56CED2F7" w:rsidR="00980D67" w:rsidRPr="002E55DE" w:rsidRDefault="00980D67" w:rsidP="00980D67">
            <w:pPr>
              <w:rPr>
                <w:rFonts w:ascii="Times New Roman" w:eastAsiaTheme="minorEastAsia" w:hAnsi="Times New Roman"/>
                <w:sz w:val="20"/>
                <w:lang w:eastAsia="ko-KR"/>
              </w:rPr>
            </w:pPr>
            <w:r w:rsidRPr="002E55DE">
              <w:rPr>
                <w:rFonts w:ascii="Times New Roman" w:eastAsiaTheme="minorEastAsia" w:hAnsi="Times New Roman"/>
                <w:sz w:val="20"/>
                <w:lang w:eastAsia="ko-KR"/>
              </w:rPr>
              <w:t>Companionship</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70B7BA8C" w14:textId="1FFCCC77"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41" w:type="pct"/>
            <w:tcBorders>
              <w:top w:val="dashSmallGap" w:sz="4" w:space="0" w:color="auto"/>
              <w:left w:val="single" w:sz="8" w:space="0" w:color="auto"/>
              <w:bottom w:val="single" w:sz="12" w:space="0" w:color="auto"/>
              <w:right w:val="single" w:sz="12" w:space="0" w:color="auto"/>
            </w:tcBorders>
          </w:tcPr>
          <w:p w14:paraId="312761C1" w14:textId="403CBCD5"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6F33F7A4" w14:textId="29B6510F"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3" w:type="pct"/>
            <w:tcBorders>
              <w:top w:val="dashSmallGap" w:sz="4" w:space="0" w:color="auto"/>
              <w:left w:val="single" w:sz="8" w:space="0" w:color="auto"/>
              <w:bottom w:val="single" w:sz="12" w:space="0" w:color="auto"/>
              <w:right w:val="single" w:sz="12" w:space="0" w:color="auto"/>
            </w:tcBorders>
          </w:tcPr>
          <w:p w14:paraId="346F2FF9" w14:textId="6A135A97"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dashSmallGap" w:sz="4" w:space="0" w:color="auto"/>
              <w:left w:val="single" w:sz="12" w:space="0" w:color="auto"/>
              <w:bottom w:val="single" w:sz="12" w:space="0" w:color="auto"/>
              <w:right w:val="single" w:sz="8" w:space="0" w:color="auto"/>
            </w:tcBorders>
          </w:tcPr>
          <w:p w14:paraId="2B01D304" w14:textId="75251BC8"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1.00</w:t>
            </w:r>
          </w:p>
        </w:tc>
        <w:tc>
          <w:tcPr>
            <w:tcW w:w="475" w:type="pct"/>
            <w:tcBorders>
              <w:top w:val="dashSmallGap" w:sz="4" w:space="0" w:color="auto"/>
              <w:left w:val="single" w:sz="8" w:space="0" w:color="auto"/>
              <w:bottom w:val="single" w:sz="12" w:space="0" w:color="auto"/>
              <w:right w:val="single" w:sz="18" w:space="0" w:color="auto"/>
            </w:tcBorders>
          </w:tcPr>
          <w:p w14:paraId="3C9E4B8C" w14:textId="2BA7B0C8" w:rsidR="00980D67" w:rsidRPr="002E55DE" w:rsidRDefault="00072135" w:rsidP="00980D67">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r>
      <w:tr w:rsidR="002E55DE" w:rsidRPr="002E55DE" w14:paraId="252A239B" w14:textId="77777777" w:rsidTr="00261282">
        <w:trPr>
          <w:trHeight w:val="144"/>
        </w:trPr>
        <w:tc>
          <w:tcPr>
            <w:tcW w:w="1950" w:type="pct"/>
            <w:tcBorders>
              <w:top w:val="single" w:sz="12"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558034F2" w14:textId="18E708DF" w:rsidR="00493F1F" w:rsidRPr="002E55DE" w:rsidRDefault="00493F1F" w:rsidP="009042DD">
            <w:pPr>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Constant</w:t>
            </w:r>
          </w:p>
        </w:tc>
        <w:tc>
          <w:tcPr>
            <w:tcW w:w="552" w:type="pct"/>
            <w:tcBorders>
              <w:top w:val="single" w:sz="12" w:space="0" w:color="auto"/>
              <w:left w:val="single" w:sz="12" w:space="0" w:color="auto"/>
              <w:bottom w:val="single" w:sz="12" w:space="0" w:color="auto"/>
              <w:right w:val="single" w:sz="8" w:space="0" w:color="auto"/>
            </w:tcBorders>
            <w:tcMar>
              <w:top w:w="30" w:type="dxa"/>
              <w:left w:w="45" w:type="dxa"/>
              <w:bottom w:w="30" w:type="dxa"/>
              <w:right w:w="45" w:type="dxa"/>
            </w:tcMar>
          </w:tcPr>
          <w:p w14:paraId="327C110A" w14:textId="32FAD849" w:rsidR="00493F1F" w:rsidRPr="002E55DE" w:rsidRDefault="00493F1F" w:rsidP="00F004F7">
            <w:pPr>
              <w:jc w:val="right"/>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w:t>
            </w:r>
          </w:p>
        </w:tc>
        <w:tc>
          <w:tcPr>
            <w:tcW w:w="441" w:type="pct"/>
            <w:tcBorders>
              <w:top w:val="single" w:sz="12" w:space="0" w:color="auto"/>
              <w:left w:val="single" w:sz="8" w:space="0" w:color="auto"/>
              <w:bottom w:val="single" w:sz="12" w:space="0" w:color="auto"/>
              <w:right w:val="single" w:sz="12" w:space="0" w:color="auto"/>
            </w:tcBorders>
          </w:tcPr>
          <w:p w14:paraId="5CA68067" w14:textId="40154CC3" w:rsidR="00493F1F" w:rsidRPr="002E55DE" w:rsidRDefault="00493F1F" w:rsidP="00F004F7">
            <w:pPr>
              <w:jc w:val="right"/>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w:t>
            </w:r>
          </w:p>
        </w:tc>
        <w:tc>
          <w:tcPr>
            <w:tcW w:w="552" w:type="pct"/>
            <w:tcBorders>
              <w:top w:val="single" w:sz="12" w:space="0" w:color="auto"/>
              <w:left w:val="single" w:sz="12" w:space="0" w:color="auto"/>
              <w:bottom w:val="single" w:sz="12" w:space="0" w:color="auto"/>
              <w:right w:val="single" w:sz="8" w:space="0" w:color="auto"/>
            </w:tcBorders>
            <w:tcMar>
              <w:top w:w="30" w:type="dxa"/>
              <w:left w:w="45" w:type="dxa"/>
              <w:bottom w:w="30" w:type="dxa"/>
              <w:right w:w="45" w:type="dxa"/>
            </w:tcMar>
          </w:tcPr>
          <w:p w14:paraId="7A98CC1A" w14:textId="6BD06A99" w:rsidR="00493F1F" w:rsidRPr="002E55DE" w:rsidRDefault="007974D5" w:rsidP="00F004F7">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2.611</w:t>
            </w:r>
          </w:p>
        </w:tc>
        <w:tc>
          <w:tcPr>
            <w:tcW w:w="553" w:type="pct"/>
            <w:tcBorders>
              <w:top w:val="single" w:sz="12" w:space="0" w:color="auto"/>
              <w:left w:val="single" w:sz="8" w:space="0" w:color="auto"/>
              <w:bottom w:val="single" w:sz="12" w:space="0" w:color="auto"/>
              <w:right w:val="single" w:sz="12" w:space="0" w:color="auto"/>
            </w:tcBorders>
          </w:tcPr>
          <w:p w14:paraId="52DAF5BC" w14:textId="4A3301C5" w:rsidR="00493F1F" w:rsidRPr="002E55DE" w:rsidRDefault="007974D5" w:rsidP="00F004F7">
            <w:pPr>
              <w:jc w:val="right"/>
              <w:rPr>
                <w:rFonts w:ascii="Times New Roman" w:eastAsiaTheme="minorEastAsia" w:hAnsi="Times New Roman"/>
                <w:sz w:val="20"/>
                <w:lang w:eastAsia="ko-KR"/>
              </w:rPr>
            </w:pPr>
            <w:r w:rsidRPr="002E55DE">
              <w:rPr>
                <w:rFonts w:ascii="Times New Roman" w:eastAsiaTheme="minorEastAsia" w:hAnsi="Times New Roman"/>
                <w:sz w:val="20"/>
                <w:lang w:eastAsia="ko-KR"/>
              </w:rPr>
              <w:t>37.89</w:t>
            </w:r>
          </w:p>
        </w:tc>
        <w:tc>
          <w:tcPr>
            <w:tcW w:w="477" w:type="pct"/>
            <w:tcBorders>
              <w:top w:val="single" w:sz="12" w:space="0" w:color="auto"/>
              <w:left w:val="single" w:sz="12" w:space="0" w:color="auto"/>
              <w:bottom w:val="single" w:sz="12" w:space="0" w:color="auto"/>
              <w:right w:val="single" w:sz="8" w:space="0" w:color="auto"/>
            </w:tcBorders>
          </w:tcPr>
          <w:p w14:paraId="3512038A" w14:textId="31FF738D" w:rsidR="00493F1F" w:rsidRPr="002E55DE" w:rsidRDefault="00493F1F" w:rsidP="00F004F7">
            <w:pPr>
              <w:jc w:val="right"/>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w:t>
            </w:r>
          </w:p>
        </w:tc>
        <w:tc>
          <w:tcPr>
            <w:tcW w:w="475" w:type="pct"/>
            <w:tcBorders>
              <w:top w:val="single" w:sz="12" w:space="0" w:color="auto"/>
              <w:left w:val="single" w:sz="8" w:space="0" w:color="auto"/>
              <w:bottom w:val="single" w:sz="12" w:space="0" w:color="auto"/>
              <w:right w:val="single" w:sz="18" w:space="0" w:color="auto"/>
            </w:tcBorders>
          </w:tcPr>
          <w:p w14:paraId="0F1EA199" w14:textId="0210300C" w:rsidR="00493F1F" w:rsidRPr="002E55DE" w:rsidRDefault="00493F1F" w:rsidP="00F004F7">
            <w:pPr>
              <w:jc w:val="right"/>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w:t>
            </w:r>
          </w:p>
        </w:tc>
      </w:tr>
      <w:tr w:rsidR="002E55DE" w:rsidRPr="002E55DE" w14:paraId="23FA0A80" w14:textId="77777777" w:rsidTr="00261282">
        <w:trPr>
          <w:trHeight w:val="144"/>
        </w:trPr>
        <w:tc>
          <w:tcPr>
            <w:tcW w:w="1950" w:type="pct"/>
            <w:tcBorders>
              <w:top w:val="single" w:sz="12"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70EDA048" w14:textId="6BDE3CC9" w:rsidR="009042DD" w:rsidRPr="002E55DE" w:rsidRDefault="009042DD" w:rsidP="009042DD">
            <w:pPr>
              <w:rPr>
                <w:rFonts w:ascii="Times New Roman" w:eastAsiaTheme="minorEastAsia" w:hAnsi="Times New Roman"/>
                <w:b/>
                <w:bCs/>
                <w:sz w:val="20"/>
                <w:lang w:eastAsia="ko-KR"/>
              </w:rPr>
            </w:pPr>
            <w:r w:rsidRPr="002E55DE">
              <w:rPr>
                <w:rFonts w:ascii="Times New Roman" w:eastAsiaTheme="minorEastAsia" w:hAnsi="Times New Roman"/>
                <w:b/>
                <w:bCs/>
                <w:sz w:val="20"/>
                <w:lang w:eastAsia="ko-KR"/>
              </w:rPr>
              <w:t>Thresholds</w:t>
            </w:r>
          </w:p>
        </w:tc>
        <w:tc>
          <w:tcPr>
            <w:tcW w:w="552" w:type="pct"/>
            <w:tcBorders>
              <w:top w:val="single" w:sz="12" w:space="0" w:color="auto"/>
              <w:left w:val="single" w:sz="12" w:space="0" w:color="auto"/>
              <w:bottom w:val="single" w:sz="12" w:space="0" w:color="auto"/>
              <w:right w:val="single" w:sz="8" w:space="0" w:color="auto"/>
            </w:tcBorders>
            <w:tcMar>
              <w:top w:w="30" w:type="dxa"/>
              <w:left w:w="45" w:type="dxa"/>
              <w:bottom w:w="30" w:type="dxa"/>
              <w:right w:w="45" w:type="dxa"/>
            </w:tcMar>
          </w:tcPr>
          <w:p w14:paraId="672AE6FC" w14:textId="60198943" w:rsidR="009042DD" w:rsidRPr="002E55DE" w:rsidDel="009042DD" w:rsidRDefault="009042DD" w:rsidP="002A3447">
            <w:pPr>
              <w:jc w:val="center"/>
              <w:rPr>
                <w:rFonts w:ascii="Times New Roman" w:eastAsiaTheme="minorEastAsia" w:hAnsi="Times New Roman"/>
                <w:b/>
                <w:bCs/>
                <w:sz w:val="20"/>
                <w:lang w:eastAsia="ko-KR"/>
              </w:rPr>
            </w:pPr>
            <w:r w:rsidRPr="002E55DE">
              <w:rPr>
                <w:rFonts w:ascii="Times New Roman" w:eastAsia="Times New Roman" w:hAnsi="Times New Roman"/>
                <w:b/>
                <w:bCs/>
                <w:sz w:val="20"/>
              </w:rPr>
              <w:t>Coef.</w:t>
            </w:r>
          </w:p>
        </w:tc>
        <w:tc>
          <w:tcPr>
            <w:tcW w:w="441" w:type="pct"/>
            <w:tcBorders>
              <w:top w:val="single" w:sz="12" w:space="0" w:color="auto"/>
              <w:left w:val="single" w:sz="8" w:space="0" w:color="auto"/>
              <w:bottom w:val="single" w:sz="12" w:space="0" w:color="auto"/>
              <w:right w:val="single" w:sz="12" w:space="0" w:color="auto"/>
            </w:tcBorders>
          </w:tcPr>
          <w:p w14:paraId="73EC430F" w14:textId="4EB3A894" w:rsidR="009042DD" w:rsidRPr="002E55DE" w:rsidDel="009042DD" w:rsidRDefault="009042DD" w:rsidP="002A3447">
            <w:pPr>
              <w:jc w:val="center"/>
              <w:rPr>
                <w:rFonts w:ascii="Times New Roman" w:eastAsiaTheme="minorEastAsia" w:hAnsi="Times New Roman"/>
                <w:b/>
                <w:bCs/>
                <w:sz w:val="20"/>
                <w:lang w:eastAsia="ko-KR"/>
              </w:rPr>
            </w:pPr>
            <w:r w:rsidRPr="002E55DE">
              <w:rPr>
                <w:rFonts w:ascii="Times New Roman" w:eastAsia="Times New Roman" w:hAnsi="Times New Roman"/>
                <w:b/>
                <w:bCs/>
                <w:sz w:val="20"/>
              </w:rPr>
              <w:t>t-stat</w:t>
            </w:r>
          </w:p>
        </w:tc>
        <w:tc>
          <w:tcPr>
            <w:tcW w:w="552" w:type="pct"/>
            <w:tcBorders>
              <w:top w:val="single" w:sz="12" w:space="0" w:color="auto"/>
              <w:left w:val="single" w:sz="12" w:space="0" w:color="auto"/>
              <w:bottom w:val="single" w:sz="12" w:space="0" w:color="auto"/>
              <w:right w:val="single" w:sz="8" w:space="0" w:color="auto"/>
            </w:tcBorders>
            <w:tcMar>
              <w:top w:w="30" w:type="dxa"/>
              <w:left w:w="45" w:type="dxa"/>
              <w:bottom w:w="30" w:type="dxa"/>
              <w:right w:w="45" w:type="dxa"/>
            </w:tcMar>
          </w:tcPr>
          <w:p w14:paraId="49D59DC5" w14:textId="5D571C6A" w:rsidR="009042DD" w:rsidRPr="002E55DE" w:rsidRDefault="009042DD" w:rsidP="002A3447">
            <w:pPr>
              <w:jc w:val="center"/>
              <w:rPr>
                <w:rFonts w:ascii="Times New Roman" w:eastAsiaTheme="minorEastAsia" w:hAnsi="Times New Roman"/>
                <w:b/>
                <w:bCs/>
                <w:sz w:val="20"/>
                <w:lang w:eastAsia="ko-KR"/>
              </w:rPr>
            </w:pPr>
            <w:r w:rsidRPr="002E55DE">
              <w:rPr>
                <w:rFonts w:ascii="Times New Roman" w:eastAsia="Times New Roman" w:hAnsi="Times New Roman"/>
                <w:b/>
                <w:bCs/>
                <w:sz w:val="20"/>
              </w:rPr>
              <w:t>Coef.</w:t>
            </w:r>
          </w:p>
        </w:tc>
        <w:tc>
          <w:tcPr>
            <w:tcW w:w="553" w:type="pct"/>
            <w:tcBorders>
              <w:top w:val="single" w:sz="12" w:space="0" w:color="auto"/>
              <w:left w:val="single" w:sz="8" w:space="0" w:color="auto"/>
              <w:bottom w:val="single" w:sz="12" w:space="0" w:color="auto"/>
              <w:right w:val="single" w:sz="12" w:space="0" w:color="auto"/>
            </w:tcBorders>
          </w:tcPr>
          <w:p w14:paraId="23126A35" w14:textId="71EA08DD" w:rsidR="009042DD" w:rsidRPr="002E55DE" w:rsidRDefault="009042DD" w:rsidP="002A3447">
            <w:pPr>
              <w:jc w:val="center"/>
              <w:rPr>
                <w:rFonts w:ascii="Times New Roman" w:eastAsiaTheme="minorEastAsia" w:hAnsi="Times New Roman"/>
                <w:b/>
                <w:bCs/>
                <w:sz w:val="20"/>
                <w:lang w:eastAsia="ko-KR"/>
              </w:rPr>
            </w:pPr>
            <w:r w:rsidRPr="002E55DE">
              <w:rPr>
                <w:rFonts w:ascii="Times New Roman" w:eastAsia="Times New Roman" w:hAnsi="Times New Roman"/>
                <w:b/>
                <w:bCs/>
                <w:sz w:val="20"/>
              </w:rPr>
              <w:t>t-stat</w:t>
            </w:r>
          </w:p>
        </w:tc>
        <w:tc>
          <w:tcPr>
            <w:tcW w:w="477" w:type="pct"/>
            <w:tcBorders>
              <w:top w:val="single" w:sz="12" w:space="0" w:color="auto"/>
              <w:left w:val="single" w:sz="12" w:space="0" w:color="auto"/>
              <w:bottom w:val="single" w:sz="12" w:space="0" w:color="auto"/>
              <w:right w:val="single" w:sz="8" w:space="0" w:color="auto"/>
            </w:tcBorders>
          </w:tcPr>
          <w:p w14:paraId="14812C5A" w14:textId="3A62F7E1" w:rsidR="009042DD" w:rsidRPr="002E55DE" w:rsidDel="009042DD" w:rsidRDefault="009042DD" w:rsidP="002A3447">
            <w:pPr>
              <w:jc w:val="center"/>
              <w:rPr>
                <w:rFonts w:ascii="Times New Roman" w:eastAsiaTheme="minorEastAsia" w:hAnsi="Times New Roman"/>
                <w:b/>
                <w:bCs/>
                <w:sz w:val="20"/>
                <w:lang w:eastAsia="ko-KR"/>
              </w:rPr>
            </w:pPr>
            <w:r w:rsidRPr="002E55DE">
              <w:rPr>
                <w:rFonts w:ascii="Times New Roman" w:eastAsia="Times New Roman" w:hAnsi="Times New Roman"/>
                <w:b/>
                <w:bCs/>
                <w:sz w:val="20"/>
              </w:rPr>
              <w:t>Coef.</w:t>
            </w:r>
          </w:p>
        </w:tc>
        <w:tc>
          <w:tcPr>
            <w:tcW w:w="475" w:type="pct"/>
            <w:tcBorders>
              <w:top w:val="single" w:sz="12" w:space="0" w:color="auto"/>
              <w:left w:val="single" w:sz="8" w:space="0" w:color="auto"/>
              <w:bottom w:val="single" w:sz="12" w:space="0" w:color="auto"/>
              <w:right w:val="single" w:sz="18" w:space="0" w:color="auto"/>
            </w:tcBorders>
          </w:tcPr>
          <w:p w14:paraId="3A8F3BE8" w14:textId="01CC344E" w:rsidR="009042DD" w:rsidRPr="002E55DE" w:rsidDel="009042DD" w:rsidRDefault="009042DD" w:rsidP="002A3447">
            <w:pPr>
              <w:jc w:val="center"/>
              <w:rPr>
                <w:rFonts w:ascii="Times New Roman" w:eastAsiaTheme="minorEastAsia" w:hAnsi="Times New Roman"/>
                <w:b/>
                <w:bCs/>
                <w:sz w:val="20"/>
                <w:lang w:eastAsia="ko-KR"/>
              </w:rPr>
            </w:pPr>
            <w:r w:rsidRPr="002E55DE">
              <w:rPr>
                <w:rFonts w:ascii="Times New Roman" w:eastAsia="Times New Roman" w:hAnsi="Times New Roman"/>
                <w:b/>
                <w:bCs/>
                <w:sz w:val="20"/>
              </w:rPr>
              <w:t>t-stat</w:t>
            </w:r>
          </w:p>
        </w:tc>
      </w:tr>
      <w:tr w:rsidR="002E55DE" w:rsidRPr="002E55DE" w14:paraId="180E9C9A" w14:textId="77777777" w:rsidTr="00261282">
        <w:trPr>
          <w:trHeight w:val="144"/>
        </w:trPr>
        <w:tc>
          <w:tcPr>
            <w:tcW w:w="1950" w:type="pct"/>
            <w:tcBorders>
              <w:top w:val="single" w:sz="12"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251F93D0" w14:textId="0C7AC68B" w:rsidR="009042DD" w:rsidRPr="002E55DE" w:rsidRDefault="009042DD" w:rsidP="002A3447">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1|2</w:t>
            </w:r>
          </w:p>
        </w:tc>
        <w:tc>
          <w:tcPr>
            <w:tcW w:w="552" w:type="pct"/>
            <w:tcBorders>
              <w:top w:val="single" w:sz="12" w:space="0" w:color="auto"/>
              <w:left w:val="single" w:sz="12" w:space="0" w:color="auto"/>
              <w:bottom w:val="single" w:sz="12" w:space="0" w:color="auto"/>
              <w:right w:val="single" w:sz="8" w:space="0" w:color="auto"/>
            </w:tcBorders>
            <w:tcMar>
              <w:top w:w="30" w:type="dxa"/>
              <w:left w:w="45" w:type="dxa"/>
              <w:bottom w:w="30" w:type="dxa"/>
              <w:right w:w="45" w:type="dxa"/>
            </w:tcMar>
          </w:tcPr>
          <w:p w14:paraId="47764F8E" w14:textId="27D13597" w:rsidR="009042DD" w:rsidRPr="002E55DE" w:rsidDel="009042DD" w:rsidRDefault="00FD6221"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-0.68</w:t>
            </w:r>
            <w:r w:rsidR="007C456C" w:rsidRPr="002E55DE">
              <w:rPr>
                <w:rFonts w:ascii="Times New Roman" w:eastAsiaTheme="minorEastAsia" w:hAnsi="Times New Roman" w:hint="eastAsia"/>
                <w:sz w:val="20"/>
                <w:lang w:eastAsia="ko-KR"/>
              </w:rPr>
              <w:t>2</w:t>
            </w:r>
          </w:p>
        </w:tc>
        <w:tc>
          <w:tcPr>
            <w:tcW w:w="441" w:type="pct"/>
            <w:tcBorders>
              <w:top w:val="single" w:sz="12" w:space="0" w:color="auto"/>
              <w:left w:val="single" w:sz="8" w:space="0" w:color="auto"/>
              <w:bottom w:val="single" w:sz="12" w:space="0" w:color="auto"/>
              <w:right w:val="single" w:sz="12" w:space="0" w:color="auto"/>
            </w:tcBorders>
          </w:tcPr>
          <w:p w14:paraId="20D6CEE2" w14:textId="68C48E25" w:rsidR="009042DD" w:rsidRPr="002E55DE" w:rsidDel="009042DD" w:rsidRDefault="007C456C"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-9.98</w:t>
            </w:r>
          </w:p>
        </w:tc>
        <w:tc>
          <w:tcPr>
            <w:tcW w:w="552" w:type="pct"/>
            <w:tcBorders>
              <w:top w:val="single" w:sz="12" w:space="0" w:color="auto"/>
              <w:left w:val="single" w:sz="12" w:space="0" w:color="auto"/>
              <w:bottom w:val="single" w:sz="12" w:space="0" w:color="auto"/>
              <w:right w:val="single" w:sz="8" w:space="0" w:color="auto"/>
            </w:tcBorders>
            <w:tcMar>
              <w:top w:w="30" w:type="dxa"/>
              <w:left w:w="45" w:type="dxa"/>
              <w:bottom w:w="30" w:type="dxa"/>
              <w:right w:w="45" w:type="dxa"/>
            </w:tcMar>
          </w:tcPr>
          <w:p w14:paraId="6BCB74D6" w14:textId="2E38B2DD" w:rsidR="009042DD" w:rsidRPr="002E55DE" w:rsidRDefault="00613B7F"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2.303</w:t>
            </w:r>
            <w:r w:rsidR="003D4E9D" w:rsidRPr="002E55DE">
              <w:rPr>
                <w:rFonts w:ascii="Times New Roman" w:eastAsiaTheme="minorEastAsia" w:hAnsi="Times New Roman" w:hint="eastAsia"/>
                <w:sz w:val="20"/>
                <w:lang w:eastAsia="ko-KR"/>
              </w:rPr>
              <w:t>(ln10)</w:t>
            </w:r>
          </w:p>
        </w:tc>
        <w:tc>
          <w:tcPr>
            <w:tcW w:w="553" w:type="pct"/>
            <w:tcBorders>
              <w:top w:val="single" w:sz="12" w:space="0" w:color="auto"/>
              <w:left w:val="single" w:sz="8" w:space="0" w:color="auto"/>
              <w:bottom w:val="single" w:sz="12" w:space="0" w:color="auto"/>
              <w:right w:val="single" w:sz="12" w:space="0" w:color="auto"/>
            </w:tcBorders>
          </w:tcPr>
          <w:p w14:paraId="774E338B" w14:textId="1BA6511A" w:rsidR="009042DD" w:rsidRPr="002E55DE" w:rsidRDefault="00FD6221"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single" w:sz="12" w:space="0" w:color="auto"/>
              <w:left w:val="single" w:sz="12" w:space="0" w:color="auto"/>
              <w:bottom w:val="single" w:sz="12" w:space="0" w:color="auto"/>
              <w:right w:val="single" w:sz="8" w:space="0" w:color="auto"/>
            </w:tcBorders>
          </w:tcPr>
          <w:p w14:paraId="0E1C5ACD" w14:textId="2F00801E"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-1.44</w:t>
            </w:r>
            <w:r w:rsidR="007C456C" w:rsidRPr="002E55DE">
              <w:rPr>
                <w:rFonts w:ascii="Times New Roman" w:eastAsiaTheme="minorEastAsia" w:hAnsi="Times New Roman" w:hint="eastAsia"/>
                <w:sz w:val="20"/>
                <w:lang w:eastAsia="ko-KR"/>
              </w:rPr>
              <w:t>4</w:t>
            </w:r>
          </w:p>
        </w:tc>
        <w:tc>
          <w:tcPr>
            <w:tcW w:w="475" w:type="pct"/>
            <w:tcBorders>
              <w:top w:val="single" w:sz="12" w:space="0" w:color="auto"/>
              <w:left w:val="single" w:sz="8" w:space="0" w:color="auto"/>
              <w:bottom w:val="single" w:sz="12" w:space="0" w:color="auto"/>
              <w:right w:val="single" w:sz="18" w:space="0" w:color="auto"/>
            </w:tcBorders>
          </w:tcPr>
          <w:p w14:paraId="70D43553" w14:textId="68645368"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-23.</w:t>
            </w:r>
            <w:r w:rsidR="007C456C" w:rsidRPr="002E55DE">
              <w:rPr>
                <w:rFonts w:ascii="Times New Roman" w:eastAsiaTheme="minorEastAsia" w:hAnsi="Times New Roman" w:hint="eastAsia"/>
                <w:sz w:val="20"/>
                <w:lang w:eastAsia="ko-KR"/>
              </w:rPr>
              <w:t>30</w:t>
            </w:r>
          </w:p>
        </w:tc>
      </w:tr>
      <w:tr w:rsidR="002E55DE" w:rsidRPr="002E55DE" w14:paraId="784994C9" w14:textId="77777777" w:rsidTr="00261282">
        <w:trPr>
          <w:trHeight w:val="144"/>
        </w:trPr>
        <w:tc>
          <w:tcPr>
            <w:tcW w:w="1950" w:type="pct"/>
            <w:tcBorders>
              <w:top w:val="dashSmallGap" w:sz="4"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5C4FFD6C" w14:textId="5D1F8D33" w:rsidR="009042DD" w:rsidRPr="002E55DE" w:rsidRDefault="009042DD" w:rsidP="002A3447">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2|3</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03BA0D93" w14:textId="7EFBE60D" w:rsidR="009042DD" w:rsidRPr="002E55DE" w:rsidDel="009042DD" w:rsidRDefault="00FD6221"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-0.0</w:t>
            </w:r>
            <w:r w:rsidR="007C456C" w:rsidRPr="002E55DE">
              <w:rPr>
                <w:rFonts w:ascii="Times New Roman" w:eastAsiaTheme="minorEastAsia" w:hAnsi="Times New Roman" w:hint="eastAsia"/>
                <w:sz w:val="20"/>
                <w:lang w:eastAsia="ko-KR"/>
              </w:rPr>
              <w:t>76</w:t>
            </w:r>
          </w:p>
        </w:tc>
        <w:tc>
          <w:tcPr>
            <w:tcW w:w="441" w:type="pct"/>
            <w:tcBorders>
              <w:top w:val="dashSmallGap" w:sz="4" w:space="0" w:color="auto"/>
              <w:left w:val="single" w:sz="8" w:space="0" w:color="auto"/>
              <w:bottom w:val="single" w:sz="12" w:space="0" w:color="auto"/>
              <w:right w:val="single" w:sz="12" w:space="0" w:color="auto"/>
            </w:tcBorders>
          </w:tcPr>
          <w:p w14:paraId="13A7851D" w14:textId="3BBCE85C" w:rsidR="009042DD" w:rsidRPr="002E55DE" w:rsidDel="009042DD" w:rsidRDefault="00FD6221"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w:t>
            </w:r>
            <w:r w:rsidR="007C456C" w:rsidRPr="002E55DE">
              <w:rPr>
                <w:rFonts w:ascii="Times New Roman" w:eastAsiaTheme="minorEastAsia" w:hAnsi="Times New Roman" w:hint="eastAsia"/>
                <w:sz w:val="20"/>
                <w:lang w:eastAsia="ko-KR"/>
              </w:rPr>
              <w:t>35</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1CAA72AB" w14:textId="248AA9B9" w:rsidR="009042DD" w:rsidRPr="002E55DE" w:rsidRDefault="00613B7F" w:rsidP="00613B7F">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3.401</w:t>
            </w:r>
            <w:r w:rsidR="003D4E9D" w:rsidRPr="002E55DE">
              <w:rPr>
                <w:rFonts w:ascii="Times New Roman" w:eastAsiaTheme="minorEastAsia" w:hAnsi="Times New Roman" w:hint="eastAsia"/>
                <w:sz w:val="20"/>
                <w:lang w:eastAsia="ko-KR"/>
              </w:rPr>
              <w:t>(ln30)</w:t>
            </w:r>
          </w:p>
        </w:tc>
        <w:tc>
          <w:tcPr>
            <w:tcW w:w="553" w:type="pct"/>
            <w:tcBorders>
              <w:top w:val="dashSmallGap" w:sz="4" w:space="0" w:color="auto"/>
              <w:left w:val="single" w:sz="8" w:space="0" w:color="auto"/>
              <w:bottom w:val="single" w:sz="12" w:space="0" w:color="auto"/>
              <w:right w:val="single" w:sz="12" w:space="0" w:color="auto"/>
            </w:tcBorders>
          </w:tcPr>
          <w:p w14:paraId="51FDC863" w14:textId="57072AF0" w:rsidR="009042DD" w:rsidRPr="002E55DE" w:rsidRDefault="00FD6221"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dashSmallGap" w:sz="4" w:space="0" w:color="auto"/>
              <w:left w:val="single" w:sz="12" w:space="0" w:color="auto"/>
              <w:bottom w:val="single" w:sz="12" w:space="0" w:color="auto"/>
              <w:right w:val="single" w:sz="8" w:space="0" w:color="auto"/>
            </w:tcBorders>
          </w:tcPr>
          <w:p w14:paraId="0FFD55A2" w14:textId="387873E8"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-0.51</w:t>
            </w:r>
            <w:r w:rsidR="007C456C" w:rsidRPr="002E55DE">
              <w:rPr>
                <w:rFonts w:ascii="Times New Roman" w:eastAsiaTheme="minorEastAsia" w:hAnsi="Times New Roman" w:hint="eastAsia"/>
                <w:sz w:val="20"/>
                <w:lang w:eastAsia="ko-KR"/>
              </w:rPr>
              <w:t>4</w:t>
            </w:r>
          </w:p>
        </w:tc>
        <w:tc>
          <w:tcPr>
            <w:tcW w:w="475" w:type="pct"/>
            <w:tcBorders>
              <w:top w:val="dashSmallGap" w:sz="4" w:space="0" w:color="auto"/>
              <w:left w:val="single" w:sz="8" w:space="0" w:color="auto"/>
              <w:bottom w:val="single" w:sz="12" w:space="0" w:color="auto"/>
              <w:right w:val="single" w:sz="18" w:space="0" w:color="auto"/>
            </w:tcBorders>
          </w:tcPr>
          <w:p w14:paraId="04CAEF43" w14:textId="12A5D046"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-10.</w:t>
            </w:r>
            <w:r w:rsidR="007C456C" w:rsidRPr="002E55DE">
              <w:rPr>
                <w:rFonts w:ascii="Times New Roman" w:eastAsiaTheme="minorEastAsia" w:hAnsi="Times New Roman" w:hint="eastAsia"/>
                <w:sz w:val="20"/>
                <w:lang w:eastAsia="ko-KR"/>
              </w:rPr>
              <w:t>26</w:t>
            </w:r>
          </w:p>
        </w:tc>
      </w:tr>
      <w:tr w:rsidR="002E55DE" w:rsidRPr="002E55DE" w14:paraId="4BF41481" w14:textId="77777777" w:rsidTr="00261282">
        <w:trPr>
          <w:trHeight w:val="144"/>
        </w:trPr>
        <w:tc>
          <w:tcPr>
            <w:tcW w:w="1950" w:type="pct"/>
            <w:tcBorders>
              <w:top w:val="dashSmallGap" w:sz="4"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5BDB889F" w14:textId="38924FA2" w:rsidR="009042DD" w:rsidRPr="002E55DE" w:rsidRDefault="009042DD" w:rsidP="002A3447">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3|4</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10151D79" w14:textId="0FA5AE8A"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0.57</w:t>
            </w:r>
            <w:r w:rsidR="007C456C" w:rsidRPr="002E55DE">
              <w:rPr>
                <w:rFonts w:ascii="Times New Roman" w:eastAsiaTheme="minorEastAsia" w:hAnsi="Times New Roman" w:hint="eastAsia"/>
                <w:sz w:val="20"/>
                <w:lang w:eastAsia="ko-KR"/>
              </w:rPr>
              <w:t>5</w:t>
            </w:r>
          </w:p>
        </w:tc>
        <w:tc>
          <w:tcPr>
            <w:tcW w:w="441" w:type="pct"/>
            <w:tcBorders>
              <w:top w:val="dashSmallGap" w:sz="4" w:space="0" w:color="auto"/>
              <w:left w:val="single" w:sz="8" w:space="0" w:color="auto"/>
              <w:bottom w:val="single" w:sz="12" w:space="0" w:color="auto"/>
              <w:right w:val="single" w:sz="12" w:space="0" w:color="auto"/>
            </w:tcBorders>
          </w:tcPr>
          <w:p w14:paraId="1518590A" w14:textId="09F55638"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10.2</w:t>
            </w:r>
            <w:r w:rsidR="007C456C" w:rsidRPr="002E55DE">
              <w:rPr>
                <w:rFonts w:ascii="Times New Roman" w:eastAsiaTheme="minorEastAsia" w:hAnsi="Times New Roman" w:hint="eastAsia"/>
                <w:sz w:val="20"/>
                <w:lang w:eastAsia="ko-KR"/>
              </w:rPr>
              <w:t>9</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621CA34E" w14:textId="25702B5F" w:rsidR="009042DD" w:rsidRPr="002E55DE" w:rsidRDefault="00613B7F"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4.094</w:t>
            </w:r>
            <w:r w:rsidR="003D4E9D" w:rsidRPr="002E55DE">
              <w:rPr>
                <w:rFonts w:ascii="Times New Roman" w:eastAsiaTheme="minorEastAsia" w:hAnsi="Times New Roman" w:hint="eastAsia"/>
                <w:sz w:val="20"/>
                <w:lang w:eastAsia="ko-KR"/>
              </w:rPr>
              <w:t>(ln60)</w:t>
            </w:r>
          </w:p>
        </w:tc>
        <w:tc>
          <w:tcPr>
            <w:tcW w:w="553" w:type="pct"/>
            <w:tcBorders>
              <w:top w:val="dashSmallGap" w:sz="4" w:space="0" w:color="auto"/>
              <w:left w:val="single" w:sz="8" w:space="0" w:color="auto"/>
              <w:bottom w:val="single" w:sz="12" w:space="0" w:color="auto"/>
              <w:right w:val="single" w:sz="12" w:space="0" w:color="auto"/>
            </w:tcBorders>
          </w:tcPr>
          <w:p w14:paraId="7FB1DCE5" w14:textId="3057BADF" w:rsidR="009042DD" w:rsidRPr="002E55DE" w:rsidRDefault="00FD6221"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dashSmallGap" w:sz="4" w:space="0" w:color="auto"/>
              <w:left w:val="single" w:sz="12" w:space="0" w:color="auto"/>
              <w:bottom w:val="single" w:sz="12" w:space="0" w:color="auto"/>
              <w:right w:val="single" w:sz="8" w:space="0" w:color="auto"/>
            </w:tcBorders>
          </w:tcPr>
          <w:p w14:paraId="65743D2B" w14:textId="244402B2"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0.39</w:t>
            </w:r>
            <w:r w:rsidR="007C456C" w:rsidRPr="002E55DE">
              <w:rPr>
                <w:rFonts w:ascii="Times New Roman" w:eastAsiaTheme="minorEastAsia" w:hAnsi="Times New Roman" w:hint="eastAsia"/>
                <w:sz w:val="20"/>
                <w:lang w:eastAsia="ko-KR"/>
              </w:rPr>
              <w:t>1</w:t>
            </w:r>
          </w:p>
        </w:tc>
        <w:tc>
          <w:tcPr>
            <w:tcW w:w="475" w:type="pct"/>
            <w:tcBorders>
              <w:top w:val="dashSmallGap" w:sz="4" w:space="0" w:color="auto"/>
              <w:left w:val="single" w:sz="8" w:space="0" w:color="auto"/>
              <w:bottom w:val="single" w:sz="12" w:space="0" w:color="auto"/>
              <w:right w:val="single" w:sz="18" w:space="0" w:color="auto"/>
            </w:tcBorders>
          </w:tcPr>
          <w:p w14:paraId="375B7DC1" w14:textId="1EFCAC44" w:rsidR="009042DD" w:rsidRPr="002E55DE" w:rsidDel="009042DD" w:rsidRDefault="007C456C"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6.97</w:t>
            </w:r>
          </w:p>
        </w:tc>
      </w:tr>
      <w:tr w:rsidR="009042DD" w:rsidRPr="002E55DE" w14:paraId="54ED383E" w14:textId="77777777" w:rsidTr="00261282">
        <w:trPr>
          <w:trHeight w:val="144"/>
        </w:trPr>
        <w:tc>
          <w:tcPr>
            <w:tcW w:w="1950" w:type="pct"/>
            <w:tcBorders>
              <w:top w:val="dashSmallGap" w:sz="4"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377FDB88" w14:textId="1C41D7E2" w:rsidR="009042DD" w:rsidRPr="002E55DE" w:rsidRDefault="009042DD" w:rsidP="002A3447">
            <w:pPr>
              <w:ind w:left="144"/>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4|5</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3F15CA2C" w14:textId="5A485702"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w:t>
            </w:r>
            <w:r w:rsidR="007C456C" w:rsidRPr="002E55DE">
              <w:rPr>
                <w:rFonts w:ascii="Times New Roman" w:eastAsiaTheme="minorEastAsia" w:hAnsi="Times New Roman" w:hint="eastAsia"/>
                <w:sz w:val="20"/>
                <w:lang w:eastAsia="ko-KR"/>
              </w:rPr>
              <w:t>147</w:t>
            </w:r>
          </w:p>
        </w:tc>
        <w:tc>
          <w:tcPr>
            <w:tcW w:w="441" w:type="pct"/>
            <w:tcBorders>
              <w:top w:val="dashSmallGap" w:sz="4" w:space="0" w:color="auto"/>
              <w:left w:val="single" w:sz="8" w:space="0" w:color="auto"/>
              <w:bottom w:val="single" w:sz="12" w:space="0" w:color="auto"/>
              <w:right w:val="single" w:sz="12" w:space="0" w:color="auto"/>
            </w:tcBorders>
          </w:tcPr>
          <w:p w14:paraId="41F9C4B0" w14:textId="35461DE7" w:rsidR="009042DD" w:rsidRPr="002E55DE" w:rsidDel="009042DD" w:rsidRDefault="0052329E"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18.</w:t>
            </w:r>
            <w:r w:rsidR="007C456C" w:rsidRPr="002E55DE">
              <w:rPr>
                <w:rFonts w:ascii="Times New Roman" w:eastAsiaTheme="minorEastAsia" w:hAnsi="Times New Roman" w:hint="eastAsia"/>
                <w:sz w:val="20"/>
                <w:lang w:eastAsia="ko-KR"/>
              </w:rPr>
              <w:t>65</w:t>
            </w:r>
          </w:p>
        </w:tc>
        <w:tc>
          <w:tcPr>
            <w:tcW w:w="552" w:type="pct"/>
            <w:tcBorders>
              <w:top w:val="dashSmallGap" w:sz="4" w:space="0" w:color="auto"/>
              <w:left w:val="single" w:sz="12" w:space="0" w:color="auto"/>
              <w:bottom w:val="single" w:sz="12" w:space="0" w:color="auto"/>
              <w:right w:val="single" w:sz="8" w:space="0" w:color="auto"/>
            </w:tcBorders>
            <w:tcMar>
              <w:top w:w="30" w:type="dxa"/>
              <w:left w:w="45" w:type="dxa"/>
              <w:bottom w:w="30" w:type="dxa"/>
              <w:right w:w="45" w:type="dxa"/>
            </w:tcMar>
          </w:tcPr>
          <w:p w14:paraId="25FB7173" w14:textId="1E863FAE" w:rsidR="009042DD" w:rsidRPr="002E55DE" w:rsidRDefault="00EF6C26"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553" w:type="pct"/>
            <w:tcBorders>
              <w:top w:val="dashSmallGap" w:sz="4" w:space="0" w:color="auto"/>
              <w:left w:val="single" w:sz="8" w:space="0" w:color="auto"/>
              <w:bottom w:val="single" w:sz="12" w:space="0" w:color="auto"/>
              <w:right w:val="single" w:sz="12" w:space="0" w:color="auto"/>
            </w:tcBorders>
          </w:tcPr>
          <w:p w14:paraId="3A3C16A1" w14:textId="0D59F6EB" w:rsidR="009042DD" w:rsidRPr="002E55DE" w:rsidRDefault="00EF6C26"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w:t>
            </w:r>
          </w:p>
        </w:tc>
        <w:tc>
          <w:tcPr>
            <w:tcW w:w="477" w:type="pct"/>
            <w:tcBorders>
              <w:top w:val="dashSmallGap" w:sz="4" w:space="0" w:color="auto"/>
              <w:left w:val="single" w:sz="12" w:space="0" w:color="auto"/>
              <w:bottom w:val="single" w:sz="12" w:space="0" w:color="auto"/>
              <w:right w:val="single" w:sz="8" w:space="0" w:color="auto"/>
            </w:tcBorders>
          </w:tcPr>
          <w:p w14:paraId="2E3CEDC4" w14:textId="6A7BF4B4" w:rsidR="009042DD" w:rsidRPr="002E55DE" w:rsidDel="009042DD" w:rsidRDefault="00620C8B"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1.2</w:t>
            </w:r>
            <w:r w:rsidR="007C456C" w:rsidRPr="002E55DE">
              <w:rPr>
                <w:rFonts w:ascii="Times New Roman" w:eastAsiaTheme="minorEastAsia" w:hAnsi="Times New Roman" w:hint="eastAsia"/>
                <w:sz w:val="20"/>
                <w:lang w:eastAsia="ko-KR"/>
              </w:rPr>
              <w:t>10</w:t>
            </w:r>
          </w:p>
        </w:tc>
        <w:tc>
          <w:tcPr>
            <w:tcW w:w="475" w:type="pct"/>
            <w:tcBorders>
              <w:top w:val="dashSmallGap" w:sz="4" w:space="0" w:color="auto"/>
              <w:left w:val="single" w:sz="8" w:space="0" w:color="auto"/>
              <w:bottom w:val="single" w:sz="12" w:space="0" w:color="auto"/>
              <w:right w:val="single" w:sz="18" w:space="0" w:color="auto"/>
            </w:tcBorders>
          </w:tcPr>
          <w:p w14:paraId="727A326B" w14:textId="0C39B8A0" w:rsidR="009042DD" w:rsidRPr="002E55DE" w:rsidDel="009042DD" w:rsidRDefault="00620C8B" w:rsidP="009042DD">
            <w:pPr>
              <w:jc w:val="right"/>
              <w:rPr>
                <w:rFonts w:ascii="Times New Roman" w:eastAsiaTheme="minorEastAsia" w:hAnsi="Times New Roman"/>
                <w:sz w:val="20"/>
                <w:lang w:eastAsia="ko-KR"/>
              </w:rPr>
            </w:pPr>
            <w:r w:rsidRPr="002E55DE">
              <w:rPr>
                <w:rFonts w:ascii="Times New Roman" w:eastAsiaTheme="minorEastAsia" w:hAnsi="Times New Roman" w:hint="eastAsia"/>
                <w:sz w:val="20"/>
                <w:lang w:eastAsia="ko-KR"/>
              </w:rPr>
              <w:t>1</w:t>
            </w:r>
            <w:r w:rsidR="007C456C" w:rsidRPr="002E55DE">
              <w:rPr>
                <w:rFonts w:ascii="Times New Roman" w:eastAsiaTheme="minorEastAsia" w:hAnsi="Times New Roman" w:hint="eastAsia"/>
                <w:sz w:val="20"/>
                <w:lang w:eastAsia="ko-KR"/>
              </w:rPr>
              <w:t>7.75</w:t>
            </w:r>
          </w:p>
        </w:tc>
      </w:tr>
    </w:tbl>
    <w:p w14:paraId="415679F8" w14:textId="77777777" w:rsidR="00840C8D" w:rsidRPr="002E55DE" w:rsidRDefault="00840C8D" w:rsidP="00F424E8">
      <w:pPr>
        <w:rPr>
          <w:lang w:eastAsia="ko-KR"/>
        </w:rPr>
      </w:pPr>
      <w:bookmarkStart w:id="41" w:name="_Hlk169956868"/>
      <w:bookmarkEnd w:id="40"/>
    </w:p>
    <w:p w14:paraId="54FC0F81" w14:textId="77777777" w:rsidR="00840C8D" w:rsidRPr="002E55DE" w:rsidRDefault="00840C8D" w:rsidP="00F424E8">
      <w:pPr>
        <w:rPr>
          <w:lang w:eastAsia="ko-KR"/>
        </w:rPr>
      </w:pPr>
    </w:p>
    <w:p w14:paraId="150AA9C5" w14:textId="2D91FF4E" w:rsidR="00543FA9" w:rsidRPr="002E55DE" w:rsidRDefault="00745536" w:rsidP="00662E40">
      <w:pPr>
        <w:pStyle w:val="Heading2"/>
        <w:keepNext/>
        <w:keepLines/>
        <w:spacing w:line="240" w:lineRule="auto"/>
        <w:ind w:hanging="540"/>
        <w:contextualSpacing w:val="0"/>
        <w:rPr>
          <w:lang w:eastAsia="ko-KR"/>
        </w:rPr>
      </w:pPr>
      <w:r w:rsidRPr="002E55DE">
        <w:rPr>
          <w:rFonts w:hint="eastAsia"/>
          <w:lang w:eastAsia="ko-KR"/>
        </w:rPr>
        <w:lastRenderedPageBreak/>
        <w:t xml:space="preserve">Influence of </w:t>
      </w:r>
      <w:r w:rsidR="00815C61" w:rsidRPr="002E55DE">
        <w:rPr>
          <w:lang w:eastAsia="ko-KR"/>
        </w:rPr>
        <w:t xml:space="preserve">Exogenous </w:t>
      </w:r>
      <w:r w:rsidRPr="002E55DE">
        <w:rPr>
          <w:rFonts w:hint="eastAsia"/>
          <w:lang w:eastAsia="ko-KR"/>
        </w:rPr>
        <w:t>Variables on Walking Frequency</w:t>
      </w:r>
      <w:r w:rsidR="0093547B" w:rsidRPr="002E55DE">
        <w:rPr>
          <w:rFonts w:hint="eastAsia"/>
          <w:lang w:eastAsia="ko-KR"/>
        </w:rPr>
        <w:t>, Average Walking Duration</w:t>
      </w:r>
      <w:r w:rsidR="000E0D83" w:rsidRPr="002E55DE">
        <w:rPr>
          <w:lang w:eastAsia="ko-KR"/>
        </w:rPr>
        <w:t>, and</w:t>
      </w:r>
      <w:r w:rsidR="000E0D83" w:rsidRPr="002E55DE">
        <w:rPr>
          <w:rFonts w:hint="eastAsia"/>
          <w:lang w:eastAsia="ko-KR"/>
        </w:rPr>
        <w:t xml:space="preserve"> Walking </w:t>
      </w:r>
      <w:r w:rsidR="000E0D83" w:rsidRPr="002E55DE">
        <w:rPr>
          <w:lang w:eastAsia="ko-KR"/>
        </w:rPr>
        <w:t>Companionship</w:t>
      </w:r>
    </w:p>
    <w:p w14:paraId="67F05808" w14:textId="56992021" w:rsidR="00A509BB" w:rsidRPr="002E55DE" w:rsidRDefault="0011589E" w:rsidP="00662E40">
      <w:pPr>
        <w:keepNext/>
        <w:keepLines/>
        <w:jc w:val="both"/>
        <w:rPr>
          <w:rFonts w:ascii="Times New Roman" w:eastAsiaTheme="minorEastAsia" w:hAnsi="Times New Roman"/>
          <w:lang w:eastAsia="ko-KR"/>
        </w:rPr>
      </w:pPr>
      <w:r w:rsidRPr="002E55DE">
        <w:rPr>
          <w:rFonts w:eastAsiaTheme="minorEastAsia"/>
          <w:lang w:eastAsia="ko-KR"/>
        </w:rPr>
        <w:t xml:space="preserve">The results in Table </w:t>
      </w:r>
      <w:r w:rsidR="00F176E4" w:rsidRPr="002E55DE">
        <w:rPr>
          <w:rFonts w:eastAsiaTheme="minorEastAsia" w:hint="eastAsia"/>
          <w:lang w:eastAsia="ko-KR"/>
        </w:rPr>
        <w:t>4</w:t>
      </w:r>
      <w:r w:rsidRPr="002E55DE">
        <w:rPr>
          <w:rFonts w:eastAsiaTheme="minorEastAsia"/>
          <w:lang w:eastAsia="ko-KR"/>
        </w:rPr>
        <w:t xml:space="preserve"> show that individuals </w:t>
      </w:r>
      <w:r w:rsidR="00661771" w:rsidRPr="002E55DE">
        <w:rPr>
          <w:rFonts w:eastAsiaTheme="minorEastAsia"/>
          <w:lang w:eastAsia="ko-KR"/>
        </w:rPr>
        <w:t>65</w:t>
      </w:r>
      <w:r w:rsidRPr="002E55DE">
        <w:rPr>
          <w:rFonts w:eastAsiaTheme="minorEastAsia"/>
          <w:lang w:eastAsia="ko-KR"/>
        </w:rPr>
        <w:t xml:space="preserve"> years of age </w:t>
      </w:r>
      <w:r w:rsidR="00661771" w:rsidRPr="002E55DE">
        <w:rPr>
          <w:rFonts w:eastAsiaTheme="minorEastAsia"/>
          <w:lang w:eastAsia="ko-KR"/>
        </w:rPr>
        <w:t xml:space="preserve">or older </w:t>
      </w:r>
      <w:r w:rsidRPr="002E55DE">
        <w:rPr>
          <w:rFonts w:eastAsiaTheme="minorEastAsia"/>
          <w:lang w:eastAsia="ko-KR"/>
        </w:rPr>
        <w:t xml:space="preserve">and women display a lower walk propensity and duration </w:t>
      </w:r>
      <w:r w:rsidR="00661771" w:rsidRPr="002E55DE">
        <w:rPr>
          <w:rFonts w:eastAsiaTheme="minorEastAsia"/>
          <w:lang w:eastAsia="ko-KR"/>
        </w:rPr>
        <w:t xml:space="preserve">than those between the ages of 50-64 years and men, respectively. The age result </w:t>
      </w:r>
      <w:r w:rsidR="003047D8" w:rsidRPr="002E55DE">
        <w:rPr>
          <w:rFonts w:eastAsiaTheme="minorEastAsia"/>
          <w:lang w:eastAsia="ko-KR"/>
        </w:rPr>
        <w:t xml:space="preserve">is </w:t>
      </w:r>
      <w:r w:rsidR="00AC59CC" w:rsidRPr="002E55DE">
        <w:rPr>
          <w:rFonts w:eastAsiaTheme="minorEastAsia"/>
          <w:lang w:eastAsia="ko-KR"/>
        </w:rPr>
        <w:t>the reverse of the result found in some studies from the pre-pandemic literature, including</w:t>
      </w:r>
      <w:r w:rsidR="00FF3971" w:rsidRPr="002E55DE">
        <w:rPr>
          <w:rFonts w:eastAsiaTheme="minorEastAsia" w:hint="eastAsia"/>
          <w:lang w:eastAsia="ko-KR"/>
        </w:rPr>
        <w:t xml:space="preserve"> </w:t>
      </w:r>
      <w:r w:rsidR="00FF3971"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{"citationID":"4hvx8QfC","properties":{"formattedCitation":"(Nagel et al., 2008; Thornton et al., 2017)","plainCitation":"(Nagel et al., 2008; Thornton et al., 2017)","dontUpdate":true,"noteIndex":0},"citationItems":[{"id":"4nY7bDZH/OB5Nf5Wk","uris":["http://zotero.org/users/10132210/items/ARMZ93DP"],"itemData":{"id":919,"type":"article-journal","container-title":"American Journal of Epidemiology","DOI":"10.1093/aje/kwn158","ISSN":"0002-9262, 1476-6256","issue":"4","journalAbbreviation":"American Journal of Epidemiology","language":"en","page":"461-468","source":"DOI.org (Crossref)","title":"The Relation between Neighborhood Built Environment and Walking Activity among Older Adults","volume":"168","author":[{"family":"Nagel","given":"C. L."},{"family":"Carlson","given":"N. E."},{"family":"Bosworth","given":"M."},{"family":"Michael","given":"Y. L."}],"issued":{"date-parts":[["2008",6,30]]}}},{"id":"4nY7bDZH/w8jE2FG5","uris":["http://zotero.org/users/10132210/items/CGGCSG6C"],"itemData":{"id":1211,"type":"article-journal","abstract":"Background—Studies identifying correlates of physical activity (PA) at all levels of the ecological model can provide an empirical basis for designing interventions to increase older adults’ PA.","container-title":"Annals of Behavioral Medicine","DOI":"10.1007/s12160-016-9837-1","ISSN":"0883-6612, 1532-4796","issue":"2","journalAbbreviation":"ann. behav. med.","language":"en","page":"159-169","source":"DOI.org (Crossref)","title":"Physical Activity in Older Adults: an Ecological Approach","title-short":"Physical Activity in Older Adults","volume":"51","author":[{"family":"Thornton","given":"Christina M."},{"family":"Kerr","given":"Jacqueline"},{"family":"Conway","given":"Terry L."},{"family":"Saelens","given":"Brian E."},{"family":"Sallis","given":"James F."},{"family":"Ahn","given":"David K."},{"family":"Frank","given":"Lawrence D."},{"family":"Cain","given":"Kelli L."},{"family":"King","given":"Abby C."}],"issued":{"date-parts":[["2017",4]]}}}],"schema":"https://github.com/citation-style-language/schema/raw/master/csl-citation.json"} </w:instrText>
      </w:r>
      <w:r w:rsidR="00FF3971" w:rsidRPr="002E55DE">
        <w:rPr>
          <w:rFonts w:eastAsiaTheme="minorEastAsia"/>
          <w:lang w:eastAsia="ko-KR"/>
        </w:rPr>
        <w:fldChar w:fldCharType="separate"/>
      </w:r>
      <w:r w:rsidR="00FF3971" w:rsidRPr="002E55DE">
        <w:rPr>
          <w:rFonts w:cs="Times"/>
        </w:rPr>
        <w:t xml:space="preserve">Nagel et al. </w:t>
      </w:r>
      <w:r w:rsidR="00F57BAD" w:rsidRPr="002E55DE">
        <w:rPr>
          <w:rFonts w:eastAsiaTheme="minorEastAsia" w:cs="Times"/>
          <w:lang w:eastAsia="ko-KR"/>
        </w:rPr>
        <w:t>(</w:t>
      </w:r>
      <w:r w:rsidR="00FF3971" w:rsidRPr="002E55DE">
        <w:rPr>
          <w:rFonts w:cs="Times"/>
        </w:rPr>
        <w:t>2008</w:t>
      </w:r>
      <w:r w:rsidR="00F57BAD" w:rsidRPr="002E55DE">
        <w:rPr>
          <w:rFonts w:eastAsiaTheme="minorEastAsia" w:cs="Times"/>
          <w:lang w:eastAsia="ko-KR"/>
        </w:rPr>
        <w:t xml:space="preserve">) and </w:t>
      </w:r>
      <w:bookmarkStart w:id="42" w:name="_Hlk169960724"/>
      <w:r w:rsidR="00FF3971" w:rsidRPr="002E55DE">
        <w:rPr>
          <w:rFonts w:cs="Times"/>
        </w:rPr>
        <w:t>Thornton et al.</w:t>
      </w:r>
      <w:r w:rsidR="00F57BAD" w:rsidRPr="002E55DE">
        <w:rPr>
          <w:rFonts w:eastAsiaTheme="minorEastAsia" w:cs="Times"/>
          <w:lang w:eastAsia="ko-KR"/>
        </w:rPr>
        <w:t xml:space="preserve"> (</w:t>
      </w:r>
      <w:r w:rsidR="00FF3971" w:rsidRPr="002E55DE">
        <w:rPr>
          <w:rFonts w:cs="Times"/>
        </w:rPr>
        <w:t>2017)</w:t>
      </w:r>
      <w:bookmarkEnd w:id="42"/>
      <w:r w:rsidR="00FF3971" w:rsidRPr="002E55DE">
        <w:rPr>
          <w:rFonts w:eastAsiaTheme="minorEastAsia"/>
          <w:lang w:eastAsia="ko-KR"/>
        </w:rPr>
        <w:fldChar w:fldCharType="end"/>
      </w:r>
      <w:r w:rsidR="00F57BAD" w:rsidRPr="002E55DE">
        <w:rPr>
          <w:rFonts w:eastAsiaTheme="minorEastAsia" w:hint="eastAsia"/>
          <w:lang w:eastAsia="ko-KR"/>
        </w:rPr>
        <w:t xml:space="preserve">, </w:t>
      </w:r>
      <w:r w:rsidR="00AC59CC" w:rsidRPr="002E55DE">
        <w:rPr>
          <w:rFonts w:eastAsiaTheme="minorEastAsia"/>
          <w:lang w:eastAsia="ko-KR"/>
        </w:rPr>
        <w:t xml:space="preserve">but </w:t>
      </w:r>
      <w:r w:rsidR="00F048CB" w:rsidRPr="002E55DE">
        <w:rPr>
          <w:rFonts w:eastAsiaTheme="minorEastAsia"/>
          <w:lang w:eastAsia="ko-KR"/>
        </w:rPr>
        <w:t xml:space="preserve">harmonious </w:t>
      </w:r>
      <w:r w:rsidR="00E73D1C" w:rsidRPr="002E55DE">
        <w:rPr>
          <w:rFonts w:eastAsiaTheme="minorEastAsia"/>
          <w:lang w:eastAsia="ko-KR"/>
        </w:rPr>
        <w:t>with</w:t>
      </w:r>
      <w:r w:rsidR="00F048CB" w:rsidRPr="002E55DE">
        <w:rPr>
          <w:rFonts w:eastAsiaTheme="minorEastAsia"/>
          <w:lang w:eastAsia="ko-KR"/>
        </w:rPr>
        <w:t xml:space="preserve"> </w:t>
      </w:r>
      <w:r w:rsidR="00AC59CC" w:rsidRPr="002E55DE">
        <w:rPr>
          <w:rFonts w:eastAsiaTheme="minorEastAsia"/>
          <w:lang w:eastAsia="ko-KR"/>
        </w:rPr>
        <w:t xml:space="preserve">other </w:t>
      </w:r>
      <w:r w:rsidR="00E73D1C" w:rsidRPr="002E55DE">
        <w:rPr>
          <w:rFonts w:eastAsiaTheme="minorEastAsia"/>
          <w:lang w:eastAsia="ko-KR"/>
        </w:rPr>
        <w:t>findings</w:t>
      </w:r>
      <w:r w:rsidR="00661771" w:rsidRPr="002E55DE">
        <w:rPr>
          <w:rFonts w:eastAsiaTheme="minorEastAsia"/>
          <w:lang w:eastAsia="ko-KR"/>
        </w:rPr>
        <w:t xml:space="preserve"> </w:t>
      </w:r>
      <w:r w:rsidR="00E73D1C" w:rsidRPr="002E55DE">
        <w:rPr>
          <w:rFonts w:eastAsiaTheme="minorEastAsia"/>
          <w:lang w:eastAsia="ko-KR"/>
        </w:rPr>
        <w:t>predating the pandemi</w:t>
      </w:r>
      <w:r w:rsidR="00E73D1C" w:rsidRPr="002E55DE">
        <w:rPr>
          <w:rFonts w:eastAsiaTheme="minorEastAsia" w:hint="eastAsia"/>
          <w:lang w:eastAsia="ko-KR"/>
        </w:rPr>
        <w:t>c</w:t>
      </w:r>
      <w:r w:rsidR="00CB2E41" w:rsidRPr="002E55DE">
        <w:rPr>
          <w:rFonts w:eastAsiaTheme="minorEastAsia" w:hint="eastAsia"/>
          <w:lang w:eastAsia="ko-KR"/>
        </w:rPr>
        <w:t xml:space="preserve"> (</w:t>
      </w:r>
      <w:bookmarkStart w:id="43" w:name="_Hlk169967646"/>
      <w:r w:rsidR="003047D8" w:rsidRPr="002E55DE">
        <w:rPr>
          <w:rFonts w:eastAsiaTheme="minorEastAsia"/>
          <w:lang w:eastAsia="ko-KR"/>
        </w:rPr>
        <w:t>see, for example,</w:t>
      </w:r>
      <w:r w:rsidR="00CB2E41" w:rsidRPr="002E55DE">
        <w:rPr>
          <w:rFonts w:eastAsiaTheme="minorEastAsia"/>
          <w:lang w:eastAsia="ko-KR"/>
        </w:rPr>
        <w:t xml:space="preserve"> </w:t>
      </w:r>
      <w:r w:rsidR="007374F7"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{"citationID":"7nUWA4y6","properties":{"unsorted":true,"formattedCitation":"(Paul et al., 2015; Z. Liu et al., 2020; National Center for Health Statistics, 2019)","plainCitation":"(Paul et al., 2015; Z. Liu et al., 2020; National Center for Health Statistics, 2019)","dontUpdate":true,"noteIndex":0},"citationItems":[{"id":"4nY7bDZH/qHHJZyqb","uris":["http://zotero.org/users/10132210/items/WWSKKNCC"],"itemData":{"id":707,"type":"article-journal","abstract":"Background: Walking, the most commonly reported physical activity among U.S. adults, is undertaken in various domains, including transportation and leisure. Methods: This study examined prevalence, bout length, and mean amount of walking in the last week for transportation and leisure, by selected characteristics. Self-reported data from the 2010 National Health Interview Survey (N = 24,017) were analyzed. Results: Prevalence of transportation walking was 29.4% (95% CI: 28.6%–30.3%) and of leisure walking was 50.0% (95% CI: 49.1%–51.0%). Prevalence of transportation walking was higher among men; prevalence of leisure walking was higher among women. Most (52.4%) transportation walking bouts were 10 to 15 minutes; leisure walking bouts were distributed more evenly (28.0%, 10–15 minutes; 17.1%, 41–60 minutes). Mean time spent in transportation walking was higher among men, decreased with increasing BMI, and varied by race/ethnicity and region of residence. Mean time spent leisure walking increased with increasing age and with decreasing BMI. Conclusion: Demographic correlates and patterns of walking differ by domain. Interventions focusing on either leisure or transportation walking should consider correlates for the specific walking domain. Assessing prevalence, bout length, and mean time of walking for transportation and leisure separately allows for more comprehensive surveillance of walking.","container-title":"Journal of Physical Activity and Health","DOI":"10.1123/jpah.2013-0519","ISSN":"1543-3080, 1543-5474","issue":"s1","language":"en","note":"number: s1","page":"S62-S69","source":"DOI.org (Crossref)","title":"Walking for Transportation and Leisure among U.S. Adults—National Health Interview Survey 2010","volume":"12","author":[{"family":"Paul","given":"Prabasaj"},{"family":"Carlson","given":"Susan A."},{"family":"Carroll","given":"Dianna D."},{"family":"Berrigan","given":"David"},{"family":"Fulton","given":"Janet E."}],"issued":{"date-parts":[["2015",1]]}}},{"id":"4nY7bDZH/IWjM56A0","uris":["http://zotero.org/users/10132210/items/AE6N5R4C"],"itemData":{"id":989,"type":"article-journal","abstract":"Introduction: Leisure walking is the most prevalent and preferred form of physical activity among older adults. Duration is a key component of leisure walking behavior, and therefore, an important determinant of weekly walking levels. The research on the duration of leisure walking trips of older adults is scarce. The aim of this study is to examine the relationships between walking trip duration, the characteristics of these walking trips, and neighborhood characteris­ tics, taking into account socio-demographics.\nMethods: The study was based on a cross-sectional sample of 316 respondents aged 60 or older in Dalian, China. In-person structured interviews focused on walking trip duration, the character­ istics of walking trips, neighborhood characteristics, and socio-demographics. A random effects ordered logit model was estimated to identify the correlates of walking trip duration.\nResults: Participation in leisure walking in the evening was associated with less time spent on walking. Combing walking and other activities on a trip was also associated with less time spent on walking. Higher satisfaction with neighborhood aesthetics was associated with longer walking durations, but only among those who participated solely in their walking trip. Older adults who were satisfied with footpath conditions and traffic safety were more likely to walk for longer durations, but only among those conducting walking in the streets. In addition, there was a positive relationship between the satisfaction with crime safety and walking trip duration for those who walked in the evening.\nConclusions: Interventions involving the neighborhood environment could be a promising op­ portunity for the promotion of walking duration but should be tailored to the appropriate older adults.","container-title":"Journal of Transport &amp; Health","DOI":"10.1016/j.jth.2020.100889","ISSN":"22141405","journalAbbreviation":"Journal of Transport &amp; Health","language":"en","page":"100889","source":"DOI.org (Crossref)","title":"Correlates of older adults’ walking trip duration","volume":"18","author":[{"family":"Liu","given":"Zhengying"},{"family":"Kemperman","given":"Astrid"},{"family":"Timmermans","given":"Harry"}],"issued":{"date-parts":[["2020",9]]}}},{"id":"4nY7bDZH/r7mE8zLT","uris":["http://zotero.org/users/10132210/items/FTLCCUU6"],"itemData":{"id":942,"type":"dataset","event-place":"Hyattsville, MD","publisher-place":"Hyattsville, MD","title":"Health, America, 2019: Table 25","URL":"https://www.cdc.gov/nchs/hus/contents2019.htm","author":[{"family":"National Center for Health Statistics","given":""}],"issued":{"date-parts":[["2019"]]}}}],"schema":"https://github.com/citation-style-language/schema/raw/master/csl-citation.json"} </w:instrText>
      </w:r>
      <w:r w:rsidR="007374F7" w:rsidRPr="002E55DE">
        <w:rPr>
          <w:rFonts w:eastAsiaTheme="minorEastAsia"/>
          <w:lang w:eastAsia="ko-KR"/>
        </w:rPr>
        <w:fldChar w:fldCharType="separate"/>
      </w:r>
      <w:r w:rsidR="0009107F" w:rsidRPr="002E55DE">
        <w:rPr>
          <w:rFonts w:cs="Times"/>
        </w:rPr>
        <w:t>Paul et al., 2015</w:t>
      </w:r>
      <w:r w:rsidR="00355980" w:rsidRPr="002E55DE">
        <w:rPr>
          <w:rFonts w:cs="Times"/>
        </w:rPr>
        <w:t>,</w:t>
      </w:r>
      <w:r w:rsidR="0009107F" w:rsidRPr="002E55DE">
        <w:rPr>
          <w:rFonts w:cs="Times"/>
        </w:rPr>
        <w:t xml:space="preserve"> National Center for Health Statistics, 2019</w:t>
      </w:r>
      <w:r w:rsidR="00355980" w:rsidRPr="002E55DE">
        <w:rPr>
          <w:rFonts w:cs="Times"/>
        </w:rPr>
        <w:t>, and Liu et al., 2020</w:t>
      </w:r>
      <w:r w:rsidR="0009107F" w:rsidRPr="002E55DE">
        <w:rPr>
          <w:rFonts w:cs="Times"/>
        </w:rPr>
        <w:t>)</w:t>
      </w:r>
      <w:r w:rsidR="007374F7" w:rsidRPr="002E55DE">
        <w:rPr>
          <w:rFonts w:eastAsiaTheme="minorEastAsia"/>
          <w:lang w:eastAsia="ko-KR"/>
        </w:rPr>
        <w:fldChar w:fldCharType="end"/>
      </w:r>
      <w:bookmarkEnd w:id="43"/>
      <w:r w:rsidR="00F048CB" w:rsidRPr="002E55DE">
        <w:rPr>
          <w:rFonts w:cs="Times"/>
        </w:rPr>
        <w:t>. It is also consistent</w:t>
      </w:r>
      <w:r w:rsidR="00AC59CC" w:rsidRPr="002E55DE">
        <w:rPr>
          <w:rFonts w:eastAsiaTheme="minorEastAsia"/>
          <w:lang w:eastAsia="ko-KR"/>
        </w:rPr>
        <w:t xml:space="preserve"> </w:t>
      </w:r>
      <w:r w:rsidR="00F048CB" w:rsidRPr="002E55DE">
        <w:rPr>
          <w:rFonts w:ascii="Times New Roman" w:eastAsiaTheme="minorEastAsia" w:hAnsi="Times New Roman"/>
          <w:lang w:eastAsia="ko-KR"/>
        </w:rPr>
        <w:t xml:space="preserve">with </w:t>
      </w:r>
      <w:r w:rsidR="00AC59CC" w:rsidRPr="002E55DE">
        <w:rPr>
          <w:rFonts w:ascii="Times New Roman" w:eastAsiaTheme="minorEastAsia" w:hAnsi="Times New Roman"/>
          <w:lang w:eastAsia="ko-KR"/>
        </w:rPr>
        <w:t>the results from Hwang et al. (2023) and You</w:t>
      </w:r>
      <w:r w:rsidR="00BF1EFF" w:rsidRPr="002E55DE">
        <w:rPr>
          <w:rFonts w:ascii="Times New Roman" w:eastAsiaTheme="minorEastAsia" w:hAnsi="Times New Roman"/>
          <w:lang w:eastAsia="ko-KR"/>
        </w:rPr>
        <w:t>n</w:t>
      </w:r>
      <w:r w:rsidR="00095AC2" w:rsidRPr="002E55DE">
        <w:rPr>
          <w:rFonts w:ascii="Times New Roman" w:eastAsiaTheme="minorEastAsia" w:hAnsi="Times New Roman"/>
          <w:lang w:eastAsia="ko-KR"/>
        </w:rPr>
        <w:t>e</w:t>
      </w:r>
      <w:r w:rsidR="00BF1EFF" w:rsidRPr="002E55DE">
        <w:rPr>
          <w:rFonts w:ascii="Times New Roman" w:eastAsiaTheme="minorEastAsia" w:hAnsi="Times New Roman"/>
          <w:lang w:eastAsia="ko-KR"/>
        </w:rPr>
        <w:t>s et al.</w:t>
      </w:r>
      <w:r w:rsidR="00AC59CC" w:rsidRPr="002E55DE">
        <w:rPr>
          <w:rFonts w:ascii="Times New Roman" w:eastAsiaTheme="minorEastAsia" w:hAnsi="Times New Roman"/>
          <w:lang w:eastAsia="ko-KR"/>
        </w:rPr>
        <w:t xml:space="preserve"> (2023) conducted after the onset of the pandemic. </w:t>
      </w:r>
      <w:r w:rsidR="00BF1EFF" w:rsidRPr="002E55DE">
        <w:rPr>
          <w:rFonts w:ascii="Times New Roman" w:eastAsiaTheme="minorEastAsia" w:hAnsi="Times New Roman"/>
          <w:lang w:eastAsia="ko-KR"/>
        </w:rPr>
        <w:t xml:space="preserve">This result may be due to overall safety concerns, less confidence in one’s walking abilities, and declines in physical fitness with </w:t>
      </w:r>
      <w:bookmarkStart w:id="44" w:name="_Hlk169960904"/>
      <w:r w:rsidR="00BF1EFF" w:rsidRPr="002E55DE">
        <w:rPr>
          <w:rFonts w:ascii="Times New Roman" w:eastAsiaTheme="minorEastAsia" w:hAnsi="Times New Roman"/>
          <w:lang w:eastAsia="ko-KR"/>
        </w:rPr>
        <w:t xml:space="preserve">age. </w:t>
      </w:r>
      <w:r w:rsidR="009835E5"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{"citationID":"OcEEXo3V","properties":{"formattedCitation":"(Clark &amp; Scott, 2016)","plainCitation":"(Clark &amp; Scott, 2016)","dontUpdate":true,"noteIndex":0},"citationItems":[{"id":"4nY7bDZH/21AAThEm","uris":["http://zotero.org/users/10132210/items/PWX722IS"],"itemData":{"id":1069,"type":"article-journal","abstract":"This study investigates perceived barriers to walking using data collected from 179 randomly-selected adults between the ages of 18 and 92 in Hamilton, Ontario, Canada. A survey (Hamilton Active Living Study) asked questions about socio-demographics, walking, and barriers to walking. A series of binary logit models are estimated for twenty potential barriers to walking. The results demonstrate that different barriers are associated with different sub-groups of the population. Females, senior citizens, and those with a higher body mass index identify the most barriers to walking, while young adults, parents, driver’s license owners, and bus pass owners identify the fewest barriers. Understanding who is affected by perceived barriers can help policy makers and health promotion agencies target sub-groups of the population in an effort to increase walking.","container-title":"International Journal of Environmental Research and Public Health","DOI":"10.3390/ijerph13020179","ISSN":"1660-4601","issue":"2","journalAbbreviation":"IJERPH","language":"en","license":"https://creativecommons.org/licenses/by/4.0/","page":"179","source":"DOI.org (Crossref)","title":"Barriers to Walking: An Investigation of Adults in Hamilton (Ontario, Canada)","title-short":"Barriers to Walking","volume":"13","author":[{"family":"Clark","given":"Andrew"},{"family":"Scott","given":"Darren"}],"issued":{"date-parts":[["2016",1,30]]}}}],"schema":"https://github.com/citation-style-language/schema/raw/master/csl-citation.json"} </w:instrText>
      </w:r>
      <w:r w:rsidR="009835E5" w:rsidRPr="002E55DE">
        <w:rPr>
          <w:rFonts w:ascii="Times New Roman" w:eastAsiaTheme="minorEastAsia" w:hAnsi="Times New Roman"/>
          <w:lang w:eastAsia="ko-KR"/>
        </w:rPr>
        <w:fldChar w:fldCharType="separate"/>
      </w:r>
      <w:r w:rsidR="009835E5" w:rsidRPr="002E55DE">
        <w:rPr>
          <w:rFonts w:ascii="Times New Roman" w:hAnsi="Times New Roman"/>
        </w:rPr>
        <w:t xml:space="preserve">Clark </w:t>
      </w:r>
      <w:r w:rsidR="009835E5" w:rsidRPr="002E55DE">
        <w:rPr>
          <w:rFonts w:ascii="Times New Roman" w:eastAsiaTheme="minorEastAsia" w:hAnsi="Times New Roman"/>
          <w:lang w:eastAsia="ko-KR"/>
        </w:rPr>
        <w:t>and</w:t>
      </w:r>
      <w:r w:rsidR="009835E5" w:rsidRPr="002E55DE">
        <w:rPr>
          <w:rFonts w:ascii="Times New Roman" w:hAnsi="Times New Roman"/>
        </w:rPr>
        <w:t xml:space="preserve"> Scott </w:t>
      </w:r>
      <w:r w:rsidR="009835E5" w:rsidRPr="002E55DE">
        <w:rPr>
          <w:rFonts w:ascii="Times New Roman" w:eastAsiaTheme="minorEastAsia" w:hAnsi="Times New Roman"/>
          <w:lang w:eastAsia="ko-KR"/>
        </w:rPr>
        <w:t>(</w:t>
      </w:r>
      <w:r w:rsidR="009835E5" w:rsidRPr="002E55DE">
        <w:rPr>
          <w:rFonts w:ascii="Times New Roman" w:hAnsi="Times New Roman"/>
        </w:rPr>
        <w:t>2016)</w:t>
      </w:r>
      <w:r w:rsidR="009835E5" w:rsidRPr="002E55DE">
        <w:rPr>
          <w:rFonts w:ascii="Times New Roman" w:eastAsiaTheme="minorEastAsia" w:hAnsi="Times New Roman"/>
          <w:lang w:eastAsia="ko-KR"/>
        </w:rPr>
        <w:fldChar w:fldCharType="end"/>
      </w:r>
      <w:r w:rsidR="00BF1EFF" w:rsidRPr="002E55DE">
        <w:rPr>
          <w:rFonts w:ascii="Times New Roman" w:eastAsiaTheme="minorEastAsia" w:hAnsi="Times New Roman"/>
          <w:lang w:eastAsia="ko-KR"/>
        </w:rPr>
        <w:t xml:space="preserve"> also </w:t>
      </w:r>
      <w:bookmarkEnd w:id="44"/>
      <w:r w:rsidR="00BF1EFF" w:rsidRPr="002E55DE">
        <w:rPr>
          <w:rFonts w:ascii="Times New Roman" w:eastAsiaTheme="minorEastAsia" w:hAnsi="Times New Roman"/>
          <w:lang w:eastAsia="ko-KR"/>
        </w:rPr>
        <w:t xml:space="preserve">identified the lack of social companionship </w:t>
      </w:r>
      <w:r w:rsidR="00A509BB" w:rsidRPr="002E55DE">
        <w:rPr>
          <w:rFonts w:ascii="Times New Roman" w:eastAsiaTheme="minorEastAsia" w:hAnsi="Times New Roman"/>
          <w:lang w:eastAsia="ko-KR"/>
        </w:rPr>
        <w:t xml:space="preserve">(SC) </w:t>
      </w:r>
      <w:r w:rsidR="00BF1EFF" w:rsidRPr="002E55DE">
        <w:rPr>
          <w:rFonts w:ascii="Times New Roman" w:eastAsiaTheme="minorEastAsia" w:hAnsi="Times New Roman"/>
          <w:lang w:eastAsia="ko-KR"/>
        </w:rPr>
        <w:t xml:space="preserve">as a </w:t>
      </w:r>
      <w:r w:rsidR="00A509BB" w:rsidRPr="002E55DE">
        <w:rPr>
          <w:rFonts w:ascii="Times New Roman" w:eastAsiaTheme="minorEastAsia" w:hAnsi="Times New Roman"/>
          <w:lang w:eastAsia="ko-KR"/>
        </w:rPr>
        <w:t xml:space="preserve">walking </w:t>
      </w:r>
      <w:r w:rsidR="00BF1EFF" w:rsidRPr="002E55DE">
        <w:rPr>
          <w:rFonts w:ascii="Times New Roman" w:eastAsiaTheme="minorEastAsia" w:hAnsi="Times New Roman"/>
          <w:lang w:eastAsia="ko-KR"/>
        </w:rPr>
        <w:t>barrier for old</w:t>
      </w:r>
      <w:r w:rsidR="00596611" w:rsidRPr="002E55DE">
        <w:rPr>
          <w:rFonts w:ascii="Times New Roman" w:eastAsiaTheme="minorEastAsia" w:hAnsi="Times New Roman"/>
          <w:lang w:eastAsia="ko-KR"/>
        </w:rPr>
        <w:t>er</w:t>
      </w:r>
      <w:r w:rsidR="00BF1EFF" w:rsidRPr="002E55DE">
        <w:rPr>
          <w:rFonts w:ascii="Times New Roman" w:eastAsiaTheme="minorEastAsia" w:hAnsi="Times New Roman"/>
          <w:lang w:eastAsia="ko-KR"/>
        </w:rPr>
        <w:t xml:space="preserve"> adult</w:t>
      </w:r>
      <w:r w:rsidR="00A509BB" w:rsidRPr="002E55DE">
        <w:rPr>
          <w:rFonts w:ascii="Times New Roman" w:eastAsiaTheme="minorEastAsia" w:hAnsi="Times New Roman"/>
          <w:lang w:eastAsia="ko-KR"/>
        </w:rPr>
        <w:t xml:space="preserve">s. The gender result appears more consistent with the pre-pandemic and after-COVID literature </w:t>
      </w:r>
      <w:r w:rsidR="00E83311"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{"citationID":"Kjnk48KA","properties":{"unsorted":true,"formattedCitation":"(Ri\\uc0\\u353{}ov\\uc0\\u225{} &amp; Sl\\uc0\\u225{}dekov\\uc0\\u225{} Madajov\\uc0\\u225{}, 2020; Hwang et al., 2023; Rodrigue et al., 2024)","plainCitation":"(Rišová &amp; Sládeková Madajová, 2020; Hwang et al., 2023; Rodrigue et al., 2024)","dontUpdate":true,"noteIndex":0},"citationItems":[{"id":"4nY7bDZH/j5sLOd9V","uris":["http://zotero.org/users/10132210/items/QDAFLZBN"],"itemData":{"id":747,"type":"article-journal","abstract":"Background: A safe environment has been widely accepted as one of the most important walkability predictors. However, the relation between perceived safety and walkability has not been well established. Aims: This paper focuses on quantitative aspects of the relation between perceived safety and walkability, as well as examining spatio-temporal patterns of fear-related areas, with a special emphasis on gender diﬀerences among adolescents. Data and methods: Data regarding walkability perception and safety perception was collected during a mapping exercise in primary and grammar schools in Banská Bystrica city (central Slovakia), with a ﬁnal sample of 303 adolescents (13–16 years old, 54% girls). In the experiment, pre-prepared reply forms and maps divided into a square ﬁshnet were used.\nResults: Regardless of the time of day, girls felt less safe in public spaces than boys did, especially in the city centre. In general, fear-related spaces for boys were more dispersed than for girls, whose perceived risky areas were more compact and spatially concentrated. Girls' perception of walkability was more aﬀected by feeling safe than that of boys, with fewer gender diﬀerences at night.\nConclusions: By mitigating and even eliminating threats observed by girls, gender diﬀerences in the perception of barriers to walking can be reduced.","container-title":"Journal of Transport Geography","DOI":"10.1016/j.jtrangeo.2020.102723","ISSN":"09666923","journalAbbreviation":"Journal of Transport Geography","language":"en","page":"102723","source":"DOI.org (Crossref)","title":"Gender differences in a walking environment safety perception: A case study in a small town of Banská Bystrica (Slovakia)","title-short":"Gender differences in a walking environment safety perception","volume":"85","author":[{"family":"Rišová","given":"Katarína"},{"family":"Sládeková Madajová","given":"Michala"}],"issued":{"date-parts":[["2020",5]]}}},{"id":"4nY7bDZH/uZyx0luw","uris":["http://zotero.org/users/10132210/items/ZARTVWR5"],"itemData":{"id":968,"type":"article-journal","container-title":"Technical paper, Department of Civil, Architectural and Environmental Engineering, The University of Texas at Austin","title":"An analysis of walking frequency before and after the pandemic","author":[{"family":"Hwang","given":"Hyunjun"},{"family":"Haddad","given":"Angela"},{"family":"Batur","given":"Irfan"},{"family":"Saxena","given":"Shobhit"},{"family":"Pendyala","given":"Ram M"},{"family":"Bhat","given":"Chandra R"}],"issued":{"date-parts":[["2023"]]}}},{"id":"4nY7bDZH/vX7Wen1E","uris":["http://zotero.org/users/10132210/items/QZDKKBMQ"],"itemData":{"id":1017,"type":"article-journal","abstract":"The concept of walkability encompasses a multitude of features of the built and social environments that impact walking behavior, leading to the creation of a wide range of walkability indices. While past studies have compared the research outputs from multiple walkability indices, little research has looked at how relevant each index is across sociodemographic groups and how the relationship between sociodemographic characteristics and behavior vary from one index to another. Using trip data from Montr´eal, Canada, this paper evaluates two commonly used walkability indices at different scales – Walk Score© (meso-scale) and the MAPS-Mini audit tool (micro-scale) – and their interactions with sociodemographic characteristics. Weighted binary logistic re­ gressions are used to model the probability of adults taking a homebased utilitarian walking trip. A total of ten models are generated, including eight models in which one of four socio-demographic variables – gender, age, household income, and presence of children below 13 years old in the household – is interacted with one of the two walkability indices. Sensitivity analyses are then conducted using the interaction variables' outputs by varying the values of the interacted sociodemographic variable. Results show significant interactions for all variables for both indices except from Walk Score©’s interaction with gender. Opposite effects are observed between the two indices in the sensitivity analysis for household income. The differential results observed be­ tween the indices and between sociodemographic groups underscore the need to properly test the equity implication of using certain walkability measures in research.","container-title":"Journal of Transport Geography","DOI":"10.1016/j.jtrangeo.2023.103788","ISSN":"09666923","journalAbbreviation":"Journal of Transport Geography","language":"en","page":"103788","source":"DOI.org (Crossref)","title":"Sociodemographic matters: Analyzing interactions of individuals' characteristics with walkability when modelling walking behavior","title-short":"Sociodemographic matters","volume":"114","author":[{"family":"Rodrigue","given":"Lancelot"},{"family":"El-Geneidy","given":"Ahmed"},{"family":"Manaugh","given":"Kevin"}],"issued":{"date-parts":[["2024",1]]}}}],"schema":"https://github.com/citation-style-language/schema/raw/master/csl-citation.json"} </w:instrText>
      </w:r>
      <w:r w:rsidR="00E83311" w:rsidRPr="002E55DE">
        <w:rPr>
          <w:rFonts w:ascii="Times New Roman" w:eastAsiaTheme="minorEastAsia" w:hAnsi="Times New Roman"/>
          <w:lang w:eastAsia="ko-KR"/>
        </w:rPr>
        <w:fldChar w:fldCharType="separate"/>
      </w:r>
      <w:r w:rsidR="00626728" w:rsidRPr="002E55DE">
        <w:rPr>
          <w:rFonts w:ascii="Times New Roman" w:hAnsi="Times New Roman"/>
        </w:rPr>
        <w:t>(</w:t>
      </w:r>
      <w:r w:rsidR="00626728" w:rsidRPr="002E55DE">
        <w:rPr>
          <w:rFonts w:ascii="Times New Roman" w:eastAsiaTheme="minorEastAsia" w:hAnsi="Times New Roman"/>
          <w:lang w:eastAsia="ko-KR"/>
        </w:rPr>
        <w:t xml:space="preserve">see, for example, </w:t>
      </w:r>
      <w:r w:rsidR="00626728" w:rsidRPr="002E55DE">
        <w:rPr>
          <w:rFonts w:ascii="Times New Roman" w:hAnsi="Times New Roman"/>
        </w:rPr>
        <w:t xml:space="preserve">Rišová </w:t>
      </w:r>
      <w:r w:rsidR="003406F9" w:rsidRPr="002E55DE">
        <w:rPr>
          <w:rFonts w:ascii="Times New Roman" w:eastAsiaTheme="minorEastAsia" w:hAnsi="Times New Roman"/>
          <w:lang w:eastAsia="ko-KR"/>
        </w:rPr>
        <w:t>and</w:t>
      </w:r>
      <w:r w:rsidR="00626728" w:rsidRPr="002E55DE">
        <w:rPr>
          <w:rFonts w:ascii="Times New Roman" w:hAnsi="Times New Roman"/>
        </w:rPr>
        <w:t xml:space="preserve"> Sládeková Madajová, 2020; Hwang et al., 2023; Rodrigue et al., 2024)</w:t>
      </w:r>
      <w:r w:rsidR="00E83311" w:rsidRPr="002E55DE">
        <w:rPr>
          <w:rFonts w:ascii="Times New Roman" w:eastAsiaTheme="minorEastAsia" w:hAnsi="Times New Roman"/>
          <w:lang w:eastAsia="ko-KR"/>
        </w:rPr>
        <w:fldChar w:fldCharType="end"/>
      </w:r>
      <w:r w:rsidR="00626728" w:rsidRPr="002E55DE">
        <w:rPr>
          <w:rFonts w:ascii="Times New Roman" w:eastAsiaTheme="minorEastAsia" w:hAnsi="Times New Roman"/>
          <w:lang w:eastAsia="ko-KR"/>
        </w:rPr>
        <w:t xml:space="preserve">, </w:t>
      </w:r>
      <w:r w:rsidR="00755C9B" w:rsidRPr="002E55DE">
        <w:rPr>
          <w:rFonts w:ascii="Times New Roman" w:eastAsiaTheme="minorEastAsia" w:hAnsi="Times New Roman"/>
          <w:lang w:eastAsia="ko-KR"/>
        </w:rPr>
        <w:t xml:space="preserve">perhaps a reflection of heightened harassment and security concerns. </w:t>
      </w:r>
      <w:r w:rsidR="00A509BB" w:rsidRPr="002E55DE">
        <w:rPr>
          <w:rFonts w:ascii="Times New Roman" w:eastAsiaTheme="minorEastAsia" w:hAnsi="Times New Roman"/>
          <w:lang w:eastAsia="ko-KR"/>
        </w:rPr>
        <w:t xml:space="preserve"> </w:t>
      </w:r>
    </w:p>
    <w:p w14:paraId="7B60634C" w14:textId="66D03A84" w:rsidR="00C413E9" w:rsidRPr="002E55DE" w:rsidRDefault="00815252" w:rsidP="00662E40">
      <w:pPr>
        <w:autoSpaceDE w:val="0"/>
        <w:autoSpaceDN w:val="0"/>
        <w:adjustRightInd w:val="0"/>
        <w:ind w:firstLine="720"/>
        <w:jc w:val="both"/>
        <w:rPr>
          <w:rFonts w:ascii="Times New Roman" w:eastAsiaTheme="minorEastAsia" w:hAnsi="Times New Roman"/>
          <w:lang w:eastAsia="ko-KR"/>
        </w:rPr>
      </w:pPr>
      <w:r w:rsidRPr="002E55DE">
        <w:rPr>
          <w:rFonts w:ascii="Times New Roman" w:eastAsiaTheme="minorEastAsia" w:hAnsi="Times New Roman"/>
          <w:lang w:eastAsia="ko-KR"/>
        </w:rPr>
        <w:t xml:space="preserve">Black and employed older adults </w:t>
      </w:r>
      <w:r w:rsidR="00755C9B" w:rsidRPr="002E55DE">
        <w:rPr>
          <w:rFonts w:ascii="Times New Roman" w:eastAsiaTheme="minorEastAsia" w:hAnsi="Times New Roman"/>
          <w:lang w:eastAsia="ko-KR"/>
        </w:rPr>
        <w:t xml:space="preserve">appear to have a lower propensity to </w:t>
      </w:r>
      <w:r w:rsidR="00E572BA" w:rsidRPr="002E55DE">
        <w:rPr>
          <w:rFonts w:ascii="Times New Roman" w:eastAsiaTheme="minorEastAsia" w:hAnsi="Times New Roman"/>
          <w:lang w:eastAsia="ko-KR"/>
        </w:rPr>
        <w:t>walk with others</w:t>
      </w:r>
      <w:r w:rsidR="00F24EE2" w:rsidRPr="002E55DE">
        <w:rPr>
          <w:rFonts w:ascii="Times New Roman" w:eastAsiaTheme="minorEastAsia" w:hAnsi="Times New Roman"/>
          <w:lang w:eastAsia="ko-KR"/>
        </w:rPr>
        <w:t xml:space="preserve">. </w:t>
      </w:r>
      <w:r w:rsidR="00E572BA" w:rsidRPr="002E55DE">
        <w:rPr>
          <w:rFonts w:ascii="Times New Roman" w:eastAsiaTheme="minorEastAsia" w:hAnsi="Times New Roman"/>
          <w:lang w:eastAsia="ko-KR"/>
        </w:rPr>
        <w:t xml:space="preserve">Although literature examining the relationship between walking companionship propensity and race is limited, previous studies by </w:t>
      </w:r>
      <w:bookmarkStart w:id="45" w:name="_Hlk169967840"/>
      <w:r w:rsidR="00E572BA"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{"citationID":"cLEsSYbV","properties":{"formattedCitation":"(Wen et al., 2007)","plainCitation":"(Wen et al., 2007)","dontUpdate":true,"noteIndex":0},"citationItems":[{"id":"4nY7bDZH/nCfRsHLP","uris":["http://zotero.org/users/10132210/items/6EGKLCUW"],"itemData":{"id":1037,"type":"article-journal","abstract":"BACKGROUND: Patients are often advised to initiate a physical activity program by walking for transportation or leisure. This study explored whether neighborhood factors beyond the individual might affect compliance.\nOBJECTIVE: We examined the associations between total walking and neighborhood factors in a multiethnic population-based sample in California and the roles race/ethnicity plays in these associations. DESIGN: Cross-sectional study PARTICIPANTS: Individual-level data were obtained from the 2003 California Health Interview Survey. Participants’ census tracts were linked to Census 2000 data to capture neighborhood SES.\nMEASUREMENTS AND MAIN RESULTS: The dependent variable was self-reported walking at recommended levels. Neighborhood SES was measured by a scale of 4 Census-based variables (alpha=0.83). Social cohesion was measured by a scale tapping the extent of perceived social connectedness, trust, and solidarity among neighbors (alpha=0.70). Neighborhood access to a park, playground, or open space was measured by a single item. Safety was measured by a scale of three items (alpha=0.66). We performed a series of multiple logit models with robust variance estimates while taking complex survey design into account. Neighborhood social cohesion (odds ratio [OR]=1.09, 95% CI= 1.04, 1.14) and access to a park, playground, or open space (OR=1.26, 95% CI=1.16, 1.36) were significant environmental correlates of walking at recommended levels, independent of individual socio-demographics. Subgroup analysis showed that neighborhood effects were different by race/ethnicity.\nCONCLUSIONS: Neighborhood physical and social environmental factors are significantly associated with walking at recommended levels. Being aware of the ways that the environment could affect a patient’s compliance with PA recommendations may help physicians tailor recommendations to circumstances.","container-title":"Journal of General Internal Medicine","DOI":"10.1007/s11606-007-0400-4","ISSN":"0884-8734, 1525-1497","issue":"12","journalAbbreviation":"J GEN INTERN MED","language":"en","license":"http://www.springer.com/tdm","page":"1674-1680","source":"DOI.org (Crossref)","title":"Walking for Transportation or Leisure: What Difference Does the Neighborhood Make?","title-short":"Walking for Transportation or Leisure","volume":"22","author":[{"family":"Wen","given":"Ming"},{"family":"Kandula","given":"Namratha R."},{"family":"Lauderdale","given":"Diane S."}],"issued":{"date-parts":[["2007",11,16]]}}}],"schema":"https://github.com/citation-style-language/schema/raw/master/csl-citation.json"} </w:instrText>
      </w:r>
      <w:r w:rsidR="00E572BA" w:rsidRPr="002E55DE">
        <w:rPr>
          <w:rFonts w:ascii="Times New Roman" w:eastAsiaTheme="minorEastAsia" w:hAnsi="Times New Roman"/>
          <w:lang w:eastAsia="ko-KR"/>
        </w:rPr>
        <w:fldChar w:fldCharType="separate"/>
      </w:r>
      <w:r w:rsidR="00E572BA" w:rsidRPr="002E55DE">
        <w:rPr>
          <w:rFonts w:ascii="Times New Roman" w:hAnsi="Times New Roman"/>
        </w:rPr>
        <w:t xml:space="preserve">Wen et al. </w:t>
      </w:r>
      <w:r w:rsidR="00E572BA" w:rsidRPr="002E55DE">
        <w:rPr>
          <w:rFonts w:ascii="Times New Roman" w:eastAsiaTheme="minorEastAsia" w:hAnsi="Times New Roman"/>
          <w:lang w:eastAsia="ko-KR"/>
        </w:rPr>
        <w:t>(</w:t>
      </w:r>
      <w:r w:rsidR="00E572BA" w:rsidRPr="002E55DE">
        <w:rPr>
          <w:rFonts w:ascii="Times New Roman" w:hAnsi="Times New Roman"/>
        </w:rPr>
        <w:t>2007</w:t>
      </w:r>
      <w:r w:rsidR="00E572BA" w:rsidRPr="002E55DE">
        <w:rPr>
          <w:rFonts w:ascii="Times New Roman" w:eastAsiaTheme="minorEastAsia" w:hAnsi="Times New Roman"/>
          <w:lang w:eastAsia="ko-KR"/>
        </w:rPr>
        <w:fldChar w:fldCharType="end"/>
      </w:r>
      <w:r w:rsidR="00E572BA" w:rsidRPr="002E55DE">
        <w:rPr>
          <w:rFonts w:ascii="Times New Roman" w:eastAsiaTheme="minorEastAsia" w:hAnsi="Times New Roman"/>
          <w:lang w:eastAsia="ko-KR"/>
        </w:rPr>
        <w:t xml:space="preserve">) and </w:t>
      </w:r>
      <w:r w:rsidR="00E572BA"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{"citationID":"wPLxZl7h","properties":{"formattedCitation":"(Yi et al., 2016)","plainCitation":"(Yi et al., 2016)","dontUpdate":true,"noteIndex":0},"citationItems":[{"id":"4nY7bDZH/u7njKJ07","uris":["http://zotero.org/users/10132210/items/N8IF8UQT"],"itemData":{"id":1039,"type":"article-journal","container-title":"Preventing Chronic Disease","DOI":"10.5888/pcd13.160261","ISSN":"1545-1151","journalAbbreviation":"Prev. Chronic Dis.","language":"en","page":"160261","source":"DOI.org (Crossref)","title":"Racial/Ethnic Differences in Associations Between Neighborhood Social Cohesion and Meeting Physical Activity Guidelines, United States, 2013–2014","volume":"13","author":[{"family":"Yi","given":"Stella S."},{"family":"Trinh-Shevrin","given":"Chau"},{"family":"Yen","given":"Irene H."},{"family":"Kwon","given":"Simona C."}],"issued":{"date-parts":[["2016",12,8]]}}}],"schema":"https://github.com/citation-style-language/schema/raw/master/csl-citation.json"} </w:instrText>
      </w:r>
      <w:r w:rsidR="00E572BA" w:rsidRPr="002E55DE">
        <w:rPr>
          <w:rFonts w:ascii="Times New Roman" w:eastAsiaTheme="minorEastAsia" w:hAnsi="Times New Roman"/>
          <w:lang w:eastAsia="ko-KR"/>
        </w:rPr>
        <w:fldChar w:fldCharType="separate"/>
      </w:r>
      <w:r w:rsidR="00E572BA" w:rsidRPr="002E55DE">
        <w:rPr>
          <w:rFonts w:ascii="Times New Roman" w:hAnsi="Times New Roman"/>
        </w:rPr>
        <w:t xml:space="preserve">Yi et al. </w:t>
      </w:r>
      <w:r w:rsidR="00E572BA" w:rsidRPr="002E55DE">
        <w:rPr>
          <w:rFonts w:ascii="Times New Roman" w:eastAsiaTheme="minorEastAsia" w:hAnsi="Times New Roman"/>
          <w:lang w:eastAsia="ko-KR"/>
        </w:rPr>
        <w:t>(</w:t>
      </w:r>
      <w:r w:rsidR="00E572BA" w:rsidRPr="002E55DE">
        <w:rPr>
          <w:rFonts w:ascii="Times New Roman" w:hAnsi="Times New Roman"/>
        </w:rPr>
        <w:t>2016)</w:t>
      </w:r>
      <w:r w:rsidR="00E572BA" w:rsidRPr="002E55DE">
        <w:rPr>
          <w:rFonts w:ascii="Times New Roman" w:eastAsiaTheme="minorEastAsia" w:hAnsi="Times New Roman"/>
          <w:lang w:eastAsia="ko-KR"/>
        </w:rPr>
        <w:fldChar w:fldCharType="end"/>
      </w:r>
      <w:r w:rsidR="00E572BA" w:rsidRPr="002E55DE">
        <w:rPr>
          <w:rFonts w:ascii="Times New Roman" w:eastAsiaTheme="minorEastAsia" w:hAnsi="Times New Roman"/>
          <w:lang w:eastAsia="ko-KR"/>
        </w:rPr>
        <w:t xml:space="preserve"> </w:t>
      </w:r>
      <w:bookmarkEnd w:id="45"/>
      <w:r w:rsidR="00E572BA" w:rsidRPr="002E55DE">
        <w:rPr>
          <w:rFonts w:ascii="Times New Roman" w:eastAsiaTheme="minorEastAsia" w:hAnsi="Times New Roman"/>
          <w:lang w:eastAsia="ko-KR"/>
        </w:rPr>
        <w:t>have reported that Blacks do not exhibit a positive correlation between neighborhood social cohesion and</w:t>
      </w:r>
      <w:r w:rsidR="00F048CB" w:rsidRPr="002E55DE">
        <w:rPr>
          <w:rFonts w:ascii="Times New Roman" w:eastAsiaTheme="minorEastAsia" w:hAnsi="Times New Roman"/>
          <w:lang w:eastAsia="ko-KR"/>
        </w:rPr>
        <w:t xml:space="preserve"> </w:t>
      </w:r>
      <w:r w:rsidR="00E572BA" w:rsidRPr="002E55DE">
        <w:rPr>
          <w:rFonts w:ascii="Times New Roman" w:eastAsiaTheme="minorEastAsia" w:hAnsi="Times New Roman"/>
          <w:lang w:eastAsia="ko-KR"/>
        </w:rPr>
        <w:t>aerobic physical activity.</w:t>
      </w:r>
      <w:r w:rsidR="00F048CB" w:rsidRPr="002E55DE">
        <w:rPr>
          <w:rStyle w:val="FootnoteReference"/>
        </w:rPr>
        <w:footnoteReference w:id="8"/>
      </w:r>
      <w:r w:rsidR="00E572BA" w:rsidRPr="002E55DE">
        <w:rPr>
          <w:rFonts w:ascii="Times New Roman" w:eastAsiaTheme="minorEastAsia" w:hAnsi="Times New Roman"/>
          <w:lang w:eastAsia="ko-KR"/>
        </w:rPr>
        <w:t xml:space="preserve"> </w:t>
      </w:r>
      <w:r w:rsidR="00755C9B" w:rsidRPr="002E55DE">
        <w:rPr>
          <w:rFonts w:ascii="Times New Roman" w:eastAsiaTheme="minorEastAsia" w:hAnsi="Times New Roman"/>
          <w:lang w:eastAsia="ko-KR"/>
        </w:rPr>
        <w:t xml:space="preserve">The </w:t>
      </w:r>
      <w:r w:rsidRPr="002E55DE">
        <w:rPr>
          <w:rFonts w:ascii="Times New Roman" w:eastAsiaTheme="minorEastAsia" w:hAnsi="Times New Roman"/>
          <w:lang w:eastAsia="ko-KR"/>
        </w:rPr>
        <w:t xml:space="preserve">disinclination </w:t>
      </w:r>
      <w:r w:rsidR="00755C9B" w:rsidRPr="002E55DE">
        <w:rPr>
          <w:rFonts w:ascii="Times New Roman" w:eastAsiaTheme="minorEastAsia" w:hAnsi="Times New Roman"/>
          <w:lang w:eastAsia="ko-KR"/>
        </w:rPr>
        <w:t>of employ</w:t>
      </w:r>
      <w:r w:rsidR="00F048CB" w:rsidRPr="002E55DE">
        <w:rPr>
          <w:rFonts w:ascii="Times New Roman" w:eastAsiaTheme="minorEastAsia" w:hAnsi="Times New Roman"/>
          <w:lang w:eastAsia="ko-KR"/>
        </w:rPr>
        <w:t xml:space="preserve">ed </w:t>
      </w:r>
      <w:r w:rsidR="00755C9B" w:rsidRPr="002E55DE">
        <w:rPr>
          <w:rFonts w:ascii="Times New Roman" w:eastAsiaTheme="minorEastAsia" w:hAnsi="Times New Roman"/>
          <w:lang w:eastAsia="ko-KR"/>
        </w:rPr>
        <w:t>old</w:t>
      </w:r>
      <w:r w:rsidRPr="002E55DE">
        <w:rPr>
          <w:rFonts w:ascii="Times New Roman" w:eastAsiaTheme="minorEastAsia" w:hAnsi="Times New Roman"/>
          <w:lang w:eastAsia="ko-KR"/>
        </w:rPr>
        <w:t>er</w:t>
      </w:r>
      <w:r w:rsidR="00755C9B" w:rsidRPr="002E55DE">
        <w:rPr>
          <w:rFonts w:ascii="Times New Roman" w:eastAsiaTheme="minorEastAsia" w:hAnsi="Times New Roman"/>
          <w:lang w:eastAsia="ko-KR"/>
        </w:rPr>
        <w:t xml:space="preserve"> adults to </w:t>
      </w:r>
      <w:r w:rsidR="00F048CB" w:rsidRPr="002E55DE">
        <w:rPr>
          <w:rFonts w:ascii="Times New Roman" w:eastAsiaTheme="minorEastAsia" w:hAnsi="Times New Roman"/>
          <w:lang w:eastAsia="ko-KR"/>
        </w:rPr>
        <w:t xml:space="preserve">walk in company </w:t>
      </w:r>
      <w:r w:rsidR="00755C9B" w:rsidRPr="002E55DE">
        <w:rPr>
          <w:rFonts w:ascii="Times New Roman" w:eastAsiaTheme="minorEastAsia" w:hAnsi="Times New Roman"/>
          <w:lang w:eastAsia="ko-KR"/>
        </w:rPr>
        <w:t>may be due to challenges in coordinati</w:t>
      </w:r>
      <w:r w:rsidR="00F048CB" w:rsidRPr="002E55DE">
        <w:rPr>
          <w:rFonts w:ascii="Times New Roman" w:eastAsiaTheme="minorEastAsia" w:hAnsi="Times New Roman"/>
          <w:lang w:eastAsia="ko-KR"/>
        </w:rPr>
        <w:t xml:space="preserve">on </w:t>
      </w:r>
      <w:r w:rsidR="00755C9B" w:rsidRPr="002E55DE">
        <w:rPr>
          <w:rFonts w:ascii="Times New Roman" w:eastAsiaTheme="minorEastAsia" w:hAnsi="Times New Roman"/>
          <w:lang w:eastAsia="ko-KR"/>
        </w:rPr>
        <w:t>given work schedules.</w:t>
      </w:r>
      <w:r w:rsidR="00D34264" w:rsidRPr="002E55DE">
        <w:rPr>
          <w:rFonts w:ascii="Times New Roman" w:eastAsiaTheme="minorEastAsia" w:hAnsi="Times New Roman"/>
          <w:lang w:eastAsia="ko-KR"/>
        </w:rPr>
        <w:t xml:space="preserve"> </w:t>
      </w:r>
      <w:r w:rsidR="00B4014F" w:rsidRPr="002E55DE">
        <w:rPr>
          <w:rFonts w:ascii="Times New Roman" w:eastAsiaTheme="minorEastAsia" w:hAnsi="Times New Roman"/>
          <w:lang w:eastAsia="ko-KR"/>
        </w:rPr>
        <w:t xml:space="preserve">Employment status also </w:t>
      </w:r>
      <w:r w:rsidR="00D34264" w:rsidRPr="002E55DE">
        <w:rPr>
          <w:rFonts w:ascii="Times New Roman" w:eastAsiaTheme="minorEastAsia" w:hAnsi="Times New Roman"/>
          <w:lang w:eastAsia="ko-KR"/>
        </w:rPr>
        <w:t xml:space="preserve">directly and positively </w:t>
      </w:r>
      <w:r w:rsidR="001566C0" w:rsidRPr="002E55DE">
        <w:rPr>
          <w:rFonts w:ascii="Times New Roman" w:eastAsiaTheme="minorEastAsia" w:hAnsi="Times New Roman"/>
          <w:lang w:eastAsia="ko-KR"/>
        </w:rPr>
        <w:t xml:space="preserve">influences </w:t>
      </w:r>
      <w:r w:rsidR="00F048CB" w:rsidRPr="002E55DE">
        <w:rPr>
          <w:rFonts w:ascii="Times New Roman" w:eastAsiaTheme="minorEastAsia" w:hAnsi="Times New Roman"/>
          <w:lang w:eastAsia="ko-KR"/>
        </w:rPr>
        <w:t xml:space="preserve">the </w:t>
      </w:r>
      <w:r w:rsidR="00D34264" w:rsidRPr="002E55DE">
        <w:rPr>
          <w:rFonts w:ascii="Times New Roman" w:eastAsiaTheme="minorEastAsia" w:hAnsi="Times New Roman"/>
          <w:lang w:eastAsia="ko-KR"/>
        </w:rPr>
        <w:t>propensity</w:t>
      </w:r>
      <w:r w:rsidR="00F048CB" w:rsidRPr="002E55DE">
        <w:rPr>
          <w:rFonts w:ascii="Times New Roman" w:eastAsiaTheme="minorEastAsia" w:hAnsi="Times New Roman"/>
          <w:lang w:eastAsia="ko-KR"/>
        </w:rPr>
        <w:t xml:space="preserve"> to walk frequently</w:t>
      </w:r>
      <w:r w:rsidR="00D34264" w:rsidRPr="002E55DE">
        <w:rPr>
          <w:rFonts w:ascii="Times New Roman" w:eastAsiaTheme="minorEastAsia" w:hAnsi="Times New Roman"/>
          <w:lang w:eastAsia="ko-KR"/>
        </w:rPr>
        <w:t>, though this effect is tempered through the negative indirect effect through SC on walk frequency</w:t>
      </w:r>
      <w:r w:rsidR="00D5645D" w:rsidRPr="002E55DE">
        <w:rPr>
          <w:rFonts w:ascii="Times New Roman" w:eastAsiaTheme="minorEastAsia" w:hAnsi="Times New Roman"/>
          <w:lang w:eastAsia="ko-KR"/>
        </w:rPr>
        <w:t xml:space="preserve"> (SC impacts both</w:t>
      </w:r>
      <w:r w:rsidR="00596611" w:rsidRPr="002E55DE">
        <w:rPr>
          <w:rFonts w:ascii="Times New Roman" w:eastAsiaTheme="minorEastAsia" w:hAnsi="Times New Roman"/>
          <w:lang w:eastAsia="ko-KR"/>
        </w:rPr>
        <w:t xml:space="preserve"> </w:t>
      </w:r>
      <w:r w:rsidR="00D5645D" w:rsidRPr="002E55DE">
        <w:rPr>
          <w:rFonts w:ascii="Times New Roman" w:eastAsiaTheme="minorEastAsia" w:hAnsi="Times New Roman"/>
          <w:lang w:eastAsia="ko-KR"/>
        </w:rPr>
        <w:t>walk</w:t>
      </w:r>
      <w:r w:rsidR="00596611" w:rsidRPr="002E55DE">
        <w:rPr>
          <w:rFonts w:ascii="Times New Roman" w:eastAsiaTheme="minorEastAsia" w:hAnsi="Times New Roman"/>
          <w:lang w:eastAsia="ko-KR"/>
        </w:rPr>
        <w:t>ing</w:t>
      </w:r>
      <w:r w:rsidR="00D5645D" w:rsidRPr="002E55DE">
        <w:rPr>
          <w:rFonts w:ascii="Times New Roman" w:eastAsiaTheme="minorEastAsia" w:hAnsi="Times New Roman"/>
          <w:lang w:eastAsia="ko-KR"/>
        </w:rPr>
        <w:t xml:space="preserve"> frequen</w:t>
      </w:r>
      <w:r w:rsidR="00596611" w:rsidRPr="002E55DE">
        <w:rPr>
          <w:rFonts w:ascii="Times New Roman" w:eastAsiaTheme="minorEastAsia" w:hAnsi="Times New Roman"/>
          <w:lang w:eastAsia="ko-KR"/>
        </w:rPr>
        <w:t>cy</w:t>
      </w:r>
      <w:r w:rsidR="00D5645D" w:rsidRPr="002E55DE">
        <w:rPr>
          <w:rFonts w:ascii="Times New Roman" w:eastAsiaTheme="minorEastAsia" w:hAnsi="Times New Roman"/>
          <w:lang w:eastAsia="ko-KR"/>
        </w:rPr>
        <w:t xml:space="preserve"> and walk</w:t>
      </w:r>
      <w:r w:rsidR="00596611" w:rsidRPr="002E55DE">
        <w:rPr>
          <w:rFonts w:ascii="Times New Roman" w:eastAsiaTheme="minorEastAsia" w:hAnsi="Times New Roman"/>
          <w:lang w:eastAsia="ko-KR"/>
        </w:rPr>
        <w:t>ing</w:t>
      </w:r>
      <w:r w:rsidR="00D5645D" w:rsidRPr="002E55DE">
        <w:rPr>
          <w:rFonts w:ascii="Times New Roman" w:eastAsiaTheme="minorEastAsia" w:hAnsi="Times New Roman"/>
          <w:lang w:eastAsia="ko-KR"/>
        </w:rPr>
        <w:t xml:space="preserve"> duration positively, as we discuss later</w:t>
      </w:r>
      <w:r w:rsidR="00057BAA" w:rsidRPr="002E55DE">
        <w:rPr>
          <w:rFonts w:ascii="Times New Roman" w:eastAsiaTheme="minorEastAsia" w:hAnsi="Times New Roman"/>
          <w:lang w:eastAsia="ko-KR"/>
        </w:rPr>
        <w:t xml:space="preserve">; the net effect of employment status on walk frequency will be individual-specific, though we provide a sense of the magnitude of this net overall effect in Section </w:t>
      </w:r>
      <w:r w:rsidR="00001FA0" w:rsidRPr="002E55DE">
        <w:rPr>
          <w:rFonts w:ascii="Times New Roman" w:eastAsiaTheme="minorEastAsia" w:hAnsi="Times New Roman"/>
          <w:lang w:eastAsia="ko-KR"/>
        </w:rPr>
        <w:t>4</w:t>
      </w:r>
      <w:r w:rsidR="005469D9" w:rsidRPr="002E55DE">
        <w:rPr>
          <w:rFonts w:ascii="Times New Roman" w:eastAsiaTheme="minorEastAsia" w:hAnsi="Times New Roman" w:hint="eastAsia"/>
          <w:lang w:eastAsia="ko-KR"/>
        </w:rPr>
        <w:t>.</w:t>
      </w:r>
      <w:r w:rsidR="00001FA0" w:rsidRPr="002E55DE">
        <w:rPr>
          <w:rFonts w:ascii="Times New Roman" w:eastAsiaTheme="minorEastAsia" w:hAnsi="Times New Roman"/>
          <w:lang w:eastAsia="ko-KR"/>
        </w:rPr>
        <w:t>4</w:t>
      </w:r>
      <w:r w:rsidR="00D5645D" w:rsidRPr="002E55DE">
        <w:rPr>
          <w:rFonts w:ascii="Times New Roman" w:eastAsiaTheme="minorEastAsia" w:hAnsi="Times New Roman"/>
          <w:lang w:eastAsia="ko-KR"/>
        </w:rPr>
        <w:t>)</w:t>
      </w:r>
      <w:r w:rsidR="00D34264" w:rsidRPr="002E55DE">
        <w:rPr>
          <w:rFonts w:ascii="Times New Roman" w:eastAsiaTheme="minorEastAsia" w:hAnsi="Times New Roman"/>
          <w:lang w:eastAsia="ko-KR"/>
        </w:rPr>
        <w:t xml:space="preserve">. </w:t>
      </w:r>
      <w:r w:rsidR="00F048CB" w:rsidRPr="002E55DE">
        <w:rPr>
          <w:rFonts w:ascii="Times New Roman" w:eastAsiaTheme="minorEastAsia" w:hAnsi="Times New Roman"/>
          <w:lang w:eastAsia="ko-KR"/>
        </w:rPr>
        <w:t>Regardless</w:t>
      </w:r>
      <w:r w:rsidR="00C413E9" w:rsidRPr="002E55DE">
        <w:rPr>
          <w:rFonts w:ascii="Times New Roman" w:eastAsiaTheme="minorEastAsia" w:hAnsi="Times New Roman"/>
          <w:lang w:eastAsia="ko-KR"/>
        </w:rPr>
        <w:t xml:space="preserve">, the positive direct employment status effect </w:t>
      </w:r>
      <w:r w:rsidR="00F048CB" w:rsidRPr="002E55DE">
        <w:rPr>
          <w:rFonts w:ascii="Times New Roman" w:eastAsiaTheme="minorEastAsia" w:hAnsi="Times New Roman"/>
          <w:lang w:eastAsia="ko-KR"/>
        </w:rPr>
        <w:t xml:space="preserve">on walk frequency propensity </w:t>
      </w:r>
      <w:r w:rsidR="00C413E9" w:rsidRPr="002E55DE">
        <w:rPr>
          <w:rFonts w:ascii="Times New Roman" w:eastAsiaTheme="minorEastAsia" w:hAnsi="Times New Roman"/>
          <w:lang w:eastAsia="ko-KR"/>
        </w:rPr>
        <w:t>is</w:t>
      </w:r>
      <w:r w:rsidR="00D5645D" w:rsidRPr="002E55DE">
        <w:rPr>
          <w:rFonts w:ascii="Times New Roman" w:eastAsiaTheme="minorEastAsia" w:hAnsi="Times New Roman"/>
          <w:lang w:eastAsia="ko-KR"/>
        </w:rPr>
        <w:t xml:space="preserve"> still</w:t>
      </w:r>
      <w:r w:rsidR="00C413E9" w:rsidRPr="002E55DE">
        <w:rPr>
          <w:rFonts w:ascii="Times New Roman" w:eastAsiaTheme="minorEastAsia" w:hAnsi="Times New Roman"/>
          <w:lang w:eastAsia="ko-KR"/>
        </w:rPr>
        <w:t xml:space="preserve"> intriguing, and contrary </w:t>
      </w:r>
      <w:r w:rsidR="00E572BA" w:rsidRPr="002E55DE">
        <w:rPr>
          <w:rFonts w:ascii="Times New Roman" w:eastAsiaTheme="minorEastAsia" w:hAnsi="Times New Roman"/>
          <w:lang w:eastAsia="ko-KR"/>
        </w:rPr>
        <w:t>to the findings of</w:t>
      </w:r>
      <w:r w:rsidR="00546D81" w:rsidRPr="002E55DE">
        <w:rPr>
          <w:rFonts w:ascii="Times New Roman" w:eastAsiaTheme="minorEastAsia" w:hAnsi="Times New Roman"/>
          <w:lang w:eastAsia="ko-KR"/>
        </w:rPr>
        <w:t xml:space="preserve"> </w:t>
      </w:r>
      <w:r w:rsidR="001F57F8" w:rsidRPr="002E55DE">
        <w:rPr>
          <w:rFonts w:ascii="Times New Roman" w:eastAsiaTheme="minorEastAsia" w:hAnsi="Times New Roman"/>
          <w:lang w:eastAsia="ko-KR"/>
        </w:rPr>
        <w:t xml:space="preserve">overall population </w:t>
      </w:r>
      <w:r w:rsidR="00E572BA" w:rsidRPr="002E55DE">
        <w:rPr>
          <w:rFonts w:ascii="Times New Roman" w:eastAsiaTheme="minorEastAsia" w:hAnsi="Times New Roman"/>
          <w:lang w:eastAsia="ko-KR"/>
        </w:rPr>
        <w:t xml:space="preserve">studies </w:t>
      </w:r>
      <w:r w:rsidR="00F048CB" w:rsidRPr="002E55DE">
        <w:rPr>
          <w:rFonts w:ascii="Times New Roman" w:eastAsiaTheme="minorEastAsia" w:hAnsi="Times New Roman"/>
          <w:lang w:eastAsia="ko-KR"/>
        </w:rPr>
        <w:t xml:space="preserve">suggesting that employment constrains the time for pursuing walking and other physical activities </w:t>
      </w:r>
      <w:r w:rsidR="002A0022"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{"citationID":"GC9KBb4e","properties":{"unsorted":true,"formattedCitation":"(S. Li et al., 2019; Hwang et al., 2023)","plainCitation":"(S. Li et al., 2019; Hwang et al., 2023)","dontUpdate":true,"noteIndex":0},"citationItems":[{"id":"4nY7bDZH/hEpXG0Qw","uris":["http://zotero.org/users/10132210/items/G4PV2GJS"],"itemData":{"id":773,"type":"article-journal","abstract":"Walkable neighborhoods are promoted by urban planners and public health scholars as a way to encourage physical activity. This study explores the impact of perceptions and attitudes on walking in the historical neighborhood in downtown Beijing. It also examines how socioeconomic variations aﬀect perceptions and attitudes. The study found that residents’ perceptions and attitudes toward their built and social environment vary according to income, age, and employment status, and that they have signiﬁcant eﬀects on walking frequency. Sense of community was negatively correlated with recreational walking and positively correlated with walking as a means of transportation. Favorable perceptions of the built environment and community participation both had a positive eﬀect on recreational walking. Perceived health also inﬂuenced walking behavior. Younger, employed, and higher-income people were found to walk less than their counterparts. To promote a walkable and healthy community, city design factors and various strategies aimed at enhancing social cohesion among mixed socioeconomic groups should be taken into account.","container-title":"Transport Policy","DOI":"10.1016/j.tranpol.2018.10.005","ISSN":"0967070X","journalAbbreviation":"Transport Policy","language":"en","page":"1-11","source":"DOI.org (Crossref)","title":"Walking behavior in the old downtown Beijing: The impact of perceptions and attitudes and social variations","title-short":"Walking behavior in the old downtown Beijing","volume":"73","author":[{"family":"Li","given":"Shengxiao"},{"family":"Zhao","given":"Pengjun"},{"family":"Zhang","given":"He"},{"family":"Quan","given":"Jing"}],"issued":{"date-parts":[["2019",1]]}}},{"id":"4nY7bDZH/uZyx0luw","uris":["http://zotero.org/users/10132210/items/ZARTVWR5"],"itemData":{"id":968,"type":"article-journal","container-title":"Technical paper, Department of Civil, Architectural and Environmental Engineering, The University of Texas at Austin","title":"An analysis of walking frequency before and after the pandemic","author":[{"family":"Hwang","given":"Hyunjun"},{"family":"Haddad","given":"Angela"},{"family":"Batur","given":"Irfan"},{"family":"Saxena","given":"Shobhit"},{"family":"Pendyala","given":"Ram M"},{"family":"Bhat","given":"Chandra R"}],"issued":{"date-parts":[["2023"]]}}}],"schema":"https://github.com/citation-style-language/schema/raw/master/csl-citation.json"} </w:instrText>
      </w:r>
      <w:r w:rsidR="002A0022" w:rsidRPr="002E55DE">
        <w:rPr>
          <w:rFonts w:ascii="Times New Roman" w:eastAsiaTheme="minorEastAsia" w:hAnsi="Times New Roman"/>
          <w:lang w:eastAsia="ko-KR"/>
        </w:rPr>
        <w:fldChar w:fldCharType="separate"/>
      </w:r>
      <w:r w:rsidR="006647D9" w:rsidRPr="002E55DE">
        <w:rPr>
          <w:rFonts w:ascii="Times New Roman" w:hAnsi="Times New Roman"/>
        </w:rPr>
        <w:t>(</w:t>
      </w:r>
      <w:r w:rsidR="00E572BA" w:rsidRPr="002E55DE">
        <w:rPr>
          <w:rFonts w:ascii="Times New Roman" w:hAnsi="Times New Roman"/>
        </w:rPr>
        <w:t>s</w:t>
      </w:r>
      <w:r w:rsidR="006647D9" w:rsidRPr="002E55DE">
        <w:rPr>
          <w:rFonts w:ascii="Times New Roman" w:hAnsi="Times New Roman"/>
        </w:rPr>
        <w:t>ee, Li et al., 2019</w:t>
      </w:r>
      <w:r w:rsidR="008525A0" w:rsidRPr="002E55DE">
        <w:rPr>
          <w:rFonts w:ascii="Times New Roman" w:eastAsiaTheme="minorEastAsia" w:hAnsi="Times New Roman"/>
          <w:lang w:eastAsia="ko-KR"/>
        </w:rPr>
        <w:t xml:space="preserve"> and </w:t>
      </w:r>
      <w:r w:rsidR="006647D9" w:rsidRPr="002E55DE">
        <w:rPr>
          <w:rFonts w:ascii="Times New Roman" w:hAnsi="Times New Roman"/>
        </w:rPr>
        <w:t>Hwang et al., 2023)</w:t>
      </w:r>
      <w:r w:rsidR="002A0022" w:rsidRPr="002E55DE">
        <w:rPr>
          <w:rFonts w:ascii="Times New Roman" w:eastAsiaTheme="minorEastAsia" w:hAnsi="Times New Roman"/>
          <w:lang w:eastAsia="ko-KR"/>
        </w:rPr>
        <w:fldChar w:fldCharType="end"/>
      </w:r>
      <w:r w:rsidR="00C413E9" w:rsidRPr="002E55DE">
        <w:rPr>
          <w:rFonts w:ascii="Times New Roman" w:eastAsiaTheme="minorEastAsia" w:hAnsi="Times New Roman"/>
          <w:lang w:eastAsia="ko-KR"/>
        </w:rPr>
        <w:t xml:space="preserve">. But one possible explanation for our result in older adults </w:t>
      </w:r>
      <w:r w:rsidR="001F57F8" w:rsidRPr="002E55DE">
        <w:rPr>
          <w:rFonts w:ascii="Times New Roman" w:eastAsiaTheme="minorEastAsia" w:hAnsi="Times New Roman"/>
          <w:lang w:eastAsia="ko-KR"/>
        </w:rPr>
        <w:t xml:space="preserve">specifically </w:t>
      </w:r>
      <w:r w:rsidR="00C413E9" w:rsidRPr="002E55DE">
        <w:rPr>
          <w:rFonts w:ascii="Times New Roman" w:eastAsiaTheme="minorEastAsia" w:hAnsi="Times New Roman"/>
          <w:lang w:eastAsia="ko-KR"/>
        </w:rPr>
        <w:t>is that employment may be viewed as a kind of social participation that promotes social networks and social support</w:t>
      </w:r>
      <w:r w:rsidR="009835E5" w:rsidRPr="002E55DE">
        <w:rPr>
          <w:rFonts w:ascii="Times New Roman" w:eastAsiaTheme="minorEastAsia" w:hAnsi="Times New Roman" w:hint="eastAsia"/>
          <w:lang w:eastAsia="ko-KR"/>
        </w:rPr>
        <w:t xml:space="preserve"> </w:t>
      </w:r>
      <w:r w:rsidR="009835E5" w:rsidRPr="002E55DE">
        <w:rPr>
          <w:rFonts w:ascii="Times New Roman" w:eastAsiaTheme="minorEastAsia" w:hAnsi="Times New Roman"/>
          <w:lang w:eastAsia="ko-KR"/>
        </w:rPr>
        <w:fldChar w:fldCharType="begin"/>
      </w:r>
      <w:r w:rsidR="00A254CC" w:rsidRPr="002E55DE">
        <w:rPr>
          <w:rFonts w:ascii="Times New Roman" w:eastAsiaTheme="minorEastAsia" w:hAnsi="Times New Roman"/>
          <w:lang w:eastAsia="ko-KR"/>
        </w:rPr>
        <w:instrText xml:space="preserve"> ADDIN ZOTERO_ITEM CSL_CITATION {"citationID":"gPnyuSqF","properties":{"formattedCitation":"(Ihara et al., 2022)","plainCitation":"(Ihara et al., 2022)","noteIndex":0},"citationItems":[{"id":"4nY7bDZH/I1GvBB7c","uris":["http://zotero.org/users/10132210/items/Y3FJCBYV"],"itemData":{"id":1215,"type":"article-journal","abstract":"Background:  Among all physical activities, walking is one of the easiest and most economical activities for older adults’ mental and physical health. Although promoting social participation may extend the walking time of older adults, the longitudinal relationship is not well understood. Thus, this study elucidates the relationship between nine types of social participation and change in walking time during a 3-year follow-up of older adults.\nMethods:  We conducted a 3-year community-based longitudinal study of independent older adults in Japan. From the 2016 and 2019 surveys, we extracted 57,042 individuals. We performed multiple regression analyses, estimating associations between change in walking time after three years and nine types of social participation in 2016: volunteer, sports, hobby, senior, neighborhood, learning, health, skills, and paid work. We conducted subgroup analysis stratified by walking time in 2016 (i.e., &lt; 60 or </w:instrText>
      </w:r>
      <w:r w:rsidR="00A254CC" w:rsidRPr="002E55DE">
        <w:rPr>
          <w:rFonts w:ascii="Times New Roman" w:eastAsiaTheme="minorEastAsia" w:hAnsi="Times New Roman" w:hint="eastAsia"/>
          <w:lang w:eastAsia="ko-KR"/>
        </w:rPr>
        <w:instrText>≥</w:instrText>
      </w:r>
      <w:r w:rsidR="00A254CC" w:rsidRPr="002E55DE">
        <w:rPr>
          <w:rFonts w:ascii="Times New Roman" w:eastAsiaTheme="minorEastAsia" w:hAnsi="Times New Roman"/>
          <w:lang w:eastAsia="ko-KR"/>
        </w:rPr>
        <w:instrText> 60 min/day).\nResults:  The mean (standard deviation) change in walking time for 3 years was − 4.04 (29.4) min/day. After adjusting potential confounders, the significant predictors of increasing or maintaining walking time (min/day) were participation in paid work (+ 3.02) in the &lt; 60 min/day subgroup; and volunteer (+ 2.15), sports (+ 2.89), hobby (+ 1.71), senior (+ 1.27), neighborhood (+ 1.70), learning (+ 1.65), health (+ 1.74), and skills (+ 1.95) in the </w:instrText>
      </w:r>
      <w:r w:rsidR="00A254CC" w:rsidRPr="002E55DE">
        <w:rPr>
          <w:rFonts w:ascii="Times New Roman" w:eastAsiaTheme="minorEastAsia" w:hAnsi="Times New Roman" w:hint="eastAsia"/>
          <w:lang w:eastAsia="ko-KR"/>
        </w:rPr>
        <w:instrText>≥</w:instrText>
      </w:r>
      <w:r w:rsidR="00A254CC" w:rsidRPr="002E55DE">
        <w:rPr>
          <w:rFonts w:ascii="Times New Roman" w:eastAsiaTheme="minorEastAsia" w:hAnsi="Times New Roman"/>
          <w:lang w:eastAsia="ko-KR"/>
        </w:rPr>
        <w:instrText> 60 min/day subgroup compared with non-participants.\nConclusions:  Paid work and community activities may be effective for maintaining or increasing walking time among older adults with less (&lt; 60 min/day) and sufficient (</w:instrText>
      </w:r>
      <w:r w:rsidR="00A254CC" w:rsidRPr="002E55DE">
        <w:rPr>
          <w:rFonts w:ascii="Times New Roman" w:eastAsiaTheme="minorEastAsia" w:hAnsi="Times New Roman" w:hint="eastAsia"/>
          <w:lang w:eastAsia="ko-KR"/>
        </w:rPr>
        <w:instrText>≥</w:instrText>
      </w:r>
      <w:r w:rsidR="00A254CC" w:rsidRPr="002E55DE">
        <w:rPr>
          <w:rFonts w:ascii="Times New Roman" w:eastAsiaTheme="minorEastAsia" w:hAnsi="Times New Roman"/>
          <w:lang w:eastAsia="ko-KR"/>
        </w:rPr>
        <w:instrText xml:space="preserve"> 60 min/day) walking time, respectively.","container-title":"BMC Geriatrics","DOI":"10.1186/s12877-022-02874-2","ISSN":"1471-2318","issue":"1","journalAbbreviation":"BMC Geriatr","language":"en","page":"238","source":"DOI.org (Crossref)","title":"Social participation and change in walking time among older adults: a 3-year longitudinal study from the JAGES","title-short":"Social participation and change in walking time among older adults","volume":"22","author":[{"family":"Ihara","given":"Shiichi"},{"family":"Ide","given":"Kazushige"},{"family":"Kanamori","given":"Satoru"},{"family":"Tsuji","given":"Taishi"},{"family":"Kondo","given":"Katsunori"},{"family":"Iizuka","given":"Gemmei"}],"issued":{"date-parts":[["2022",12]]}}}],"schema":"https://github.com/citation-style-language/schema/raw/master/csl-citation.json"} </w:instrText>
      </w:r>
      <w:r w:rsidR="009835E5" w:rsidRPr="002E55DE">
        <w:rPr>
          <w:rFonts w:ascii="Times New Roman" w:eastAsiaTheme="minorEastAsia" w:hAnsi="Times New Roman"/>
          <w:lang w:eastAsia="ko-KR"/>
        </w:rPr>
        <w:fldChar w:fldCharType="separate"/>
      </w:r>
      <w:r w:rsidR="009835E5" w:rsidRPr="002E55DE">
        <w:rPr>
          <w:rFonts w:ascii="Times New Roman" w:hAnsi="Times New Roman"/>
        </w:rPr>
        <w:t>(Ihara et al., 2022)</w:t>
      </w:r>
      <w:r w:rsidR="009835E5" w:rsidRPr="002E55DE">
        <w:rPr>
          <w:rFonts w:ascii="Times New Roman" w:eastAsiaTheme="minorEastAsia" w:hAnsi="Times New Roman"/>
          <w:lang w:eastAsia="ko-KR"/>
        </w:rPr>
        <w:fldChar w:fldCharType="end"/>
      </w:r>
      <w:r w:rsidR="00FE5801" w:rsidRPr="002E55DE">
        <w:rPr>
          <w:rFonts w:ascii="Times New Roman" w:eastAsiaTheme="minorEastAsia" w:hAnsi="Times New Roman"/>
          <w:lang w:eastAsia="ko-KR"/>
        </w:rPr>
        <w:t>,</w:t>
      </w:r>
      <w:r w:rsidR="00C413E9" w:rsidRPr="002E55DE">
        <w:rPr>
          <w:rFonts w:ascii="Times New Roman" w:eastAsiaTheme="minorEastAsia" w:hAnsi="Times New Roman"/>
          <w:lang w:eastAsia="ko-KR"/>
        </w:rPr>
        <w:t xml:space="preserve"> and thus provides for more self-efficacy and confidence in older adults to pursue walking and other physical activity. </w:t>
      </w:r>
    </w:p>
    <w:p w14:paraId="01ABD469" w14:textId="57A427EE" w:rsidR="00C33772" w:rsidRPr="002E55DE" w:rsidRDefault="00853655" w:rsidP="00662E40">
      <w:pPr>
        <w:ind w:firstLine="720"/>
        <w:jc w:val="both"/>
        <w:rPr>
          <w:rFonts w:eastAsiaTheme="minorEastAsia"/>
          <w:lang w:eastAsia="ko-KR"/>
        </w:rPr>
      </w:pPr>
      <w:r w:rsidRPr="002E55DE">
        <w:rPr>
          <w:rFonts w:eastAsiaTheme="minorEastAsia"/>
          <w:lang w:eastAsia="ko-KR"/>
        </w:rPr>
        <w:t xml:space="preserve">Older adults </w:t>
      </w:r>
      <w:r w:rsidR="00474808" w:rsidRPr="002E55DE">
        <w:rPr>
          <w:rFonts w:eastAsiaTheme="minorEastAsia" w:hint="eastAsia"/>
          <w:lang w:eastAsia="ko-KR"/>
        </w:rPr>
        <w:t xml:space="preserve">living </w:t>
      </w:r>
      <w:r w:rsidR="006B2171" w:rsidRPr="002E55DE">
        <w:rPr>
          <w:rFonts w:eastAsiaTheme="minorEastAsia" w:hint="eastAsia"/>
          <w:lang w:eastAsia="ko-KR"/>
        </w:rPr>
        <w:t xml:space="preserve">alone </w:t>
      </w:r>
      <w:r w:rsidR="007434DB" w:rsidRPr="002E55DE">
        <w:rPr>
          <w:rFonts w:eastAsiaTheme="minorEastAsia"/>
          <w:lang w:eastAsia="ko-KR"/>
        </w:rPr>
        <w:t xml:space="preserve">have the lowest propensity to walk with a companion relative to their peers in other household arrangements, which is intuitive given </w:t>
      </w:r>
      <w:r w:rsidR="006B2171" w:rsidRPr="002E55DE">
        <w:rPr>
          <w:rFonts w:eastAsiaTheme="minorEastAsia"/>
          <w:lang w:eastAsia="ko-KR"/>
        </w:rPr>
        <w:t xml:space="preserve">the absence of another adult </w:t>
      </w:r>
      <w:r w:rsidR="007434DB" w:rsidRPr="002E55DE">
        <w:rPr>
          <w:rFonts w:eastAsiaTheme="minorEastAsia"/>
          <w:lang w:eastAsia="ko-KR"/>
        </w:rPr>
        <w:t xml:space="preserve">or child who could </w:t>
      </w:r>
      <w:r w:rsidR="006B2171" w:rsidRPr="002E55DE">
        <w:rPr>
          <w:rFonts w:eastAsiaTheme="minorEastAsia"/>
          <w:lang w:eastAsia="ko-KR"/>
        </w:rPr>
        <w:t>serv</w:t>
      </w:r>
      <w:r w:rsidR="007434DB" w:rsidRPr="002E55DE">
        <w:rPr>
          <w:rFonts w:eastAsiaTheme="minorEastAsia"/>
          <w:lang w:eastAsia="ko-KR"/>
        </w:rPr>
        <w:t xml:space="preserve">e </w:t>
      </w:r>
      <w:r w:rsidR="006B2171" w:rsidRPr="002E55DE">
        <w:rPr>
          <w:rFonts w:eastAsiaTheme="minorEastAsia"/>
          <w:lang w:eastAsia="ko-KR"/>
        </w:rPr>
        <w:t>as a walking companion.</w:t>
      </w:r>
      <w:r w:rsidR="006B2171" w:rsidRPr="002E55DE">
        <w:rPr>
          <w:rFonts w:eastAsiaTheme="minorEastAsia" w:hint="eastAsia"/>
          <w:lang w:eastAsia="ko-KR"/>
        </w:rPr>
        <w:t xml:space="preserve"> </w:t>
      </w:r>
      <w:r w:rsidR="007434DB" w:rsidRPr="002E55DE">
        <w:rPr>
          <w:rFonts w:eastAsiaTheme="minorEastAsia"/>
          <w:lang w:eastAsia="ko-KR"/>
        </w:rPr>
        <w:t xml:space="preserve">On the other </w:t>
      </w:r>
      <w:r w:rsidR="001F57F8" w:rsidRPr="002E55DE">
        <w:rPr>
          <w:rFonts w:eastAsiaTheme="minorEastAsia"/>
          <w:lang w:eastAsia="ko-KR"/>
        </w:rPr>
        <w:t>hand</w:t>
      </w:r>
      <w:r w:rsidR="007434DB" w:rsidRPr="002E55DE">
        <w:rPr>
          <w:rFonts w:eastAsiaTheme="minorEastAsia"/>
          <w:lang w:eastAsia="ko-KR"/>
        </w:rPr>
        <w:t xml:space="preserve">, </w:t>
      </w:r>
      <w:r w:rsidR="002A14A0" w:rsidRPr="002E55DE">
        <w:rPr>
          <w:rFonts w:eastAsiaTheme="minorEastAsia"/>
          <w:lang w:eastAsia="ko-KR"/>
        </w:rPr>
        <w:t xml:space="preserve">the propensity to walk with </w:t>
      </w:r>
      <w:r w:rsidR="007434DB" w:rsidRPr="002E55DE">
        <w:rPr>
          <w:rFonts w:eastAsiaTheme="minorEastAsia"/>
          <w:lang w:eastAsia="ko-KR"/>
        </w:rPr>
        <w:t xml:space="preserve">one or more </w:t>
      </w:r>
      <w:r w:rsidR="002A14A0" w:rsidRPr="002E55DE">
        <w:rPr>
          <w:rFonts w:eastAsiaTheme="minorEastAsia"/>
          <w:lang w:eastAsia="ko-KR"/>
        </w:rPr>
        <w:t xml:space="preserve">companions </w:t>
      </w:r>
      <w:r w:rsidR="007434DB" w:rsidRPr="002E55DE">
        <w:rPr>
          <w:rFonts w:eastAsiaTheme="minorEastAsia"/>
          <w:lang w:eastAsia="ko-KR"/>
        </w:rPr>
        <w:t xml:space="preserve">is highest among older adults </w:t>
      </w:r>
      <w:r w:rsidR="002A14A0" w:rsidRPr="002E55DE">
        <w:rPr>
          <w:rFonts w:eastAsiaTheme="minorEastAsia"/>
          <w:lang w:eastAsia="ko-KR"/>
        </w:rPr>
        <w:t>with children</w:t>
      </w:r>
      <w:r w:rsidR="007434DB" w:rsidRPr="002E55DE">
        <w:rPr>
          <w:rFonts w:eastAsiaTheme="minorEastAsia"/>
          <w:lang w:eastAsia="ko-KR"/>
        </w:rPr>
        <w:t>, much higher than older adults in any other family arrangement without children</w:t>
      </w:r>
      <w:r w:rsidR="002A14A0" w:rsidRPr="002E55DE">
        <w:rPr>
          <w:rFonts w:eastAsiaTheme="minorEastAsia"/>
          <w:lang w:eastAsia="ko-KR"/>
        </w:rPr>
        <w:t xml:space="preserve">. </w:t>
      </w:r>
      <w:r w:rsidR="001F57F8" w:rsidRPr="002E55DE">
        <w:rPr>
          <w:rFonts w:eastAsiaTheme="minorEastAsia"/>
          <w:lang w:eastAsia="ko-KR"/>
        </w:rPr>
        <w:t>Adults with c</w:t>
      </w:r>
      <w:r w:rsidR="00D5645D" w:rsidRPr="002E55DE">
        <w:rPr>
          <w:rFonts w:eastAsiaTheme="minorEastAsia"/>
          <w:lang w:eastAsia="ko-KR"/>
        </w:rPr>
        <w:t xml:space="preserve">hildren in </w:t>
      </w:r>
      <w:r w:rsidR="001F57F8" w:rsidRPr="002E55DE">
        <w:rPr>
          <w:rFonts w:eastAsiaTheme="minorEastAsia"/>
          <w:lang w:eastAsia="ko-KR"/>
        </w:rPr>
        <w:t xml:space="preserve">the household </w:t>
      </w:r>
      <w:r w:rsidR="00FE4B07" w:rsidRPr="002E55DE">
        <w:rPr>
          <w:rFonts w:eastAsiaTheme="minorEastAsia"/>
          <w:lang w:eastAsia="ko-KR"/>
        </w:rPr>
        <w:t xml:space="preserve">are likely to pursue joint activity </w:t>
      </w:r>
      <w:r w:rsidR="00D5645D" w:rsidRPr="002E55DE">
        <w:rPr>
          <w:rFonts w:eastAsiaTheme="minorEastAsia"/>
          <w:lang w:eastAsia="ko-KR"/>
        </w:rPr>
        <w:t>participation in outdoor family activities as a caregiver and more</w:t>
      </w:r>
      <w:r w:rsidR="00FE4B07" w:rsidRPr="002E55DE">
        <w:rPr>
          <w:rFonts w:eastAsiaTheme="minorEastAsia"/>
          <w:lang w:eastAsia="ko-KR"/>
        </w:rPr>
        <w:t xml:space="preserve"> </w:t>
      </w:r>
      <w:bookmarkStart w:id="46" w:name="_Hlk169968002"/>
      <w:r w:rsidR="00C2069F"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{"citationID":"aVtJ93k9","properties":{"formattedCitation":"(Colley et al., 2019)","plainCitation":"(Colley et al., 2019)","noteIndex":0},"citationItems":[{"id":"4nY7bDZH/wyCFDWhe","uris":["http://zotero.org/users/10132210/items/GHTQT2IS"],"itemData":{"id":1248,"type":"article-journal","container-title":"Leisure Sciences","DOI":"10.1080/01490400.2017.1349696","ISSN":"0149-0400, 1521-0588","issue":"3","journalAbbreviation":"Leisure Sciences","language":"en","page":"186-202","source":"DOI.org (Crossref)","title":"Then and Now: Examining Older People's Engagement in Outdoor Recreation Across the Life Course","title-short":"Then and Now","volume":"41","author":[{"family":"Colley","given":"Kathryn"},{"family":"Currie","given":"Margaret J. B."},{"family":"Irvine","given":"Katherine N."}],"issued":{"date-parts":[["2019",5,4]]}}}],"schema":"https://github.com/citation-style-language/schema/raw/master/csl-citation.json"} </w:instrText>
      </w:r>
      <w:r w:rsidR="00C2069F" w:rsidRPr="002E55DE">
        <w:rPr>
          <w:rFonts w:eastAsiaTheme="minorEastAsia"/>
          <w:lang w:eastAsia="ko-KR"/>
        </w:rPr>
        <w:fldChar w:fldCharType="separate"/>
      </w:r>
      <w:r w:rsidR="00C2069F" w:rsidRPr="002E55DE">
        <w:rPr>
          <w:rFonts w:cs="Times"/>
        </w:rPr>
        <w:t>(Colley et al., 2019)</w:t>
      </w:r>
      <w:r w:rsidR="00C2069F" w:rsidRPr="002E55DE">
        <w:rPr>
          <w:rFonts w:eastAsiaTheme="minorEastAsia"/>
          <w:lang w:eastAsia="ko-KR"/>
        </w:rPr>
        <w:fldChar w:fldCharType="end"/>
      </w:r>
      <w:r w:rsidR="00FE4B07" w:rsidRPr="002E55DE">
        <w:rPr>
          <w:rFonts w:eastAsiaTheme="minorEastAsia"/>
          <w:lang w:eastAsia="ko-KR"/>
        </w:rPr>
        <w:t>.</w:t>
      </w:r>
      <w:r w:rsidR="001F57F8" w:rsidRPr="002E55DE">
        <w:rPr>
          <w:rFonts w:eastAsiaTheme="minorEastAsia"/>
          <w:lang w:eastAsia="ko-KR"/>
        </w:rPr>
        <w:t xml:space="preserve"> </w:t>
      </w:r>
      <w:bookmarkEnd w:id="46"/>
      <w:r w:rsidR="002A14A0" w:rsidRPr="002E55DE">
        <w:rPr>
          <w:rFonts w:eastAsiaTheme="minorEastAsia"/>
          <w:lang w:eastAsia="ko-KR"/>
        </w:rPr>
        <w:t>Additionally,</w:t>
      </w:r>
      <w:r w:rsidR="005D381E" w:rsidRPr="002E55DE">
        <w:rPr>
          <w:rFonts w:eastAsiaTheme="minorEastAsia" w:hint="eastAsia"/>
          <w:lang w:eastAsia="ko-KR"/>
        </w:rPr>
        <w:t xml:space="preserve"> </w:t>
      </w:r>
      <w:r w:rsidR="002A14A0" w:rsidRPr="002E55DE">
        <w:rPr>
          <w:rFonts w:eastAsiaTheme="minorEastAsia"/>
          <w:lang w:eastAsia="ko-KR"/>
        </w:rPr>
        <w:t>i</w:t>
      </w:r>
      <w:r w:rsidR="005D381E" w:rsidRPr="002E55DE">
        <w:rPr>
          <w:rFonts w:eastAsiaTheme="minorEastAsia" w:hint="eastAsia"/>
          <w:lang w:eastAsia="ko-KR"/>
        </w:rPr>
        <w:t xml:space="preserve">ndividuals living in </w:t>
      </w:r>
      <w:r w:rsidR="00C90A6C" w:rsidRPr="002E55DE">
        <w:rPr>
          <w:rFonts w:eastAsiaTheme="minorEastAsia"/>
          <w:lang w:eastAsia="ko-KR"/>
        </w:rPr>
        <w:t>households</w:t>
      </w:r>
      <w:r w:rsidR="005D381E" w:rsidRPr="002E55DE">
        <w:rPr>
          <w:rFonts w:eastAsiaTheme="minorEastAsia" w:hint="eastAsia"/>
          <w:lang w:eastAsia="ko-KR"/>
        </w:rPr>
        <w:t xml:space="preserve"> with </w:t>
      </w:r>
      <w:r w:rsidR="00057BAA" w:rsidRPr="002E55DE">
        <w:rPr>
          <w:rFonts w:eastAsiaTheme="minorEastAsia"/>
          <w:lang w:eastAsia="ko-KR"/>
        </w:rPr>
        <w:t xml:space="preserve">children have a lower propensity of frequent walks, though this is tempered by the indirect positive effect of the higher propensity to partake in group-walking. The direct negative effect of children </w:t>
      </w:r>
      <w:r w:rsidR="001F57F8" w:rsidRPr="002E55DE">
        <w:rPr>
          <w:rFonts w:eastAsiaTheme="minorEastAsia"/>
          <w:lang w:eastAsia="ko-KR"/>
        </w:rPr>
        <w:t xml:space="preserve">on the propensity to walk frequently </w:t>
      </w:r>
      <w:r w:rsidR="00815252" w:rsidRPr="002E55DE">
        <w:rPr>
          <w:rFonts w:eastAsiaTheme="minorEastAsia"/>
          <w:lang w:eastAsia="ko-KR"/>
        </w:rPr>
        <w:t xml:space="preserve">is possibly a reflection of time constraints associated with childcare responsibilities </w:t>
      </w:r>
      <w:r w:rsidR="00815252" w:rsidRPr="002E55DE">
        <w:rPr>
          <w:rFonts w:eastAsiaTheme="minorEastAsia" w:hint="eastAsia"/>
          <w:lang w:eastAsia="ko-KR"/>
        </w:rPr>
        <w:t>(</w:t>
      </w:r>
      <w:r w:rsidR="00596611" w:rsidRPr="002E55DE">
        <w:rPr>
          <w:rFonts w:eastAsiaTheme="minorEastAsia"/>
          <w:lang w:eastAsia="ko-KR"/>
        </w:rPr>
        <w:t>see</w:t>
      </w:r>
      <w:r w:rsidR="00815252" w:rsidRPr="002E55DE">
        <w:rPr>
          <w:rFonts w:eastAsiaTheme="minorEastAsia"/>
          <w:lang w:eastAsia="ko-KR"/>
        </w:rPr>
        <w:t xml:space="preserve"> </w:t>
      </w:r>
      <w:r w:rsidR="00815252"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{"citationID":"yYIVrvZ6","properties":{"formattedCitation":"(Aliyas, 2020)","plainCitation":"(Aliyas, 2020)","dontUpdate":true,"noteIndex":0},"citationItems":[{"id":"4nY7bDZH/HwEEJAXc","uris":["http://zotero.org/users/10132210/items/39ZTBJQ8"],"itemData":{"id":659,"type":"article-journal","abstract":"Objective: The study was aimed at assessing the association of all components of safety (crime, traffic, social, and physical) and general safety with walking for leisure and transportation among Iranian adults. In this regard, sociodemographic factors as potential effect modifiers on walking behavior and the association of neighborhood safety with the level of walking were explored.\nMethod: A total of 1300 questionnaires were distributed among respondents residing in 8 neighborhoods in Bandar Abbas city, among which 1132 qualified for use in further analysis. Using a binary logistic regression method, differences in walking behavior and perceived safety to walk were evaluated across sociodemographic characteristics.\nResults: The results showed that the walking rate is higher among older adults, married people, and adults with lower education and a higher length of residency. An increase in neighborhood safety from crime, traffic, social disorders, and overall safety associates with increased leisure walking among all populations. Further, overall neighborhood safety and safety from crime and traffic positively correlate with the level of transportation walking among all respondents. For both types of walking, this association varies in sociodemographic groups.\nConclusion: The study suggests that an increase in the safety of a neighborhood contributes to a higher level of leisure and transportation walking; however, it varies in different subgroups. This study provides the knowledge needed to consider all aspects of neighborhood safety to measure walking behavior level.","container-title":"Journal of Public Health Management and Practice","DOI":"10.1097/PHH.0000000000000992","ISSN":"1078-4659","issue":"4","language":"en","note":"number: 4","page":"E24-E32","source":"DOI.org (Crossref)","title":"Why Some Walk and Others Don't: Neighborhood Safety and the Sociodemographic Variation Effect on Walking for Leisure and Transportation","title-short":"Why Some Walk and Others Don't","volume":"26","author":[{"family":"Aliyas","given":"Zeinab"}],"issued":{"date-parts":[["2020",7]]}}}],"schema":"https://github.com/citation-style-language/schema/raw/master/csl-citation.json"} </w:instrText>
      </w:r>
      <w:r w:rsidR="00815252" w:rsidRPr="002E55DE">
        <w:rPr>
          <w:rFonts w:eastAsiaTheme="minorEastAsia"/>
          <w:lang w:eastAsia="ko-KR"/>
        </w:rPr>
        <w:fldChar w:fldCharType="separate"/>
      </w:r>
      <w:r w:rsidR="00815252" w:rsidRPr="002E55DE">
        <w:rPr>
          <w:rFonts w:cs="Times"/>
        </w:rPr>
        <w:t>Aliyas, 2020)</w:t>
      </w:r>
      <w:r w:rsidR="00815252" w:rsidRPr="002E55DE">
        <w:rPr>
          <w:rFonts w:eastAsiaTheme="minorEastAsia"/>
          <w:lang w:eastAsia="ko-KR"/>
        </w:rPr>
        <w:fldChar w:fldCharType="end"/>
      </w:r>
      <w:r w:rsidR="00815252" w:rsidRPr="002E55DE">
        <w:rPr>
          <w:rFonts w:eastAsiaTheme="minorEastAsia"/>
          <w:lang w:eastAsia="ko-KR"/>
        </w:rPr>
        <w:t>. Finally, older adults</w:t>
      </w:r>
      <w:r w:rsidR="00815252" w:rsidRPr="002E55DE">
        <w:rPr>
          <w:rFonts w:eastAsiaTheme="minorEastAsia" w:hint="eastAsia"/>
          <w:lang w:eastAsia="ko-KR"/>
        </w:rPr>
        <w:t xml:space="preserve"> </w:t>
      </w:r>
      <w:r w:rsidR="00057BAA" w:rsidRPr="002E55DE">
        <w:rPr>
          <w:rFonts w:eastAsiaTheme="minorEastAsia"/>
          <w:lang w:eastAsia="ko-KR"/>
        </w:rPr>
        <w:t xml:space="preserve">with </w:t>
      </w:r>
      <w:r w:rsidR="005D381E" w:rsidRPr="002E55DE">
        <w:rPr>
          <w:rFonts w:eastAsiaTheme="minorEastAsia" w:hint="eastAsia"/>
          <w:lang w:eastAsia="ko-KR"/>
        </w:rPr>
        <w:t>t</w:t>
      </w:r>
      <w:r w:rsidR="00815252" w:rsidRPr="002E55DE">
        <w:rPr>
          <w:rFonts w:eastAsiaTheme="minorEastAsia"/>
          <w:lang w:eastAsia="ko-KR"/>
        </w:rPr>
        <w:t>hree</w:t>
      </w:r>
      <w:r w:rsidR="005D381E" w:rsidRPr="002E55DE">
        <w:rPr>
          <w:rFonts w:eastAsiaTheme="minorEastAsia" w:hint="eastAsia"/>
          <w:lang w:eastAsia="ko-KR"/>
        </w:rPr>
        <w:t xml:space="preserve"> or more adults </w:t>
      </w:r>
      <w:r w:rsidR="00815252" w:rsidRPr="002E55DE">
        <w:rPr>
          <w:rFonts w:eastAsiaTheme="minorEastAsia"/>
          <w:lang w:eastAsia="ko-KR"/>
        </w:rPr>
        <w:t xml:space="preserve">in the household (including the older adult) </w:t>
      </w:r>
      <w:r w:rsidR="005D381E" w:rsidRPr="002E55DE">
        <w:rPr>
          <w:rFonts w:eastAsiaTheme="minorEastAsia" w:hint="eastAsia"/>
          <w:lang w:eastAsia="ko-KR"/>
        </w:rPr>
        <w:t xml:space="preserve">tend to </w:t>
      </w:r>
      <w:r w:rsidR="00382CAC" w:rsidRPr="002E55DE">
        <w:rPr>
          <w:rFonts w:eastAsiaTheme="minorEastAsia"/>
          <w:lang w:eastAsia="ko-KR"/>
        </w:rPr>
        <w:t>walk for</w:t>
      </w:r>
      <w:r w:rsidR="005D381E" w:rsidRPr="002E55DE">
        <w:rPr>
          <w:rFonts w:eastAsiaTheme="minorEastAsia" w:hint="eastAsia"/>
          <w:lang w:eastAsia="ko-KR"/>
        </w:rPr>
        <w:t xml:space="preserve"> short</w:t>
      </w:r>
      <w:r w:rsidR="00815252" w:rsidRPr="002E55DE">
        <w:rPr>
          <w:rFonts w:eastAsiaTheme="minorEastAsia"/>
          <w:lang w:eastAsia="ko-KR"/>
        </w:rPr>
        <w:t>er</w:t>
      </w:r>
      <w:r w:rsidR="00FE4B07" w:rsidRPr="002E55DE">
        <w:rPr>
          <w:rFonts w:eastAsiaTheme="minorEastAsia"/>
          <w:lang w:eastAsia="ko-KR"/>
        </w:rPr>
        <w:t xml:space="preserve"> </w:t>
      </w:r>
      <w:r w:rsidR="007F485D" w:rsidRPr="002E55DE">
        <w:rPr>
          <w:rFonts w:eastAsiaTheme="minorEastAsia"/>
          <w:lang w:eastAsia="ko-KR"/>
        </w:rPr>
        <w:t>durations</w:t>
      </w:r>
      <w:r w:rsidR="00FE4B07" w:rsidRPr="002E55DE">
        <w:rPr>
          <w:rFonts w:eastAsiaTheme="minorEastAsia"/>
          <w:lang w:eastAsia="ko-KR"/>
        </w:rPr>
        <w:t xml:space="preserve">, with this negative direct effect being even stronger in the </w:t>
      </w:r>
      <w:r w:rsidR="00FE4B07" w:rsidRPr="002E55DE">
        <w:rPr>
          <w:rFonts w:eastAsiaTheme="minorEastAsia"/>
          <w:lang w:eastAsia="ko-KR"/>
        </w:rPr>
        <w:lastRenderedPageBreak/>
        <w:t xml:space="preserve">presence of a child. </w:t>
      </w:r>
      <w:r w:rsidR="00B20F4B" w:rsidRPr="002E55DE">
        <w:rPr>
          <w:rFonts w:eastAsiaTheme="minorEastAsia"/>
          <w:lang w:eastAsia="ko-KR"/>
        </w:rPr>
        <w:t>However, again this direct negative effect for the case of three adults with a child is tempered by the indirect positive effect through the SC dimension. Overall, these results suggest that older adults in households with three or more adults, with or without children, have a lower walk duration</w:t>
      </w:r>
      <w:r w:rsidR="001F57F8" w:rsidRPr="002E55DE">
        <w:rPr>
          <w:rFonts w:eastAsiaTheme="minorEastAsia"/>
          <w:lang w:eastAsia="ko-KR"/>
        </w:rPr>
        <w:t xml:space="preserve"> per day</w:t>
      </w:r>
      <w:r w:rsidR="00B20F4B" w:rsidRPr="002E55DE">
        <w:rPr>
          <w:rFonts w:eastAsiaTheme="minorEastAsia"/>
          <w:lang w:eastAsia="ko-KR"/>
        </w:rPr>
        <w:t>. The family science literature (see</w:t>
      </w:r>
      <w:r w:rsidR="00596611" w:rsidRPr="002E55DE">
        <w:rPr>
          <w:rFonts w:eastAsiaTheme="minorEastAsia"/>
          <w:lang w:eastAsia="ko-KR"/>
        </w:rPr>
        <w:t>,</w:t>
      </w:r>
      <w:r w:rsidR="00B20F4B" w:rsidRPr="002E55DE">
        <w:rPr>
          <w:rFonts w:eastAsiaTheme="minorEastAsia"/>
          <w:lang w:eastAsia="ko-KR"/>
        </w:rPr>
        <w:t xml:space="preserve"> for example, </w:t>
      </w:r>
      <w:r w:rsidR="00F23CFB"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{"citationID":"0lhB0iNO","properties":{"formattedCitation":"(Van Der Meer, 2008)","plainCitation":"(Van Der Meer, 2008)","dontUpdate":true,"noteIndex":0},"citationItems":[{"id":"4nY7bDZH/Ge7KnIjg","uris":["http://zotero.org/users/10132210/items/9N8Z8L3C"],"itemData":{"id":1249,"type":"article-journal","container-title":"Journal of Aging Studies","DOI":"10.1016/j.jaging.2007.02.001","ISSN":"08904065","issue":"1","journalAbbreviation":"Journal of Aging Studies","language":"en","license":"https://www.elsevier.com/tdm/userlicense/1.0/","page":"1-12","source":"DOI.org (Crossref)","title":"The sociospatial diversity in the leisure activities of older people in the Netherlands","volume":"22","author":[{"family":"Van Der Meer","given":"M.J."}],"issued":{"date-parts":[["2008",1]]}}}],"schema":"https://github.com/citation-style-language/schema/raw/master/csl-citation.json"} </w:instrText>
      </w:r>
      <w:r w:rsidR="00F23CFB" w:rsidRPr="002E55DE">
        <w:rPr>
          <w:rFonts w:eastAsiaTheme="minorEastAsia"/>
          <w:lang w:eastAsia="ko-KR"/>
        </w:rPr>
        <w:fldChar w:fldCharType="separate"/>
      </w:r>
      <w:r w:rsidR="00F23CFB" w:rsidRPr="002E55DE">
        <w:rPr>
          <w:rFonts w:cs="Times"/>
        </w:rPr>
        <w:t>Van Der Meer, 2008)</w:t>
      </w:r>
      <w:r w:rsidR="00F23CFB" w:rsidRPr="002E55DE">
        <w:rPr>
          <w:rFonts w:eastAsiaTheme="minorEastAsia"/>
          <w:lang w:eastAsia="ko-KR"/>
        </w:rPr>
        <w:fldChar w:fldCharType="end"/>
      </w:r>
      <w:r w:rsidR="00B20F4B" w:rsidRPr="002E55DE">
        <w:rPr>
          <w:rFonts w:eastAsiaTheme="minorEastAsia"/>
          <w:lang w:eastAsia="ko-KR"/>
        </w:rPr>
        <w:t xml:space="preserve"> does suggest that older adults, when having adequate human company within the home, </w:t>
      </w:r>
      <w:r w:rsidR="00815252" w:rsidRPr="002E55DE">
        <w:rPr>
          <w:rFonts w:eastAsiaTheme="minorEastAsia"/>
          <w:lang w:eastAsia="ko-KR"/>
        </w:rPr>
        <w:t xml:space="preserve">have less motivation to venture out of the home </w:t>
      </w:r>
      <w:r w:rsidR="00B20F4B" w:rsidRPr="002E55DE">
        <w:rPr>
          <w:rFonts w:eastAsiaTheme="minorEastAsia"/>
          <w:lang w:eastAsia="ko-KR"/>
        </w:rPr>
        <w:t xml:space="preserve">for </w:t>
      </w:r>
      <w:r w:rsidR="00815252" w:rsidRPr="002E55DE">
        <w:rPr>
          <w:rFonts w:eastAsiaTheme="minorEastAsia"/>
          <w:lang w:eastAsia="ko-KR"/>
        </w:rPr>
        <w:t xml:space="preserve">any kind of </w:t>
      </w:r>
      <w:r w:rsidR="00B20F4B" w:rsidRPr="002E55DE">
        <w:rPr>
          <w:rFonts w:eastAsiaTheme="minorEastAsia"/>
          <w:lang w:eastAsia="ko-KR"/>
        </w:rPr>
        <w:t>social contact, which may, at least in part, explain this result.</w:t>
      </w:r>
    </w:p>
    <w:p w14:paraId="1A85F562" w14:textId="22A13E6C" w:rsidR="002A14A0" w:rsidRPr="002E55DE" w:rsidRDefault="00546D81" w:rsidP="00662E40">
      <w:pPr>
        <w:ind w:firstLine="720"/>
        <w:jc w:val="both"/>
        <w:rPr>
          <w:rFonts w:eastAsiaTheme="minorEastAsia"/>
          <w:lang w:eastAsia="ko-KR"/>
        </w:rPr>
      </w:pPr>
      <w:r w:rsidRPr="002E55DE">
        <w:rPr>
          <w:rFonts w:eastAsiaTheme="minorEastAsia"/>
          <w:lang w:eastAsia="ko-KR"/>
        </w:rPr>
        <w:t>With respect to socioeconomic status</w:t>
      </w:r>
      <w:r w:rsidR="00085A8A" w:rsidRPr="002E55DE">
        <w:rPr>
          <w:rFonts w:eastAsiaTheme="minorEastAsia"/>
          <w:lang w:eastAsia="ko-KR"/>
        </w:rPr>
        <w:t xml:space="preserve"> (SES)</w:t>
      </w:r>
      <w:r w:rsidRPr="002E55DE">
        <w:rPr>
          <w:rFonts w:eastAsiaTheme="minorEastAsia"/>
          <w:lang w:eastAsia="ko-KR"/>
        </w:rPr>
        <w:t>, o</w:t>
      </w:r>
      <w:r w:rsidR="00C67459" w:rsidRPr="002E55DE">
        <w:rPr>
          <w:rFonts w:eastAsiaTheme="minorEastAsia"/>
          <w:lang w:eastAsia="ko-KR"/>
        </w:rPr>
        <w:t>lder adults in hig</w:t>
      </w:r>
      <w:r w:rsidR="005F71F5" w:rsidRPr="002E55DE">
        <w:rPr>
          <w:rFonts w:eastAsiaTheme="minorEastAsia"/>
          <w:lang w:eastAsia="ko-KR"/>
        </w:rPr>
        <w:t>h</w:t>
      </w:r>
      <w:r w:rsidR="00C67459" w:rsidRPr="002E55DE">
        <w:rPr>
          <w:rFonts w:eastAsiaTheme="minorEastAsia"/>
          <w:lang w:eastAsia="ko-KR"/>
        </w:rPr>
        <w:t xml:space="preserve">-income households </w:t>
      </w:r>
      <w:r w:rsidR="005F71F5" w:rsidRPr="002E55DE">
        <w:rPr>
          <w:rFonts w:eastAsiaTheme="minorEastAsia"/>
          <w:lang w:eastAsia="ko-KR"/>
        </w:rPr>
        <w:t xml:space="preserve">(annual income of $100,000 or more) </w:t>
      </w:r>
      <w:r w:rsidR="00C67459" w:rsidRPr="002E55DE">
        <w:rPr>
          <w:rFonts w:eastAsiaTheme="minorEastAsia"/>
          <w:lang w:eastAsia="ko-KR"/>
        </w:rPr>
        <w:t xml:space="preserve">exhibit </w:t>
      </w:r>
      <w:r w:rsidR="005F71F5" w:rsidRPr="002E55DE">
        <w:rPr>
          <w:rFonts w:eastAsiaTheme="minorEastAsia"/>
          <w:lang w:eastAsia="ko-KR"/>
        </w:rPr>
        <w:t xml:space="preserve">both </w:t>
      </w:r>
      <w:r w:rsidR="00C67459" w:rsidRPr="002E55DE">
        <w:rPr>
          <w:rFonts w:eastAsiaTheme="minorEastAsia"/>
          <w:lang w:eastAsia="ko-KR"/>
        </w:rPr>
        <w:t xml:space="preserve">a greater propensity </w:t>
      </w:r>
      <w:r w:rsidRPr="002E55DE">
        <w:rPr>
          <w:rFonts w:eastAsiaTheme="minorEastAsia"/>
          <w:lang w:eastAsia="ko-KR"/>
        </w:rPr>
        <w:t xml:space="preserve">to walk </w:t>
      </w:r>
      <w:r w:rsidR="00C67459" w:rsidRPr="002E55DE">
        <w:rPr>
          <w:rFonts w:eastAsiaTheme="minorEastAsia"/>
          <w:lang w:eastAsia="ko-KR"/>
        </w:rPr>
        <w:t>frequen</w:t>
      </w:r>
      <w:r w:rsidRPr="002E55DE">
        <w:rPr>
          <w:rFonts w:eastAsiaTheme="minorEastAsia"/>
          <w:lang w:eastAsia="ko-KR"/>
        </w:rPr>
        <w:t>tly</w:t>
      </w:r>
      <w:r w:rsidR="00EB4E45" w:rsidRPr="002E55DE">
        <w:rPr>
          <w:rFonts w:eastAsiaTheme="minorEastAsia" w:hint="eastAsia"/>
          <w:lang w:eastAsia="ko-KR"/>
        </w:rPr>
        <w:t xml:space="preserve"> and </w:t>
      </w:r>
      <w:r w:rsidR="002A14A0" w:rsidRPr="002E55DE">
        <w:rPr>
          <w:rFonts w:eastAsiaTheme="minorEastAsia"/>
          <w:lang w:eastAsia="ko-KR"/>
        </w:rPr>
        <w:t xml:space="preserve">for </w:t>
      </w:r>
      <w:r w:rsidR="00EB4E45" w:rsidRPr="002E55DE">
        <w:rPr>
          <w:rFonts w:eastAsiaTheme="minorEastAsia" w:hint="eastAsia"/>
          <w:lang w:eastAsia="ko-KR"/>
        </w:rPr>
        <w:t>longer</w:t>
      </w:r>
      <w:r w:rsidR="002A14A0" w:rsidRPr="002E55DE">
        <w:rPr>
          <w:rFonts w:eastAsiaTheme="minorEastAsia"/>
          <w:lang w:eastAsia="ko-KR"/>
        </w:rPr>
        <w:t xml:space="preserve"> durations</w:t>
      </w:r>
      <w:r w:rsidRPr="002E55DE">
        <w:rPr>
          <w:rFonts w:eastAsiaTheme="minorEastAsia"/>
          <w:lang w:eastAsia="ko-KR"/>
        </w:rPr>
        <w:t>. This aligns with</w:t>
      </w:r>
      <w:r w:rsidR="002A14A0" w:rsidRPr="002E55DE">
        <w:rPr>
          <w:rFonts w:eastAsiaTheme="minorEastAsia"/>
          <w:lang w:eastAsia="ko-KR"/>
        </w:rPr>
        <w:t xml:space="preserve"> previous</w:t>
      </w:r>
      <w:r w:rsidRPr="002E55DE">
        <w:rPr>
          <w:rFonts w:eastAsiaTheme="minorEastAsia"/>
          <w:lang w:eastAsia="ko-KR"/>
        </w:rPr>
        <w:t xml:space="preserve"> research by</w:t>
      </w:r>
      <w:r w:rsidR="000F630D" w:rsidRPr="002E55DE">
        <w:rPr>
          <w:rFonts w:eastAsiaTheme="minorEastAsia"/>
          <w:lang w:eastAsia="ko-KR"/>
        </w:rPr>
        <w:t xml:space="preserve"> </w:t>
      </w:r>
      <w:r w:rsidR="000F630D"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{"citationID":"zibj0MTQ","properties":{"formattedCitation":"(Kamphuis et al., 2009; Stalsberg &amp; Pedersen, 2018)","plainCitation":"(Kamphuis et al., 2009; Stalsberg &amp; Pedersen, 2018)","dontUpdate":true,"noteIndex":0},"citationItems":[{"id":"4nY7bDZH/wjyVnlox","uris":["http://zotero.org/users/10132210/items/7TSVFA5A"],"itemData":{"id":1048,"type":"article-journal","abstract":"Background: People with a low socioeconomic status (SES) are more likely to be physically inactive than their higher status counterparts, however, the mechanisms underlying this socioeconomic gradient in physical inactivity remain largely unknown. Our aims were (1) to investigate socioeconomic differences in recreational walking among older adults and (2) to examine to what extent neighbourhood perceptions and individual cognitions regarding regular physical activity can explain these differences.\nMethods: Data were obtained by a large-scale postal survey among a stratified sample of older adults (age 55–75 years) (N = 1994), residing in 147 neighbourhoods of Eindhoven and surrounding areas, in the Netherlands. Multilevel logistic regression analyses assessed associations between SES (i.e. education and income), perceptions of the social and physical ne</w:instrText>
      </w:r>
      <w:r w:rsidR="00A254CC" w:rsidRPr="002E55DE">
        <w:rPr>
          <w:rFonts w:eastAsiaTheme="minorEastAsia" w:hint="eastAsia"/>
          <w:lang w:eastAsia="ko-KR"/>
        </w:rPr>
        <w:instrText xml:space="preserve">ighbourhood environment, measures of individual cognitions derived from the Theory of Planned Behaviour (e.g. attitude, perceived behaviour control), and recreational walking for </w:instrText>
      </w:r>
      <w:r w:rsidR="00A254CC" w:rsidRPr="002E55DE">
        <w:rPr>
          <w:rFonts w:eastAsiaTheme="minorEastAsia" w:hint="eastAsia"/>
          <w:lang w:eastAsia="ko-KR"/>
        </w:rPr>
        <w:instrText>≥</w:instrText>
      </w:r>
      <w:r w:rsidR="00A254CC" w:rsidRPr="002E55DE">
        <w:rPr>
          <w:rFonts w:eastAsiaTheme="minorEastAsia" w:hint="eastAsia"/>
          <w:lang w:eastAsia="ko-KR"/>
        </w:rPr>
        <w:instrText>10 minutes/week (no vs. yes).\nResults: Participants in the lowest educatio</w:instrText>
      </w:r>
      <w:r w:rsidR="00A254CC" w:rsidRPr="002E55DE">
        <w:rPr>
          <w:rFonts w:eastAsiaTheme="minorEastAsia"/>
          <w:lang w:eastAsia="ko-KR"/>
        </w:rPr>
        <w:instrText xml:space="preserve">nal group (OR 1.67 (95% CI, 1.18–2.35)) and lowest income group (OR 1.40 (95% CI, 0.98–2.01)) were more likely to report no recreational walking than their higher status counterparts. The association between SES and recreational walking attenuated when neighbourhood aesthetics was included in the model, and largely reduced when individual cognitions were added to the model (with largest effects of attitude, and intention regarding regular physical activity). The assiation between poor neighbourhood aesthetics and no recreational walking attenuated to (borderline) insignificance when individual cognitions were taken into account.\nConclusion: Both neighbourhood aesthetics and individual cognitions regarding physical activity contributed to the explanation of socioeconomic differences in no recreational walking. Neighbourhood aesthetics may explain the association between SES and recreational walking largely via individual cognitions towards physical activity. Intervention and policy strategies to reduce socioeconomic differences in lack of recreational walking among older adults would be most effective if they intervene on both neighbourhood perceptions as well as individual cognitions.","container-title":"International Journal of Behavioral Nutrition and Physical Activity","DOI":"10.1186/1479-5868-6-1","ISSN":"1479-5868","issue":"1","journalAbbreviation":"Int J Behav Nutr Phys Act","language":"en","page":"1","source":"DOI.org (Crossref)","title":"Socioeconomic differences in lack of recreational walking among older adults: the role of neighbourhood and individual factors","title-short":"Socioeconomic differences in lack of recreational walking among older adults","volume":"6","author":[{"family":"Kamphuis","given":"Carlijn Bm"},{"family":"Van Lenthe","given":"Frank J"},{"family":"Giskes","given":"Katrina"},{"family":"Huisman","given":"Martijn"},{"family":"Brug","given":"Johannes"},{"family":"Mackenbach","given":"Johan P"}],"issued":{"date-parts":[["2009"]]}}},{"id":"4nY7bDZH/3GEgG3LI","uris":["http://zotero.org/users/10132210/items/4EYX8JG2"],"itemData":{"id":1128,"type":"article-journal","container-title":"International Journal of Environmental Research and Public Health","DOI":"10.3390/ijerph15050922","ISSN":"1660-4601","issue":"5","journalAbbreviation":"IJERPH","language":"en","license":"https://creativecommons.org/licenses/by/4.0/","page":"922","source":"DOI.org (Crossref)","title":"Are Differences in Physical Activity across Socioeconomic Groups Associated with Choice of Physical Activity Variables to Report?","volume":"15","author":[{"family":"Stalsberg","given":"Ragna"},{"family":"Pedersen","given":"Arve"}],"issued":{"date-parts":[["2018",5,5]]}}}],"schema":"https://github.com/citation-style-language/schema/raw/master/csl-citation.json"} </w:instrText>
      </w:r>
      <w:r w:rsidR="000F630D" w:rsidRPr="002E55DE">
        <w:rPr>
          <w:rFonts w:eastAsiaTheme="minorEastAsia"/>
          <w:lang w:eastAsia="ko-KR"/>
        </w:rPr>
        <w:fldChar w:fldCharType="separate"/>
      </w:r>
      <w:r w:rsidR="000F630D" w:rsidRPr="002E55DE">
        <w:rPr>
          <w:rFonts w:cs="Times"/>
        </w:rPr>
        <w:t>Kamphuis et al.</w:t>
      </w:r>
      <w:r w:rsidR="002A64AD" w:rsidRPr="002E55DE">
        <w:rPr>
          <w:rFonts w:cs="Times"/>
        </w:rPr>
        <w:t xml:space="preserve"> (</w:t>
      </w:r>
      <w:r w:rsidR="000F630D" w:rsidRPr="002E55DE">
        <w:rPr>
          <w:rFonts w:cs="Times"/>
        </w:rPr>
        <w:t>2009</w:t>
      </w:r>
      <w:r w:rsidR="002A64AD" w:rsidRPr="002E55DE">
        <w:rPr>
          <w:rFonts w:cs="Times"/>
        </w:rPr>
        <w:t>) and</w:t>
      </w:r>
      <w:r w:rsidR="000F630D" w:rsidRPr="002E55DE">
        <w:rPr>
          <w:rFonts w:cs="Times"/>
        </w:rPr>
        <w:t xml:space="preserve"> Stalsberg </w:t>
      </w:r>
      <w:r w:rsidR="002A64AD" w:rsidRPr="002E55DE">
        <w:rPr>
          <w:rFonts w:cs="Times"/>
        </w:rPr>
        <w:t>and</w:t>
      </w:r>
      <w:r w:rsidR="000F630D" w:rsidRPr="002E55DE">
        <w:rPr>
          <w:rFonts w:cs="Times"/>
        </w:rPr>
        <w:t xml:space="preserve"> Pedersen </w:t>
      </w:r>
      <w:r w:rsidR="002A64AD" w:rsidRPr="002E55DE">
        <w:rPr>
          <w:rFonts w:cs="Times"/>
        </w:rPr>
        <w:t>(</w:t>
      </w:r>
      <w:r w:rsidR="000F630D" w:rsidRPr="002E55DE">
        <w:rPr>
          <w:rFonts w:cs="Times"/>
        </w:rPr>
        <w:t>2018)</w:t>
      </w:r>
      <w:r w:rsidR="000F630D" w:rsidRPr="002E55DE">
        <w:rPr>
          <w:rFonts w:eastAsiaTheme="minorEastAsia"/>
          <w:lang w:eastAsia="ko-KR"/>
        </w:rPr>
        <w:fldChar w:fldCharType="end"/>
      </w:r>
      <w:r w:rsidR="002A14A0" w:rsidRPr="002E55DE">
        <w:rPr>
          <w:rFonts w:eastAsiaTheme="minorEastAsia"/>
          <w:lang w:eastAsia="ko-KR"/>
        </w:rPr>
        <w:t xml:space="preserve">. </w:t>
      </w:r>
      <w:r w:rsidR="005F71F5" w:rsidRPr="002E55DE">
        <w:rPr>
          <w:rFonts w:eastAsiaTheme="minorEastAsia"/>
          <w:lang w:eastAsia="ko-KR"/>
        </w:rPr>
        <w:t>T</w:t>
      </w:r>
      <w:r w:rsidR="002A14A0" w:rsidRPr="002E55DE">
        <w:rPr>
          <w:rFonts w:eastAsiaTheme="minorEastAsia"/>
          <w:lang w:eastAsia="ko-KR"/>
        </w:rPr>
        <w:t xml:space="preserve">hose with higher incomes </w:t>
      </w:r>
      <w:r w:rsidR="005F71F5" w:rsidRPr="002E55DE">
        <w:rPr>
          <w:rFonts w:eastAsiaTheme="minorEastAsia"/>
          <w:lang w:eastAsia="ko-KR"/>
        </w:rPr>
        <w:t xml:space="preserve">have the luxury of time and resources </w:t>
      </w:r>
      <w:r w:rsidR="002A14A0" w:rsidRPr="002E55DE">
        <w:rPr>
          <w:rFonts w:eastAsiaTheme="minorEastAsia"/>
          <w:lang w:eastAsia="ko-KR"/>
        </w:rPr>
        <w:t>to allocate toward recreational pursuits, including walking</w:t>
      </w:r>
      <w:r w:rsidR="005F71F5" w:rsidRPr="002E55DE">
        <w:rPr>
          <w:rFonts w:eastAsiaTheme="minorEastAsia"/>
          <w:lang w:eastAsia="ko-KR"/>
        </w:rPr>
        <w:t xml:space="preserve">. Additionally, this income effect may simply be capturing </w:t>
      </w:r>
      <w:r w:rsidR="00857A7E">
        <w:rPr>
          <w:rFonts w:eastAsiaTheme="minorEastAsia"/>
          <w:lang w:eastAsia="ko-KR"/>
        </w:rPr>
        <w:t xml:space="preserve">variations </w:t>
      </w:r>
      <w:r w:rsidR="005F71F5" w:rsidRPr="002E55DE">
        <w:rPr>
          <w:rFonts w:eastAsiaTheme="minorEastAsia"/>
          <w:lang w:eastAsia="ko-KR"/>
        </w:rPr>
        <w:t xml:space="preserve">in the quality of the </w:t>
      </w:r>
      <w:r w:rsidR="00085A8A" w:rsidRPr="002E55DE">
        <w:rPr>
          <w:rFonts w:eastAsiaTheme="minorEastAsia"/>
          <w:lang w:eastAsia="ko-KR"/>
        </w:rPr>
        <w:t xml:space="preserve">walking </w:t>
      </w:r>
      <w:r w:rsidR="005F71F5" w:rsidRPr="002E55DE">
        <w:rPr>
          <w:rFonts w:eastAsiaTheme="minorEastAsia"/>
          <w:lang w:eastAsia="ko-KR"/>
        </w:rPr>
        <w:t xml:space="preserve">infrastructure </w:t>
      </w:r>
      <w:r w:rsidR="00085A8A" w:rsidRPr="002E55DE">
        <w:rPr>
          <w:rFonts w:eastAsiaTheme="minorEastAsia"/>
          <w:lang w:eastAsia="ko-KR"/>
        </w:rPr>
        <w:t xml:space="preserve">between neighborhoods with </w:t>
      </w:r>
      <w:r w:rsidR="0027056D" w:rsidRPr="002E55DE">
        <w:rPr>
          <w:rFonts w:eastAsiaTheme="minorEastAsia"/>
          <w:lang w:eastAsia="ko-KR"/>
        </w:rPr>
        <w:t>high-</w:t>
      </w:r>
      <w:r w:rsidR="00085A8A" w:rsidRPr="002E55DE">
        <w:rPr>
          <w:rFonts w:eastAsiaTheme="minorEastAsia"/>
          <w:lang w:eastAsia="ko-KR"/>
        </w:rPr>
        <w:t xml:space="preserve">income households and low-income households. </w:t>
      </w:r>
      <w:r w:rsidR="0033012E" w:rsidRPr="002E55DE">
        <w:rPr>
          <w:rFonts w:eastAsiaTheme="minorEastAsia"/>
          <w:lang w:eastAsia="ko-KR"/>
        </w:rPr>
        <w:t xml:space="preserve">In </w:t>
      </w:r>
      <w:r w:rsidR="00DD6936" w:rsidRPr="002E55DE">
        <w:rPr>
          <w:rFonts w:eastAsiaTheme="minorEastAsia"/>
          <w:lang w:eastAsia="ko-KR"/>
        </w:rPr>
        <w:t>summary</w:t>
      </w:r>
      <w:r w:rsidR="0033012E" w:rsidRPr="002E55DE">
        <w:rPr>
          <w:rFonts w:eastAsiaTheme="minorEastAsia"/>
          <w:lang w:eastAsia="ko-KR"/>
        </w:rPr>
        <w:t xml:space="preserve">, while </w:t>
      </w:r>
      <w:r w:rsidR="00B45289" w:rsidRPr="002E55DE">
        <w:rPr>
          <w:rFonts w:eastAsiaTheme="minorEastAsia"/>
          <w:lang w:eastAsia="ko-KR"/>
        </w:rPr>
        <w:t>quantitatively</w:t>
      </w:r>
      <w:r w:rsidR="00B45289" w:rsidRPr="002E55DE">
        <w:rPr>
          <w:rFonts w:eastAsiaTheme="minorEastAsia" w:hint="eastAsia"/>
          <w:lang w:eastAsia="ko-KR"/>
        </w:rPr>
        <w:t xml:space="preserve"> measured</w:t>
      </w:r>
      <w:r w:rsidR="0033012E" w:rsidRPr="002E55DE">
        <w:rPr>
          <w:rFonts w:eastAsiaTheme="minorEastAsia"/>
          <w:lang w:eastAsia="ko-KR"/>
        </w:rPr>
        <w:t xml:space="preserve"> walkability appears to be higher in lower SES neighborhoods as a result of </w:t>
      </w:r>
      <w:r w:rsidR="0033012E" w:rsidRPr="002E55DE">
        <w:rPr>
          <w:rFonts w:eastAsiaTheme="minorEastAsia" w:hint="eastAsia"/>
          <w:lang w:eastAsia="ko-KR"/>
        </w:rPr>
        <w:t xml:space="preserve">high </w:t>
      </w:r>
      <w:r w:rsidR="0033012E" w:rsidRPr="002E55DE">
        <w:rPr>
          <w:rFonts w:eastAsiaTheme="minorEastAsia"/>
          <w:lang w:eastAsia="ko-KR"/>
        </w:rPr>
        <w:t>population density</w:t>
      </w:r>
      <w:r w:rsidR="0033012E" w:rsidRPr="002E55DE">
        <w:rPr>
          <w:rFonts w:eastAsiaTheme="minorEastAsia" w:hint="eastAsia"/>
          <w:lang w:eastAsia="ko-KR"/>
        </w:rPr>
        <w:t xml:space="preserve"> </w:t>
      </w:r>
      <w:r w:rsidR="00B32808"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{"citationID":"y6VXqEz3","properties":{"formattedCitation":"(Bereitschaft, 2017)","plainCitation":"(Bereitschaft, 2017)","dontUpdate":true,"noteIndex":0},"citationItems":[{"id":"4nY7bDZH/xlVR0egG","uris":["http://zotero.org/users/10132210/items/X2A33KHT"],"itemData":{"id":1253,"type":"article-journal","container-title":"Local Environment","DOI":"10.1080/13549839.2017.1297390","ISSN":"1354-9839, 1469-6711","issue":"7","journalAbbreviation":"Local Environment","language":"en","page":"859-879","source":"DOI.org (Crossref)","title":"Equity in neighbourhood walkability? A comparative analysis of three large U.S. cities","title-short":"Equity in neighbourhood walkability?","volume":"22","author":[{"family":"Bereitschaft","given":"Bradley"}],"issued":{"date-parts":[["2017",7,3]]}}}],"schema":"https://github.com/citation-style-language/schema/raw/master/csl-citation.json"} </w:instrText>
      </w:r>
      <w:r w:rsidR="00B32808" w:rsidRPr="002E55DE">
        <w:rPr>
          <w:rFonts w:eastAsiaTheme="minorEastAsia"/>
          <w:lang w:eastAsia="ko-KR"/>
        </w:rPr>
        <w:fldChar w:fldCharType="separate"/>
      </w:r>
      <w:r w:rsidR="00B32808" w:rsidRPr="002E55DE">
        <w:rPr>
          <w:rFonts w:cs="Times"/>
        </w:rPr>
        <w:t>(</w:t>
      </w:r>
      <w:r w:rsidR="00596611" w:rsidRPr="002E55DE">
        <w:rPr>
          <w:rFonts w:cs="Times"/>
        </w:rPr>
        <w:t xml:space="preserve">see </w:t>
      </w:r>
      <w:r w:rsidR="00B32808" w:rsidRPr="002E55DE">
        <w:rPr>
          <w:rFonts w:cs="Times"/>
        </w:rPr>
        <w:t>Bereitschaft, 2017)</w:t>
      </w:r>
      <w:r w:rsidR="00B32808" w:rsidRPr="002E55DE">
        <w:rPr>
          <w:rFonts w:eastAsiaTheme="minorEastAsia"/>
          <w:lang w:eastAsia="ko-KR"/>
        </w:rPr>
        <w:fldChar w:fldCharType="end"/>
      </w:r>
      <w:r w:rsidR="0033012E" w:rsidRPr="002E55DE">
        <w:rPr>
          <w:rFonts w:eastAsiaTheme="minorEastAsia"/>
          <w:lang w:eastAsia="ko-KR"/>
        </w:rPr>
        <w:t xml:space="preserve">, the </w:t>
      </w:r>
      <w:r w:rsidR="00CB4158" w:rsidRPr="002E55DE">
        <w:rPr>
          <w:rFonts w:eastAsiaTheme="minorEastAsia"/>
          <w:lang w:eastAsia="ko-KR"/>
        </w:rPr>
        <w:t>perceived</w:t>
      </w:r>
      <w:r w:rsidR="00CB4158" w:rsidRPr="002E55DE">
        <w:rPr>
          <w:rFonts w:eastAsiaTheme="minorEastAsia" w:hint="eastAsia"/>
          <w:lang w:eastAsia="ko-KR"/>
        </w:rPr>
        <w:t xml:space="preserve"> </w:t>
      </w:r>
      <w:r w:rsidR="00B32808" w:rsidRPr="002E55DE">
        <w:rPr>
          <w:rFonts w:eastAsiaTheme="minorEastAsia" w:hint="eastAsia"/>
          <w:lang w:eastAsia="ko-KR"/>
        </w:rPr>
        <w:t>qualit</w:t>
      </w:r>
      <w:r w:rsidR="00B45289" w:rsidRPr="002E55DE">
        <w:rPr>
          <w:rFonts w:eastAsiaTheme="minorEastAsia" w:hint="eastAsia"/>
          <w:lang w:eastAsia="ko-KR"/>
        </w:rPr>
        <w:t xml:space="preserve">y of </w:t>
      </w:r>
      <w:r w:rsidR="0033012E" w:rsidRPr="002E55DE">
        <w:rPr>
          <w:rFonts w:eastAsiaTheme="minorEastAsia"/>
          <w:lang w:eastAsia="ko-KR"/>
        </w:rPr>
        <w:t>walking infrastructure</w:t>
      </w:r>
      <w:r w:rsidR="00153545" w:rsidRPr="002E55DE">
        <w:rPr>
          <w:rFonts w:eastAsiaTheme="minorEastAsia" w:hint="eastAsia"/>
          <w:lang w:eastAsia="ko-KR"/>
        </w:rPr>
        <w:t>, such as pavement condition</w:t>
      </w:r>
      <w:r w:rsidR="00DD6936" w:rsidRPr="002E55DE">
        <w:rPr>
          <w:rFonts w:eastAsiaTheme="minorEastAsia"/>
          <w:lang w:eastAsia="ko-KR"/>
        </w:rPr>
        <w:t xml:space="preserve">, sidewalk continuity, and </w:t>
      </w:r>
      <w:r w:rsidR="00153545" w:rsidRPr="002E55DE">
        <w:rPr>
          <w:rFonts w:eastAsiaTheme="minorEastAsia" w:hint="eastAsia"/>
          <w:lang w:eastAsia="ko-KR"/>
        </w:rPr>
        <w:t xml:space="preserve">aesthetics </w:t>
      </w:r>
      <w:r w:rsidR="00A33B29" w:rsidRPr="002E55DE">
        <w:rPr>
          <w:rFonts w:eastAsiaTheme="minorEastAsia" w:hint="eastAsia"/>
          <w:lang w:eastAsia="ko-KR"/>
        </w:rPr>
        <w:t xml:space="preserve">along sidewalks, </w:t>
      </w:r>
      <w:r w:rsidR="00DD6936" w:rsidRPr="002E55DE">
        <w:rPr>
          <w:rFonts w:eastAsiaTheme="minorEastAsia"/>
          <w:lang w:eastAsia="ko-KR"/>
        </w:rPr>
        <w:t xml:space="preserve">has been consistently noted to be worse </w:t>
      </w:r>
      <w:r w:rsidR="0033012E" w:rsidRPr="002E55DE">
        <w:rPr>
          <w:rFonts w:eastAsiaTheme="minorEastAsia"/>
          <w:lang w:eastAsia="ko-KR"/>
        </w:rPr>
        <w:t>in lower SES neighborhoods</w:t>
      </w:r>
      <w:r w:rsidR="00B45289" w:rsidRPr="002E55DE">
        <w:rPr>
          <w:rFonts w:eastAsiaTheme="minorEastAsia" w:hint="eastAsia"/>
          <w:lang w:eastAsia="ko-KR"/>
        </w:rPr>
        <w:t xml:space="preserve"> </w:t>
      </w:r>
      <w:r w:rsidR="00B45289"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{"citationID":"vWbRivhz","properties":{"formattedCitation":"(Sallis et al., 2011; Zandieh et al., 2016)","plainCitation":"(Sallis et al., 2011; Zandieh et al., 2016)","dontUpdate":true,"noteIndex":0},"citationItems":[{"id":"4nY7bDZH/A29tbvy2","uris":["http://zotero.org/users/10132210/items/FALJ3WYC"],"itemData":{"id":824,"type":"article-journal","abstract":"The present study explored whether perceived neighborhood environmental attributes associated with physical activity differ by neighborhood income. Adults aged 20–65 years (n ¼ 2199; 48% female; mean age ¼ 45 years; 26% ethnic minority) were recruited from 32 neighborhoods from the Seattle, WA and Baltimore, MD regions that varied in objectively measured walkability and neighborhood income. Perceived built and social environment variables were assessed with the Neighborhood Environment Walkability Scale. There were neighborhood income disparities on 10 of 15 variables. Residents from high-income neighborhoods reported more favorable esthetics, pedestrian/biking facilities, safety from trafﬁc, safety from crime, and access to recreation facilities than residents of low-income areas (all p’s o 0.001). Low-income neighborhoods may lack amenities and safety attributes that can facilitate high levels of physical activity for both transportation and recreation purposes.","container-title":"Health &amp; Place","DOI":"10.1016/j.healthplace.2011.02.006","ISSN":"13538292","issue":"6","journalAbbreviation":"Health &amp; Place","language":"en","note":"number: 6","page":"1274-1283","source":"DOI.org (Crossref)","title":"Income disparities in perceived neighborhood built and social environment attributes","volume":"17","author":[{"family":"Sallis","given":"James F."},{"family":"Slymen","given":"Donald J."},{"family":"Conway","given":"Terry L."},{"family":"Frank","given":"Lawrence D."},{"family":"Saelens","given":"Brian E."},{"family":"Cain","given":"Kelli"},{"family":"Chapman","given":"James E."}],"issued":{"date-parts":[["2011",11]]}}},{"id":"4nY7bDZH/1kn0kP0G","uris":["http://zotero.org/users/10132210/items/86G37PX3"],"itemData":{"id":1252,"type":"article-journal","abstract":"Older adults living in high-deprivation areas walk less than those living in low-deprivation areas. Previous research has shown that older adults’ outdoor walking levels are related to the neighbourhood built environment. This study examines inequalities in perceived built environment attributes (i.e., safety, pedestrian infrastructure and aesthetics) and their possible inﬂuences on disparities in older adults’ outdoor walking levels in low- and high-deprivation areas of Birmingham, United Kingdom. It applied a mixed-method approach, included 173 participants (65 years and over), used GPS technology to measure outdoor walking levels, used questionnaires (for all participants) and conducted walking interviews (with a sub-sample) to collect data on perceived neighbourhood built environment attributes. The results show inequalities in perceived neighbourhood safety, pedestrian infrastructure and aesthetics in high- versus low-deprivation areas and demonstrate that they may inﬂuence disparities in participants’ outdoor walking levels. Improvements of perceived neighbourhood safety, pedestrian infrastructure and aesthetic in high-deprivation areas are encouraged.","container-title":"International Journal of Environmental Research and Public Health","DOI":"10.3390/ijerph13121179","ISSN":"1660-4601","issue":"12","journalAbbreviation":"IJERPH","language":"en","license":"https://creativecommons.org/licenses/by/4.0/","page":"1179","source":"DOI.org (Crossref)","title":"Older Adults’ Outdoor Walking: Inequalities in Neighbourhood Safety, Pedestrian Infrastructure and Aesthetics","title-short":"Older Adults’ Outdoor Walking","volume":"13","author":[{"family":"Zandieh","given":"Razieh"},{"family":"Martinez","given":"Javier"},{"family":"Flacke","given":"Johannes"},{"family":"Jones","given":"Phil"},{"family":"Van Maarseveen","given":"Martin"}],"issued":{"date-parts":[["2016",11,25]]}}}],"schema":"https://github.com/citation-style-language/schema/raw/master/csl-citation.json"} </w:instrText>
      </w:r>
      <w:r w:rsidR="00B45289" w:rsidRPr="002E55DE">
        <w:rPr>
          <w:rFonts w:eastAsiaTheme="minorEastAsia"/>
          <w:lang w:eastAsia="ko-KR"/>
        </w:rPr>
        <w:fldChar w:fldCharType="separate"/>
      </w:r>
      <w:r w:rsidR="00B45289" w:rsidRPr="002E55DE">
        <w:rPr>
          <w:rFonts w:cs="Times"/>
        </w:rPr>
        <w:t>(</w:t>
      </w:r>
      <w:r w:rsidR="00596611" w:rsidRPr="002E55DE">
        <w:rPr>
          <w:rFonts w:cs="Times"/>
        </w:rPr>
        <w:t xml:space="preserve">see </w:t>
      </w:r>
      <w:r w:rsidR="00B45289" w:rsidRPr="002E55DE">
        <w:rPr>
          <w:rFonts w:cs="Times"/>
        </w:rPr>
        <w:t>Sallis et al., 2011</w:t>
      </w:r>
      <w:r w:rsidR="00596611" w:rsidRPr="002E55DE">
        <w:rPr>
          <w:rFonts w:cs="Times"/>
        </w:rPr>
        <w:t>, and</w:t>
      </w:r>
      <w:r w:rsidR="00B45289" w:rsidRPr="002E55DE">
        <w:rPr>
          <w:rFonts w:cs="Times"/>
        </w:rPr>
        <w:t xml:space="preserve"> Zandieh et al., 2016)</w:t>
      </w:r>
      <w:r w:rsidR="00B45289" w:rsidRPr="002E55DE">
        <w:rPr>
          <w:rFonts w:eastAsiaTheme="minorEastAsia"/>
          <w:lang w:eastAsia="ko-KR"/>
        </w:rPr>
        <w:fldChar w:fldCharType="end"/>
      </w:r>
      <w:r w:rsidR="00D407AE" w:rsidRPr="002E55DE">
        <w:rPr>
          <w:rFonts w:eastAsiaTheme="minorEastAsia"/>
          <w:lang w:eastAsia="ko-KR"/>
        </w:rPr>
        <w:t>.</w:t>
      </w:r>
      <w:r w:rsidR="00085A8A" w:rsidRPr="002E55DE">
        <w:rPr>
          <w:rFonts w:eastAsiaTheme="minorEastAsia"/>
          <w:lang w:eastAsia="ko-KR"/>
        </w:rPr>
        <w:t xml:space="preserve"> </w:t>
      </w:r>
      <w:r w:rsidR="002A14A0" w:rsidRPr="002E55DE">
        <w:rPr>
          <w:rFonts w:eastAsiaTheme="minorEastAsia"/>
          <w:lang w:eastAsia="ko-KR"/>
        </w:rPr>
        <w:t xml:space="preserve">This outcome highlights how income disparities </w:t>
      </w:r>
      <w:r w:rsidR="00085A8A" w:rsidRPr="002E55DE">
        <w:rPr>
          <w:rFonts w:eastAsiaTheme="minorEastAsia"/>
          <w:lang w:eastAsia="ko-KR"/>
        </w:rPr>
        <w:t xml:space="preserve">not only contribute to active living considerations, but then permeate further into public health disparities because of the strong connection between physical activity and mental/physical wellness. </w:t>
      </w:r>
    </w:p>
    <w:p w14:paraId="3BFCE48D" w14:textId="77777777" w:rsidR="00662E40" w:rsidRPr="002E55DE" w:rsidRDefault="00662E40" w:rsidP="00662E40">
      <w:pPr>
        <w:ind w:firstLine="720"/>
        <w:jc w:val="both"/>
        <w:rPr>
          <w:rFonts w:eastAsiaTheme="minorEastAsia"/>
          <w:lang w:eastAsia="ko-KR"/>
        </w:rPr>
      </w:pPr>
    </w:p>
    <w:bookmarkEnd w:id="41"/>
    <w:p w14:paraId="416A92B5" w14:textId="45538F4F" w:rsidR="00745536" w:rsidRPr="002E55DE" w:rsidRDefault="005C1D19" w:rsidP="00662E40">
      <w:pPr>
        <w:pStyle w:val="Heading2"/>
        <w:spacing w:line="240" w:lineRule="auto"/>
        <w:ind w:hanging="540"/>
        <w:contextualSpacing w:val="0"/>
        <w:rPr>
          <w:rFonts w:eastAsiaTheme="minorEastAsia"/>
          <w:lang w:eastAsia="ko-KR"/>
        </w:rPr>
      </w:pPr>
      <w:r w:rsidRPr="002E55DE">
        <w:rPr>
          <w:rFonts w:eastAsiaTheme="minorEastAsia"/>
          <w:lang w:eastAsia="ko-KR"/>
        </w:rPr>
        <w:t>Endogenous Effects and Variance/Correlations</w:t>
      </w:r>
    </w:p>
    <w:p w14:paraId="12C92692" w14:textId="733EF5B7" w:rsidR="005C1D19" w:rsidRPr="002E55DE" w:rsidRDefault="005C1D19" w:rsidP="00B469AB">
      <w:pPr>
        <w:jc w:val="both"/>
        <w:rPr>
          <w:rFonts w:eastAsiaTheme="minorEastAsia"/>
          <w:lang w:eastAsia="ko-KR"/>
        </w:rPr>
      </w:pPr>
      <w:r w:rsidRPr="002E55DE">
        <w:rPr>
          <w:rFonts w:eastAsiaTheme="minorEastAsia"/>
          <w:lang w:eastAsia="ko-KR"/>
        </w:rPr>
        <w:t>Moving on to the e</w:t>
      </w:r>
      <w:r w:rsidRPr="002E55DE">
        <w:rPr>
          <w:rFonts w:eastAsiaTheme="minorEastAsia" w:hint="eastAsia"/>
          <w:lang w:eastAsia="ko-KR"/>
        </w:rPr>
        <w:t>ndogen</w:t>
      </w:r>
      <w:r w:rsidRPr="002E55DE">
        <w:rPr>
          <w:rFonts w:eastAsiaTheme="minorEastAsia"/>
          <w:lang w:eastAsia="ko-KR"/>
        </w:rPr>
        <w:t>ous effects</w:t>
      </w:r>
      <w:r w:rsidRPr="002E55DE">
        <w:rPr>
          <w:rFonts w:eastAsiaTheme="minorEastAsia" w:hint="eastAsia"/>
          <w:lang w:eastAsia="ko-KR"/>
        </w:rPr>
        <w:t xml:space="preserve">, as discussed in </w:t>
      </w:r>
      <w:r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{"citationID":"6LKEJsqd","properties":{"formattedCitation":"(Bhat, 2015)","plainCitation":"(Bhat, 2015)","dontUpdate":true,"noteIndex":0},"citationItems":[{"id":"4nY7bDZH/lPV2zF20","uris":["http://zotero.org/users/10132210/items/QL3P4LZD"],"itemData":{"id":1131,"type":"article-journal","abstract":"This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Sufﬁciency conditions for identiﬁcation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Methodological","DOI":"10.1016/j.trb.2015.05.017","ISSN":"01912615","journalAbbreviation":"Transportation Research Part B: Methodological","language":"en","page":"50-77","source":"DOI.org (Crossref)","title":"A new generalized heterogeneous data model (GHDM) to jointly model mixed types of dependent variables","volume":"79","author":[{"family":"Bhat","given":"Chandra R."}],"issued":{"date-parts":[["2015",9]]}}}],"schema":"https://github.com/citation-style-language/schema/raw/master/csl-citation.json"} </w:instrText>
      </w:r>
      <w:r w:rsidRPr="002E55DE">
        <w:rPr>
          <w:rFonts w:eastAsiaTheme="minorEastAsia"/>
          <w:lang w:eastAsia="ko-KR"/>
        </w:rPr>
        <w:fldChar w:fldCharType="separate"/>
      </w:r>
      <w:r w:rsidRPr="002E55DE">
        <w:rPr>
          <w:rFonts w:cs="Times"/>
        </w:rPr>
        <w:t xml:space="preserve">Bhat </w:t>
      </w:r>
      <w:r w:rsidRPr="002E55DE">
        <w:rPr>
          <w:rFonts w:eastAsiaTheme="minorEastAsia" w:cs="Times"/>
          <w:lang w:eastAsia="ko-KR"/>
        </w:rPr>
        <w:t>(</w:t>
      </w:r>
      <w:r w:rsidRPr="002E55DE">
        <w:rPr>
          <w:rFonts w:cs="Times"/>
        </w:rPr>
        <w:t>2015)</w:t>
      </w:r>
      <w:r w:rsidRPr="002E55DE">
        <w:rPr>
          <w:rFonts w:eastAsiaTheme="minorEastAsia"/>
          <w:lang w:eastAsia="ko-KR"/>
        </w:rPr>
        <w:fldChar w:fldCharType="end"/>
      </w:r>
      <w:r w:rsidRPr="002E55DE">
        <w:rPr>
          <w:rFonts w:eastAsiaTheme="minorEastAsia" w:hint="eastAsia"/>
          <w:lang w:eastAsia="ko-KR"/>
        </w:rPr>
        <w:t xml:space="preserve">, </w:t>
      </w:r>
      <w:r w:rsidRPr="002E55DE">
        <w:rPr>
          <w:rFonts w:eastAsiaTheme="minorEastAsia"/>
          <w:lang w:eastAsia="ko-KR"/>
        </w:rPr>
        <w:t>in a joint limited dependent variable model system, the causal relationship between endogenous outcomes cannot be bidirectional, where an observed endogenous outcome A affects outcome B and also outcome B affects outcome A. Additionally, cyclical relationships, where outcome A affects B, B affects C, and C, in turn, affects A, are not permissible. In the study, there are</w:t>
      </w:r>
      <w:r w:rsidRPr="002E55DE">
        <w:rPr>
          <w:rFonts w:eastAsiaTheme="minorEastAsia" w:hint="eastAsia"/>
          <w:lang w:eastAsia="ko-KR"/>
        </w:rPr>
        <w:t xml:space="preserve"> </w:t>
      </w:r>
      <w:r w:rsidRPr="002E55DE">
        <w:rPr>
          <w:rFonts w:eastAsiaTheme="minorEastAsia"/>
          <w:lang w:eastAsia="ko-KR"/>
        </w:rPr>
        <w:t xml:space="preserve">six </w:t>
      </w:r>
      <w:r w:rsidRPr="002E55DE">
        <w:rPr>
          <w:rFonts w:eastAsiaTheme="minorEastAsia" w:hint="eastAsia"/>
          <w:lang w:eastAsia="ko-KR"/>
        </w:rPr>
        <w:t xml:space="preserve">possible </w:t>
      </w:r>
      <w:r w:rsidRPr="002E55DE">
        <w:rPr>
          <w:rFonts w:eastAsiaTheme="minorEastAsia"/>
          <w:lang w:eastAsia="ko-KR"/>
        </w:rPr>
        <w:t>combinations of endogenous relationship</w:t>
      </w:r>
      <w:r w:rsidRPr="002E55DE">
        <w:rPr>
          <w:rFonts w:eastAsiaTheme="minorEastAsia" w:hint="eastAsia"/>
          <w:lang w:eastAsia="ko-KR"/>
        </w:rPr>
        <w:t xml:space="preserve">s. </w:t>
      </w:r>
      <w:r w:rsidRPr="002E55DE">
        <w:rPr>
          <w:rFonts w:eastAsiaTheme="minorEastAsia"/>
          <w:lang w:eastAsia="ko-KR"/>
        </w:rPr>
        <w:t>By</w:t>
      </w:r>
      <w:r w:rsidRPr="002E55DE">
        <w:rPr>
          <w:rFonts w:eastAsiaTheme="minorEastAsia" w:hint="eastAsia"/>
          <w:lang w:eastAsia="ko-KR"/>
        </w:rPr>
        <w:t xml:space="preserve"> testing all six possible structures, </w:t>
      </w:r>
      <w:r w:rsidRPr="002E55DE">
        <w:rPr>
          <w:rFonts w:eastAsiaTheme="minorEastAsia"/>
          <w:lang w:eastAsia="ko-KR"/>
        </w:rPr>
        <w:t xml:space="preserve">we arrive at the preferred endogenous pathway of effects </w:t>
      </w:r>
      <w:r w:rsidRPr="002E55DE">
        <w:rPr>
          <w:rFonts w:eastAsiaTheme="minorEastAsia" w:hint="eastAsia"/>
          <w:lang w:eastAsia="ko-KR"/>
        </w:rPr>
        <w:t>in Table 4</w:t>
      </w:r>
      <w:r w:rsidRPr="002E55DE">
        <w:rPr>
          <w:rFonts w:eastAsiaTheme="minorEastAsia"/>
          <w:lang w:eastAsia="ko-KR"/>
        </w:rPr>
        <w:t xml:space="preserve">. The strong causal effect of SC on frequency and </w:t>
      </w:r>
      <w:bookmarkStart w:id="47" w:name="_Hlk205292151"/>
      <w:r w:rsidRPr="002E55DE">
        <w:rPr>
          <w:rFonts w:eastAsiaTheme="minorEastAsia"/>
          <w:lang w:eastAsia="ko-KR"/>
        </w:rPr>
        <w:t xml:space="preserve">duration (after controlling for unobserved factor effects, as discussed earlier in this section) </w:t>
      </w:r>
      <w:r w:rsidR="00235967" w:rsidRPr="002E55DE">
        <w:rPr>
          <w:rFonts w:eastAsiaTheme="minorEastAsia"/>
          <w:lang w:eastAsia="ko-KR"/>
        </w:rPr>
        <w:t>is consistent with the findings of Ory et al. (2016) and with</w:t>
      </w:r>
      <w:r w:rsidR="00426A6E" w:rsidRPr="002E55DE">
        <w:t xml:space="preserve"> empirical interventions that </w:t>
      </w:r>
      <w:r w:rsidR="00426A6E" w:rsidRPr="002E55DE">
        <w:rPr>
          <w:rFonts w:eastAsiaTheme="minorEastAsia"/>
          <w:lang w:eastAsia="ko-KR"/>
        </w:rPr>
        <w:t>have successfully promoted walking through social engagement</w:t>
      </w:r>
      <w:r w:rsidR="00235967" w:rsidRPr="002E55DE">
        <w:rPr>
          <w:rFonts w:eastAsiaTheme="minorEastAsia"/>
          <w:lang w:eastAsia="ko-KR"/>
        </w:rPr>
        <w:t xml:space="preserve"> </w:t>
      </w:r>
      <w:r w:rsidR="00A254CC" w:rsidRPr="002E55DE">
        <w:rPr>
          <w:rFonts w:eastAsiaTheme="minorEastAsia"/>
          <w:lang w:eastAsia="ko-KR"/>
        </w:rPr>
        <w:t>(e.g., Kritz et al., 2021,</w:t>
      </w:r>
      <w:r w:rsidR="00A254CC" w:rsidRPr="002E55DE">
        <w:t xml:space="preserve"> </w:t>
      </w:r>
      <w:r w:rsidR="00A254CC" w:rsidRPr="002E55DE">
        <w:rPr>
          <w:rFonts w:eastAsiaTheme="minorEastAsia"/>
          <w:lang w:eastAsia="ko-KR"/>
        </w:rPr>
        <w:t>Ihara et al., 2022)</w:t>
      </w:r>
      <w:r w:rsidR="00426A6E" w:rsidRPr="002E55DE">
        <w:rPr>
          <w:rFonts w:eastAsiaTheme="minorEastAsia"/>
          <w:lang w:eastAsia="ko-KR"/>
        </w:rPr>
        <w:t>. This evidence</w:t>
      </w:r>
      <w:r w:rsidR="00235967" w:rsidRPr="002E55DE">
        <w:rPr>
          <w:rFonts w:eastAsiaTheme="minorEastAsia"/>
          <w:lang w:eastAsia="ko-KR"/>
        </w:rPr>
        <w:t xml:space="preserve"> </w:t>
      </w:r>
      <w:bookmarkEnd w:id="47"/>
      <w:r w:rsidR="00235967" w:rsidRPr="002E55DE">
        <w:rPr>
          <w:rFonts w:eastAsiaTheme="minorEastAsia"/>
          <w:lang w:eastAsia="ko-KR"/>
        </w:rPr>
        <w:t xml:space="preserve">provides a strong justification for considering companionship </w:t>
      </w:r>
      <w:r w:rsidR="00426A6E" w:rsidRPr="002E55DE">
        <w:rPr>
          <w:rFonts w:eastAsiaTheme="minorEastAsia"/>
          <w:lang w:eastAsia="ko-KR"/>
        </w:rPr>
        <w:t xml:space="preserve">as a central factor </w:t>
      </w:r>
      <w:r w:rsidR="00235967" w:rsidRPr="002E55DE">
        <w:rPr>
          <w:rFonts w:eastAsiaTheme="minorEastAsia"/>
          <w:lang w:eastAsia="ko-KR"/>
        </w:rPr>
        <w:t xml:space="preserve">in research on walking behavior. </w:t>
      </w:r>
      <w:r w:rsidRPr="002E55DE">
        <w:rPr>
          <w:rFonts w:eastAsiaTheme="minorEastAsia"/>
          <w:lang w:eastAsia="ko-KR"/>
        </w:rPr>
        <w:t xml:space="preserve">The other significant endogenous effect </w:t>
      </w:r>
      <w:r w:rsidRPr="002E55DE">
        <w:rPr>
          <w:rFonts w:eastAsiaTheme="minorEastAsia" w:hint="eastAsia"/>
          <w:lang w:eastAsia="ko-KR"/>
        </w:rPr>
        <w:t xml:space="preserve">from frequency </w:t>
      </w:r>
      <w:r w:rsidRPr="002E55DE">
        <w:rPr>
          <w:rFonts w:eastAsiaTheme="minorEastAsia"/>
          <w:lang w:eastAsia="ko-KR"/>
        </w:rPr>
        <w:t>on</w:t>
      </w:r>
      <w:r w:rsidRPr="002E55DE">
        <w:rPr>
          <w:rFonts w:eastAsiaTheme="minorEastAsia" w:hint="eastAsia"/>
          <w:lang w:eastAsia="ko-KR"/>
        </w:rPr>
        <w:t xml:space="preserve"> duration</w:t>
      </w:r>
      <w:r w:rsidRPr="002E55DE">
        <w:rPr>
          <w:rFonts w:eastAsiaTheme="minorEastAsia"/>
          <w:lang w:eastAsia="ko-KR"/>
        </w:rPr>
        <w:t xml:space="preserve"> is supported by the study of </w:t>
      </w:r>
      <w:r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{"citationID":"nFslxhAG","properties":{"formattedCitation":"(Duncan et al., 2010)","plainCitation":"(Duncan et al., 2010)","dontUpdate":true,"noteIndex":0},"citationItems":[{"id":"4nY7bDZH/xjjdotZo","uris":["http://zotero.org/users/10132210/items/9UEKFT93"],"itemData":{"id":1133,"type":"article-journal","abstract":"Background: It is important to engage in regular physical activity in order to maintain a healthy lifestyle however a large portion of the population is insufficiently active. Understanding how different types of motivation contribute to exercise behavior is an important first step in identifying ways to increase exercise among individuals. The current study employs self-determination theory as a framework from which to examine how motivation contributes to various characteristics of exercise behavior.\nMethods: Regular exercisers (N = 1079; n = 468 males; n = 612 females) completed inventories which assessed the frequency, intensity, and duration with which they exercise, as well as the Behavioral Regulation in Exercise Questionnaire including four additional items assessing integrated regulation.\nResults: Bivariate correlations revealed that all three behavioral indices (frequency, intensity, and duration of exercise) were more highly correlated with more autonomous than controlling regulations. Regression analyses revealed that integrated and identified regulations predicted exercise frequency for males and females. Integrated regulation was found to be the only predictor of exercise duration across both genders. Finally, introjected regulation predicted exercise intensity for females only.\nConclusions: These findings suggest that exercise regulations that vary in their degree of internalization can differentially predict characteristics of exercise behavior. Furthermore, in the motivational profile of a regular exerciser, integrated regulation appears to be an important determinant of exercise behavior. These results highlight the importance of assessing integrated regulation in exercise settings where the goal of understanding motivated behavior has important health implications.","container-title":"International Journal of Behavioral Nutrition and Physical Activity","DOI":"10.1186/1479-5868-7-7","ISSN":"1479-5868","issue":"1","journalAbbreviation":"Int J Behav Nutr Phys Act","language":"en","page":"7","source":"DOI.org (Crossref)","title":"Exercise motivation: a cross-sectional analysis examining its relationships with frequency, intensity, and duration of exercise","title-short":"Exercise motivation","volume":"7","author":[{"family":"Duncan","given":"Lindsay R"},{"family":"Hall","given":"Craig R"},{"family":"Wilson","given":"Philip M"},{"family":"O","given":"Jenny"}],"issued":{"date-parts":[["2010"]]}}}],"schema":"https://github.com/citation-style-language/schema/raw/master/csl-citation.json"} </w:instrText>
      </w:r>
      <w:r w:rsidRPr="002E55DE">
        <w:rPr>
          <w:rFonts w:eastAsiaTheme="minorEastAsia"/>
          <w:lang w:eastAsia="ko-KR"/>
        </w:rPr>
        <w:fldChar w:fldCharType="separate"/>
      </w:r>
      <w:r w:rsidRPr="002E55DE">
        <w:rPr>
          <w:rFonts w:cs="Times"/>
        </w:rPr>
        <w:t xml:space="preserve">Duncan et al. </w:t>
      </w:r>
      <w:r w:rsidRPr="002E55DE">
        <w:rPr>
          <w:rFonts w:eastAsiaTheme="minorEastAsia" w:cs="Times"/>
          <w:lang w:eastAsia="ko-KR"/>
        </w:rPr>
        <w:t>(</w:t>
      </w:r>
      <w:r w:rsidRPr="002E55DE">
        <w:rPr>
          <w:rFonts w:cs="Times"/>
        </w:rPr>
        <w:t>2010)</w:t>
      </w:r>
      <w:r w:rsidRPr="002E55DE">
        <w:rPr>
          <w:rFonts w:eastAsiaTheme="minorEastAsia"/>
          <w:lang w:eastAsia="ko-KR"/>
        </w:rPr>
        <w:fldChar w:fldCharType="end"/>
      </w:r>
      <w:r w:rsidRPr="002E55DE">
        <w:rPr>
          <w:rFonts w:eastAsiaTheme="minorEastAsia" w:hint="eastAsia"/>
          <w:lang w:eastAsia="ko-KR"/>
        </w:rPr>
        <w:t>, which</w:t>
      </w:r>
      <w:r w:rsidRPr="002E55DE">
        <w:rPr>
          <w:rFonts w:eastAsiaTheme="minorEastAsia"/>
          <w:lang w:eastAsia="ko-KR"/>
        </w:rPr>
        <w:t xml:space="preserve"> found that exercise frequency is motivated by both integrated (i.e., “I exercise because it is consistent with my values”) and identified (i.e., “It is important for me to exercise regularly”) regulations, while long exercise periods are motivated by identified regulations only. Therefore, “</w:t>
      </w:r>
      <w:r w:rsidRPr="002E55DE">
        <w:rPr>
          <w:rFonts w:eastAsiaTheme="minorEastAsia" w:hint="eastAsia"/>
          <w:lang w:eastAsia="ko-KR"/>
        </w:rPr>
        <w:t>F</w:t>
      </w:r>
      <w:r w:rsidRPr="002E55DE">
        <w:rPr>
          <w:rFonts w:eastAsiaTheme="minorEastAsia"/>
          <w:lang w:eastAsia="ko-KR"/>
        </w:rPr>
        <w:t>requent walkers” are more likely to be “</w:t>
      </w:r>
      <w:r w:rsidRPr="002E55DE">
        <w:rPr>
          <w:rFonts w:eastAsiaTheme="minorEastAsia" w:hint="eastAsia"/>
          <w:lang w:eastAsia="ko-KR"/>
        </w:rPr>
        <w:t>L</w:t>
      </w:r>
      <w:r w:rsidRPr="002E55DE">
        <w:rPr>
          <w:rFonts w:eastAsiaTheme="minorEastAsia"/>
          <w:lang w:eastAsia="ko-KR"/>
        </w:rPr>
        <w:t xml:space="preserve">ong walkers” than </w:t>
      </w:r>
      <w:r w:rsidRPr="002E55DE">
        <w:rPr>
          <w:rFonts w:eastAsiaTheme="minorEastAsia" w:hint="eastAsia"/>
          <w:lang w:eastAsia="ko-KR"/>
        </w:rPr>
        <w:t>the opposite</w:t>
      </w:r>
      <w:r w:rsidRPr="002E55DE">
        <w:rPr>
          <w:rFonts w:eastAsiaTheme="minorEastAsia"/>
          <w:lang w:eastAsia="ko-KR"/>
        </w:rPr>
        <w:t>.</w:t>
      </w:r>
    </w:p>
    <w:p w14:paraId="1A248E40" w14:textId="5FDFD72E" w:rsidR="00512086" w:rsidRPr="002E55DE" w:rsidRDefault="00546D81" w:rsidP="00662E40">
      <w:pPr>
        <w:ind w:firstLine="720"/>
        <w:jc w:val="both"/>
        <w:rPr>
          <w:rFonts w:eastAsiaTheme="minorEastAsia"/>
          <w:lang w:eastAsia="ko-KR"/>
        </w:rPr>
      </w:pPr>
      <w:r w:rsidRPr="002E55DE">
        <w:rPr>
          <w:rFonts w:eastAsiaTheme="minorEastAsia"/>
          <w:lang w:eastAsia="ko-KR"/>
        </w:rPr>
        <w:t xml:space="preserve">The </w:t>
      </w:r>
      <w:r w:rsidR="0048471F" w:rsidRPr="002E55DE">
        <w:rPr>
          <w:rFonts w:eastAsiaTheme="minorEastAsia"/>
          <w:lang w:eastAsia="ko-KR"/>
        </w:rPr>
        <w:t xml:space="preserve">variance of the error term for the </w:t>
      </w:r>
      <w:r w:rsidR="00FB5103" w:rsidRPr="002E55DE">
        <w:rPr>
          <w:rFonts w:eastAsiaTheme="minorEastAsia"/>
          <w:lang w:eastAsia="ko-KR"/>
        </w:rPr>
        <w:t>ln(</w:t>
      </w:r>
      <w:r w:rsidR="0048471F" w:rsidRPr="002E55DE">
        <w:rPr>
          <w:rFonts w:eastAsiaTheme="minorEastAsia"/>
          <w:lang w:eastAsia="ko-KR"/>
        </w:rPr>
        <w:t>w</w:t>
      </w:r>
      <w:r w:rsidR="00FB5103" w:rsidRPr="002E55DE">
        <w:rPr>
          <w:rFonts w:eastAsiaTheme="minorEastAsia"/>
          <w:lang w:eastAsia="ko-KR"/>
        </w:rPr>
        <w:t>alking</w:t>
      </w:r>
      <w:r w:rsidR="0048471F" w:rsidRPr="002E55DE">
        <w:rPr>
          <w:rFonts w:eastAsiaTheme="minorEastAsia"/>
          <w:lang w:eastAsia="ko-KR"/>
        </w:rPr>
        <w:t xml:space="preserve"> duration</w:t>
      </w:r>
      <w:r w:rsidR="00FB5103" w:rsidRPr="002E55DE">
        <w:rPr>
          <w:rFonts w:eastAsiaTheme="minorEastAsia"/>
          <w:lang w:eastAsia="ko-KR"/>
        </w:rPr>
        <w:t>)</w:t>
      </w:r>
      <w:r w:rsidR="0048471F" w:rsidRPr="002E55DE">
        <w:rPr>
          <w:rFonts w:eastAsiaTheme="minorEastAsia"/>
          <w:lang w:eastAsia="ko-KR"/>
        </w:rPr>
        <w:t xml:space="preserve"> </w:t>
      </w:r>
      <w:r w:rsidR="00512086" w:rsidRPr="002E55DE">
        <w:rPr>
          <w:rFonts w:eastAsiaTheme="minorEastAsia"/>
          <w:lang w:eastAsia="ko-KR"/>
        </w:rPr>
        <w:t>dimension (</w:t>
      </w:r>
      <w:r w:rsidR="00742170" w:rsidRPr="002E55DE">
        <w:rPr>
          <w:noProof/>
          <w:position w:val="-12"/>
        </w:rPr>
        <w:object w:dxaOrig="300" w:dyaOrig="360" w14:anchorId="16630848">
          <v:shape id="_x0000_i1085" type="#_x0000_t75" style="width:15.15pt;height:18.45pt" o:ole="" o:preferrelative="f">
            <v:imagedata r:id="rId129" o:title=""/>
            <o:lock v:ext="edit" aspectratio="f"/>
          </v:shape>
          <o:OLEObject Type="Embed" ProgID="Equation.DSMT4" ShapeID="_x0000_i1085" DrawAspect="Content" ObjectID="_1818570650" r:id="rId130"/>
        </w:object>
      </w:r>
      <w:r w:rsidR="00512086" w:rsidRPr="002E55DE">
        <w:t xml:space="preserve"> in Equation (2)) </w:t>
      </w:r>
      <w:r w:rsidR="00512086" w:rsidRPr="002E55DE">
        <w:rPr>
          <w:rFonts w:eastAsiaTheme="minorEastAsia"/>
          <w:lang w:eastAsia="ko-KR"/>
        </w:rPr>
        <w:t xml:space="preserve">is estimated to </w:t>
      </w:r>
      <w:r w:rsidR="001F57F8" w:rsidRPr="002E55DE">
        <w:rPr>
          <w:rFonts w:eastAsiaTheme="minorEastAsia"/>
          <w:lang w:eastAsia="ko-KR"/>
        </w:rPr>
        <w:t xml:space="preserve">be </w:t>
      </w:r>
      <w:r w:rsidR="005915DC" w:rsidRPr="002E55DE">
        <w:rPr>
          <w:rFonts w:eastAsiaTheme="minorEastAsia"/>
          <w:lang w:eastAsia="ko-KR"/>
        </w:rPr>
        <w:t>0.988</w:t>
      </w:r>
      <w:r w:rsidR="00512086" w:rsidRPr="002E55DE">
        <w:rPr>
          <w:rFonts w:eastAsiaTheme="minorEastAsia"/>
          <w:lang w:eastAsia="ko-KR"/>
        </w:rPr>
        <w:t xml:space="preserve">. The </w:t>
      </w:r>
      <w:r w:rsidR="00E22112" w:rsidRPr="002E55DE">
        <w:rPr>
          <w:rFonts w:eastAsiaTheme="minorEastAsia"/>
          <w:lang w:eastAsia="ko-KR"/>
        </w:rPr>
        <w:t xml:space="preserve">row panel labeled </w:t>
      </w:r>
      <w:r w:rsidR="004B673F" w:rsidRPr="002E55DE">
        <w:rPr>
          <w:rFonts w:eastAsiaTheme="minorEastAsia"/>
          <w:lang w:eastAsia="ko-KR"/>
        </w:rPr>
        <w:t>“correlation</w:t>
      </w:r>
      <w:r w:rsidR="005C1D19" w:rsidRPr="002E55DE">
        <w:rPr>
          <w:rFonts w:eastAsiaTheme="minorEastAsia"/>
          <w:lang w:eastAsia="ko-KR"/>
        </w:rPr>
        <w:t>s</w:t>
      </w:r>
      <w:r w:rsidR="004B673F" w:rsidRPr="002E55DE">
        <w:rPr>
          <w:rFonts w:eastAsiaTheme="minorEastAsia"/>
          <w:lang w:eastAsia="ko-KR"/>
        </w:rPr>
        <w:t>” in Table 4 indicates highly statistically significant correlation effects, supporting the notion that the three walking dimensions are chosen as a package</w:t>
      </w:r>
      <w:r w:rsidR="005C1D19" w:rsidRPr="002E55DE">
        <w:rPr>
          <w:rFonts w:eastAsiaTheme="minorEastAsia"/>
          <w:lang w:eastAsia="ko-KR"/>
        </w:rPr>
        <w:t xml:space="preserve"> (the endogenous effects discussed in the previous paragraph are after controlling for these unobserved correlation effects)</w:t>
      </w:r>
      <w:r w:rsidR="004B673F" w:rsidRPr="002E55DE">
        <w:rPr>
          <w:rFonts w:eastAsiaTheme="minorEastAsia"/>
          <w:lang w:eastAsia="ko-KR"/>
        </w:rPr>
        <w:t xml:space="preserve">. The results reveal that unobserved factors that increase SC predisposition also decrease walk frequency propensity </w:t>
      </w:r>
      <w:r w:rsidR="00742170" w:rsidRPr="002E55DE">
        <w:rPr>
          <w:rFonts w:eastAsiaTheme="minorEastAsia"/>
          <w:noProof/>
          <w:position w:val="-12"/>
          <w:lang w:eastAsia="ko-KR"/>
        </w:rPr>
        <w:object w:dxaOrig="1320" w:dyaOrig="360" w14:anchorId="075D0CA4">
          <v:shape id="_x0000_i1086" type="#_x0000_t75" style="width:65.85pt;height:18.45pt" o:ole="" o:preferrelative="f">
            <v:imagedata r:id="rId131" o:title=""/>
            <o:lock v:ext="edit" aspectratio="f"/>
          </v:shape>
          <o:OLEObject Type="Embed" ProgID="Equation.DSMT4" ShapeID="_x0000_i1086" DrawAspect="Content" ObjectID="_1818570651" r:id="rId132"/>
        </w:object>
      </w:r>
      <w:r w:rsidR="00287DD8" w:rsidRPr="002E55DE">
        <w:rPr>
          <w:rFonts w:eastAsiaTheme="minorEastAsia"/>
          <w:lang w:eastAsia="ko-KR"/>
        </w:rPr>
        <w:t xml:space="preserve"> </w:t>
      </w:r>
      <w:r w:rsidR="004B673F" w:rsidRPr="002E55DE">
        <w:rPr>
          <w:rFonts w:eastAsiaTheme="minorEastAsia"/>
          <w:lang w:eastAsia="ko-KR"/>
        </w:rPr>
        <w:t xml:space="preserve">and </w:t>
      </w:r>
      <w:r w:rsidR="00512086" w:rsidRPr="002E55DE">
        <w:rPr>
          <w:rFonts w:eastAsiaTheme="minorEastAsia"/>
          <w:lang w:eastAsia="ko-KR"/>
        </w:rPr>
        <w:lastRenderedPageBreak/>
        <w:t xml:space="preserve">decrease </w:t>
      </w:r>
      <w:r w:rsidR="004B673F" w:rsidRPr="002E55DE">
        <w:rPr>
          <w:rFonts w:eastAsiaTheme="minorEastAsia"/>
          <w:lang w:eastAsia="ko-KR"/>
        </w:rPr>
        <w:t xml:space="preserve">walk duration </w:t>
      </w:r>
      <w:r w:rsidR="00742170" w:rsidRPr="002E55DE">
        <w:rPr>
          <w:rFonts w:eastAsiaTheme="minorEastAsia"/>
          <w:noProof/>
          <w:position w:val="-12"/>
          <w:lang w:eastAsia="ko-KR"/>
        </w:rPr>
        <w:object w:dxaOrig="1380" w:dyaOrig="360" w14:anchorId="629B2DC2">
          <v:shape id="_x0000_i1087" type="#_x0000_t75" style="width:68.2pt;height:18.45pt" o:ole="" o:preferrelative="f">
            <v:imagedata r:id="rId133" o:title=""/>
            <o:lock v:ext="edit" aspectratio="f"/>
          </v:shape>
          <o:OLEObject Type="Embed" ProgID="Equation.DSMT4" ShapeID="_x0000_i1087" DrawAspect="Content" ObjectID="_1818570652" r:id="rId134"/>
        </w:object>
      </w:r>
      <m:oMath>
        <m:r>
          <w:rPr>
            <w:rFonts w:ascii="Cambria Math" w:eastAsiaTheme="minorEastAsia" w:hAnsi="Cambria Math"/>
            <w:lang w:eastAsia="ko-KR"/>
          </w:rPr>
          <m:t xml:space="preserve"> </m:t>
        </m:r>
      </m:oMath>
      <w:r w:rsidR="004B673F" w:rsidRPr="002E55DE">
        <w:rPr>
          <w:rFonts w:eastAsiaTheme="minorEastAsia"/>
          <w:lang w:eastAsia="ko-KR"/>
        </w:rPr>
        <w:t xml:space="preserve">For example, individuals who are </w:t>
      </w:r>
      <w:r w:rsidR="00FE3C13" w:rsidRPr="002E55DE">
        <w:rPr>
          <w:rFonts w:eastAsiaTheme="minorEastAsia"/>
          <w:lang w:eastAsia="ko-KR"/>
        </w:rPr>
        <w:t>ex</w:t>
      </w:r>
      <w:r w:rsidR="004B673F" w:rsidRPr="002E55DE">
        <w:rPr>
          <w:rFonts w:eastAsiaTheme="minorEastAsia"/>
          <w:lang w:eastAsia="ko-KR"/>
        </w:rPr>
        <w:t xml:space="preserve">troverted may be the ones who </w:t>
      </w:r>
      <w:r w:rsidR="001F57F8" w:rsidRPr="002E55DE">
        <w:rPr>
          <w:rFonts w:eastAsiaTheme="minorEastAsia"/>
          <w:lang w:eastAsia="ko-KR"/>
        </w:rPr>
        <w:t>enjoy</w:t>
      </w:r>
      <w:r w:rsidR="00FE3C13" w:rsidRPr="002E55DE">
        <w:rPr>
          <w:rFonts w:eastAsiaTheme="minorEastAsia"/>
          <w:lang w:eastAsia="ko-KR"/>
        </w:rPr>
        <w:t xml:space="preserve"> </w:t>
      </w:r>
      <w:r w:rsidR="004B673F" w:rsidRPr="002E55DE">
        <w:rPr>
          <w:rFonts w:eastAsiaTheme="minorEastAsia"/>
          <w:lang w:eastAsia="ko-KR"/>
        </w:rPr>
        <w:t xml:space="preserve">group walking, </w:t>
      </w:r>
      <w:r w:rsidR="00FE3C13" w:rsidRPr="002E55DE">
        <w:rPr>
          <w:rFonts w:eastAsiaTheme="minorEastAsia"/>
          <w:lang w:eastAsia="ko-KR"/>
        </w:rPr>
        <w:t xml:space="preserve">but also intrinsically prefer inactive leisure pursuits </w:t>
      </w:r>
      <w:r w:rsidR="001F57F8" w:rsidRPr="002E55DE">
        <w:rPr>
          <w:rFonts w:eastAsiaTheme="minorEastAsia"/>
          <w:lang w:eastAsia="ko-KR"/>
        </w:rPr>
        <w:t xml:space="preserve">(rather than being physically active) </w:t>
      </w:r>
      <w:r w:rsidR="00FE3C13" w:rsidRPr="002E55DE">
        <w:rPr>
          <w:rFonts w:eastAsiaTheme="minorEastAsia"/>
          <w:lang w:eastAsia="ko-KR"/>
        </w:rPr>
        <w:t xml:space="preserve">to maximize social time and conversations. Equivalently, individuals who are introverted may prefer to partake </w:t>
      </w:r>
      <w:r w:rsidR="001F57F8" w:rsidRPr="002E55DE">
        <w:rPr>
          <w:rFonts w:eastAsiaTheme="minorEastAsia"/>
          <w:lang w:eastAsia="ko-KR"/>
        </w:rPr>
        <w:t xml:space="preserve">alone </w:t>
      </w:r>
      <w:r w:rsidR="00FE3C13" w:rsidRPr="002E55DE">
        <w:rPr>
          <w:rFonts w:eastAsiaTheme="minorEastAsia"/>
          <w:lang w:eastAsia="ko-KR"/>
        </w:rPr>
        <w:t>in walking as a means of refreshment and solitude</w:t>
      </w:r>
      <w:r w:rsidR="00512086" w:rsidRPr="002E55DE">
        <w:rPr>
          <w:rFonts w:eastAsiaTheme="minorEastAsia"/>
          <w:lang w:eastAsia="ko-KR"/>
        </w:rPr>
        <w:t xml:space="preserve"> (and an escape from </w:t>
      </w:r>
      <w:r w:rsidR="001F57F8" w:rsidRPr="002E55DE">
        <w:rPr>
          <w:rFonts w:eastAsiaTheme="minorEastAsia"/>
          <w:lang w:eastAsia="ko-KR"/>
        </w:rPr>
        <w:t xml:space="preserve">what they may view as banal </w:t>
      </w:r>
      <w:r w:rsidR="00512086" w:rsidRPr="002E55DE">
        <w:rPr>
          <w:rFonts w:eastAsiaTheme="minorEastAsia"/>
          <w:lang w:eastAsia="ko-KR"/>
        </w:rPr>
        <w:t>social chatter</w:t>
      </w:r>
      <w:r w:rsidR="001F57F8" w:rsidRPr="002E55DE">
        <w:rPr>
          <w:rFonts w:eastAsiaTheme="minorEastAsia"/>
          <w:lang w:eastAsia="ko-KR"/>
        </w:rPr>
        <w:t xml:space="preserve">; </w:t>
      </w:r>
      <w:r w:rsidR="00FE3C13" w:rsidRPr="002E55DE">
        <w:rPr>
          <w:rFonts w:eastAsiaTheme="minorEastAsia"/>
          <w:lang w:eastAsia="ko-KR"/>
        </w:rPr>
        <w:t>see</w:t>
      </w:r>
      <w:r w:rsidR="003B3F4D"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{"citationID":"9w5sSi1F","properties":{"formattedCitation":"(Veitch et al., 2020)","plainCitation":"(Veitch et al., 2020)","dontUpdate":true,"noteIndex":0},"citationItems":[{"id":"4nY7bDZH/vze1I6as","uris":["http://zotero.org/users/10132210/items/68XZ2CKK"],"itemData":{"id":1114,"type":"article-journal","abstract":"The proportion of older adults in the population is increasing and ageing is associated with poorer physical, mental and social health. Hence, there is increasing need for community facilities that are appealing and suitable to older adults and promote good health and well-being. Visiting parks has been shown to facilitate a multitude of physical, psychological, and social health beneﬁts; however, the frequency of park visitation by older adults is low. A better understanding of the needs and preferences of park features among older adults will help park designers to create parks that encourage their visitation. The aim of this qualitative walk-along study was to explore park features that inﬂuence park visitation, park-based physical activity and social interaction among older adults (65+ years). Participants (n = 30, mean age = 74.9 years [sd 5.4)], 50 % female) were interviewed by a researcher while walking in one of eight diverse parks located in varying socio-economic status areas of metropolitan Melbourne, Australia. All interviews were transcribed verbatim and analysed using NVivo 12 software. Participants primarily reported using parks for walking, sitting/relaxing, enjoying nature and socialising with others and walking was the preferred park-based activity. Park features highly valued for visitation included: a well-maintained, peaceful and attractive environment with established trees, gardens and birdlife; seating; pleasant paths; toilets; cafés; water features; shade/shelter; facilities for grandchildren; and the presence of other people. Features most valued for physical activity included walking paths, organised activities, and ﬁtness equipment. Features most valued for social interaction included picnic/barbecue facilities, organised events, a café and aesthetics. This evidence is important for policy and decision makers, urban planning, landscape architects, and local, state and national government organisations to ensure our parks are designed to support older adults to lead healthy and active lives.","container-title":"Urban Forestry &amp; Urban Greening","DOI":"10.1016/j.ufug.2020.126768","ISSN":"16188667","journalAbbreviation":"Urban Forestry &amp; Urban Greening","language":"en","page":"126768","source":"DOI.org (Crossref)","title":"Designing parks for older adults: A qualitative study using walk-along interviews","title-short":"Designing parks for older adults","volume":"54","author":[{"family":"Veitch","given":"Jenny"},{"family":"Flowers","given":"Elliott"},{"family":"Ball","given":"Kylie"},{"family":"Deforche","given":"Benedicte"},{"family":"Timperio","given":"Anna"}],"issued":{"date-parts":[["2020",10]]}}}],"schema":"https://github.com/citation-style-language/schema/raw/master/csl-citation.json"} </w:instrText>
      </w:r>
      <w:r w:rsidR="003B3F4D" w:rsidRPr="002E55DE">
        <w:rPr>
          <w:rFonts w:eastAsiaTheme="minorEastAsia"/>
          <w:lang w:eastAsia="ko-KR"/>
        </w:rPr>
        <w:fldChar w:fldCharType="separate"/>
      </w:r>
      <w:r w:rsidR="00287DD8" w:rsidRPr="002E55DE">
        <w:rPr>
          <w:rFonts w:cs="Times"/>
        </w:rPr>
        <w:t xml:space="preserve"> </w:t>
      </w:r>
      <w:r w:rsidR="003B3F4D" w:rsidRPr="002E55DE">
        <w:rPr>
          <w:rFonts w:cs="Times"/>
        </w:rPr>
        <w:t>Veitch et al., 2020)</w:t>
      </w:r>
      <w:r w:rsidR="003B3F4D" w:rsidRPr="002E55DE">
        <w:rPr>
          <w:rFonts w:eastAsiaTheme="minorEastAsia"/>
          <w:lang w:eastAsia="ko-KR"/>
        </w:rPr>
        <w:fldChar w:fldCharType="end"/>
      </w:r>
      <w:r w:rsidR="00FE3C13" w:rsidRPr="002E55DE">
        <w:rPr>
          <w:rFonts w:eastAsiaTheme="minorEastAsia"/>
          <w:lang w:eastAsia="ko-KR"/>
        </w:rPr>
        <w:t>. Further, if such unobserved negative correlations</w:t>
      </w:r>
      <w:r w:rsidR="00512086" w:rsidRPr="002E55DE">
        <w:rPr>
          <w:rFonts w:eastAsiaTheme="minorEastAsia"/>
          <w:lang w:eastAsia="ko-KR"/>
        </w:rPr>
        <w:t xml:space="preserve"> a</w:t>
      </w:r>
      <w:r w:rsidR="00FE3C13" w:rsidRPr="002E55DE">
        <w:rPr>
          <w:rFonts w:eastAsiaTheme="minorEastAsia"/>
          <w:lang w:eastAsia="ko-KR"/>
        </w:rPr>
        <w:t xml:space="preserve">re not considered, they would incorrectly manifest themselves </w:t>
      </w:r>
      <w:r w:rsidR="00512086" w:rsidRPr="002E55DE">
        <w:rPr>
          <w:rFonts w:eastAsiaTheme="minorEastAsia"/>
          <w:lang w:eastAsia="ko-KR"/>
        </w:rPr>
        <w:t>as</w:t>
      </w:r>
      <w:r w:rsidR="00FE3C13" w:rsidRPr="002E55DE">
        <w:rPr>
          <w:rFonts w:eastAsiaTheme="minorEastAsia"/>
          <w:lang w:eastAsia="ko-KR"/>
        </w:rPr>
        <w:t xml:space="preserve"> a </w:t>
      </w:r>
      <w:r w:rsidR="00C82D72" w:rsidRPr="002E55DE">
        <w:rPr>
          <w:rFonts w:eastAsiaTheme="minorEastAsia"/>
          <w:lang w:eastAsia="ko-KR"/>
        </w:rPr>
        <w:t>negative endogenous SC effect</w:t>
      </w:r>
      <w:r w:rsidR="00FE3C13" w:rsidRPr="002E55DE">
        <w:rPr>
          <w:rFonts w:eastAsiaTheme="minorEastAsia"/>
          <w:lang w:eastAsia="ko-KR"/>
        </w:rPr>
        <w:t xml:space="preserve"> on walk frequency and duration. That is, the “true” causal positive SC effect</w:t>
      </w:r>
      <w:r w:rsidR="005C1D19" w:rsidRPr="002E55DE">
        <w:rPr>
          <w:rFonts w:eastAsiaTheme="minorEastAsia"/>
          <w:lang w:eastAsia="ko-KR"/>
        </w:rPr>
        <w:t>s</w:t>
      </w:r>
      <w:r w:rsidR="00FE3C13" w:rsidRPr="002E55DE">
        <w:rPr>
          <w:rFonts w:eastAsiaTheme="minorEastAsia"/>
          <w:lang w:eastAsia="ko-KR"/>
        </w:rPr>
        <w:t xml:space="preserve"> on walking frequency and duration that we obtained, as </w:t>
      </w:r>
      <w:r w:rsidR="005C1D19" w:rsidRPr="002E55DE">
        <w:rPr>
          <w:rFonts w:eastAsiaTheme="minorEastAsia"/>
          <w:lang w:eastAsia="ko-KR"/>
        </w:rPr>
        <w:t>discussed earlier</w:t>
      </w:r>
      <w:r w:rsidR="00FE3C13" w:rsidRPr="002E55DE">
        <w:rPr>
          <w:rFonts w:eastAsiaTheme="minorEastAsia"/>
          <w:lang w:eastAsia="ko-KR"/>
        </w:rPr>
        <w:t>, would get underestimated</w:t>
      </w:r>
      <w:r w:rsidR="0048471F" w:rsidRPr="002E55DE">
        <w:rPr>
          <w:rFonts w:eastAsiaTheme="minorEastAsia"/>
          <w:lang w:eastAsia="ko-KR"/>
        </w:rPr>
        <w:t xml:space="preserve"> </w:t>
      </w:r>
      <w:r w:rsidR="00512086" w:rsidRPr="002E55DE">
        <w:rPr>
          <w:rFonts w:eastAsiaTheme="minorEastAsia"/>
          <w:lang w:eastAsia="ko-KR"/>
        </w:rPr>
        <w:t xml:space="preserve">or even be </w:t>
      </w:r>
      <w:r w:rsidR="0048471F" w:rsidRPr="002E55DE">
        <w:rPr>
          <w:rFonts w:eastAsiaTheme="minorEastAsia"/>
          <w:lang w:eastAsia="ko-KR"/>
        </w:rPr>
        <w:t xml:space="preserve">potentially </w:t>
      </w:r>
      <w:r w:rsidR="00512086" w:rsidRPr="002E55DE">
        <w:rPr>
          <w:rFonts w:eastAsiaTheme="minorEastAsia"/>
          <w:lang w:eastAsia="ko-KR"/>
        </w:rPr>
        <w:t>completely overturned</w:t>
      </w:r>
      <w:r w:rsidR="0048471F" w:rsidRPr="002E55DE">
        <w:rPr>
          <w:rFonts w:eastAsiaTheme="minorEastAsia"/>
          <w:lang w:eastAsia="ko-KR"/>
        </w:rPr>
        <w:t>. Similarly, our results show a strong positive correlation effect between the error terms for frequency and duration</w:t>
      </w:r>
      <w:r w:rsidR="00577190" w:rsidRPr="002E55DE">
        <w:rPr>
          <w:rFonts w:eastAsiaTheme="minorEastAsia"/>
          <w:lang w:eastAsia="ko-KR"/>
        </w:rPr>
        <w:t xml:space="preserve"> </w:t>
      </w:r>
      <w:r w:rsidR="00742170" w:rsidRPr="002E55DE">
        <w:rPr>
          <w:noProof/>
          <w:position w:val="-12"/>
        </w:rPr>
        <w:object w:dxaOrig="1240" w:dyaOrig="360" w14:anchorId="225FE31D">
          <v:shape id="_x0000_i1088" type="#_x0000_t75" style="width:61.6pt;height:18.45pt" o:ole="" o:preferrelative="f">
            <v:imagedata r:id="rId135" o:title=""/>
            <o:lock v:ext="edit" aspectratio="f"/>
          </v:shape>
          <o:OLEObject Type="Embed" ProgID="Equation.DSMT4" ShapeID="_x0000_i1088" DrawAspect="Content" ObjectID="_1818570653" r:id="rId136"/>
        </w:object>
      </w:r>
      <w:r w:rsidR="0048471F" w:rsidRPr="002E55DE">
        <w:rPr>
          <w:rFonts w:eastAsiaTheme="minorEastAsia"/>
          <w:lang w:eastAsia="ko-KR"/>
        </w:rPr>
        <w:t xml:space="preserve"> This suggests the presence of unobserved individual factors, such as an intrinsic active lifestyle preference, that elevates both walking frequency and duration simultaneously</w:t>
      </w:r>
      <w:r w:rsidR="000A36C6" w:rsidRPr="002E55DE">
        <w:rPr>
          <w:rFonts w:eastAsiaTheme="minorEastAsia"/>
          <w:lang w:eastAsia="ko-KR"/>
        </w:rPr>
        <w:t xml:space="preserve">; thus, “Outdoorsy” individuals will enjoy spending time often outdoors and also tend to walk for longer durations. </w:t>
      </w:r>
    </w:p>
    <w:p w14:paraId="14601D50" w14:textId="77777777" w:rsidR="00662E40" w:rsidRPr="002E55DE" w:rsidRDefault="00662E40" w:rsidP="00662E40">
      <w:pPr>
        <w:ind w:firstLine="720"/>
        <w:jc w:val="both"/>
        <w:rPr>
          <w:rFonts w:eastAsiaTheme="minorEastAsia"/>
          <w:lang w:eastAsia="ko-KR"/>
        </w:rPr>
      </w:pPr>
    </w:p>
    <w:p w14:paraId="4C66F52C" w14:textId="3AF12A45" w:rsidR="0027056D" w:rsidRPr="002E55DE" w:rsidRDefault="0027056D" w:rsidP="00662E40">
      <w:pPr>
        <w:pStyle w:val="Heading2"/>
        <w:spacing w:line="240" w:lineRule="auto"/>
        <w:ind w:hanging="540"/>
        <w:contextualSpacing w:val="0"/>
        <w:rPr>
          <w:lang w:eastAsia="ko-KR"/>
        </w:rPr>
      </w:pPr>
      <w:r w:rsidRPr="002E55DE">
        <w:rPr>
          <w:lang w:eastAsia="ko-KR"/>
        </w:rPr>
        <w:t>Goodness-of-</w:t>
      </w:r>
      <w:r w:rsidR="00596611" w:rsidRPr="002E55DE">
        <w:rPr>
          <w:lang w:eastAsia="ko-KR"/>
        </w:rPr>
        <w:t>F</w:t>
      </w:r>
      <w:r w:rsidRPr="002E55DE">
        <w:rPr>
          <w:lang w:eastAsia="ko-KR"/>
        </w:rPr>
        <w:t>it</w:t>
      </w:r>
      <w:r w:rsidR="00852965" w:rsidRPr="002E55DE">
        <w:rPr>
          <w:rFonts w:eastAsiaTheme="minorEastAsia" w:hint="eastAsia"/>
          <w:lang w:eastAsia="ko-KR"/>
        </w:rPr>
        <w:t xml:space="preserve"> Measures</w:t>
      </w:r>
    </w:p>
    <w:p w14:paraId="33BF52D2" w14:textId="4D0E66B2" w:rsidR="00577190" w:rsidRPr="002E55DE" w:rsidRDefault="0027056D" w:rsidP="00662E40">
      <w:pPr>
        <w:jc w:val="both"/>
      </w:pPr>
      <w:r w:rsidRPr="002E55DE">
        <w:t>W</w:t>
      </w:r>
      <w:r w:rsidR="00577190" w:rsidRPr="002E55DE">
        <w:t xml:space="preserve">e assess the performance of our proposed multivariate model, by conducting a comparative analysis against (i) an independent model that disregards correlations, and (ii) a </w:t>
      </w:r>
      <w:r w:rsidR="00C7113C" w:rsidRPr="002E55DE">
        <w:rPr>
          <w:rFonts w:eastAsiaTheme="minorEastAsia" w:hint="eastAsia"/>
          <w:lang w:eastAsia="ko-KR"/>
        </w:rPr>
        <w:t>constants</w:t>
      </w:r>
      <w:r w:rsidR="00577190" w:rsidRPr="002E55DE">
        <w:t>-only model</w:t>
      </w:r>
      <w:r w:rsidR="00C7113C" w:rsidRPr="002E55DE">
        <w:rPr>
          <w:rFonts w:eastAsiaTheme="minorEastAsia" w:hint="eastAsia"/>
          <w:lang w:eastAsia="ko-KR"/>
        </w:rPr>
        <w:t xml:space="preserve">, which has only thresholds for </w:t>
      </w:r>
      <w:r w:rsidR="00F5404E" w:rsidRPr="002E55DE">
        <w:rPr>
          <w:rFonts w:eastAsiaTheme="minorEastAsia" w:hint="eastAsia"/>
          <w:lang w:eastAsia="ko-KR"/>
        </w:rPr>
        <w:t>frequency and SC,</w:t>
      </w:r>
      <w:r w:rsidR="00050DDD" w:rsidRPr="002E55DE">
        <w:rPr>
          <w:rFonts w:eastAsiaTheme="minorEastAsia" w:hint="eastAsia"/>
          <w:lang w:eastAsia="ko-KR"/>
        </w:rPr>
        <w:t xml:space="preserve"> and</w:t>
      </w:r>
      <w:r w:rsidR="00C7113C" w:rsidRPr="002E55DE">
        <w:rPr>
          <w:rFonts w:eastAsiaTheme="minorEastAsia" w:hint="eastAsia"/>
          <w:lang w:eastAsia="ko-KR"/>
        </w:rPr>
        <w:t xml:space="preserve"> constant and </w:t>
      </w:r>
      <w:r w:rsidR="00050DDD" w:rsidRPr="002E55DE">
        <w:rPr>
          <w:rFonts w:eastAsiaTheme="minorEastAsia" w:hint="eastAsia"/>
          <w:lang w:eastAsia="ko-KR"/>
        </w:rPr>
        <w:t>variance</w:t>
      </w:r>
      <w:r w:rsidR="00F5404E" w:rsidRPr="002E55DE">
        <w:rPr>
          <w:rFonts w:eastAsiaTheme="minorEastAsia" w:hint="eastAsia"/>
          <w:lang w:eastAsia="ko-KR"/>
        </w:rPr>
        <w:t xml:space="preserve"> for duration</w:t>
      </w:r>
      <w:r w:rsidR="00577190" w:rsidRPr="002E55DE">
        <w:t xml:space="preserve">. Several metrics can be used for this comparison. The Bayesian Information Criterion statistic, defined as  </w:t>
      </w:r>
      <w:r w:rsidR="00742170" w:rsidRPr="002E55DE">
        <w:rPr>
          <w:noProof/>
          <w:position w:val="-18"/>
        </w:rPr>
        <w:object w:dxaOrig="6340" w:dyaOrig="480" w14:anchorId="62F9BD25">
          <v:shape id="_x0000_i1089" type="#_x0000_t75" style="width:315.95pt;height:23.2pt" o:ole="" o:preferrelative="f">
            <v:imagedata r:id="rId137" o:title=""/>
            <o:lock v:ext="edit" aspectratio="f"/>
          </v:shape>
          <o:OLEObject Type="Embed" ProgID="Equation.DSMT4" ShapeID="_x0000_i1089" DrawAspect="Content" ObjectID="_1818570654" r:id="rId138"/>
        </w:object>
      </w:r>
      <w:r w:rsidR="00577190" w:rsidRPr="002E55DE">
        <w:t xml:space="preserve"> where </w:t>
      </w:r>
      <w:r w:rsidR="00742170" w:rsidRPr="002E55DE">
        <w:rPr>
          <w:noProof/>
          <w:position w:val="-10"/>
        </w:rPr>
        <w:object w:dxaOrig="499" w:dyaOrig="380" w14:anchorId="21DA2E34">
          <v:shape id="_x0000_i1090" type="#_x0000_t75" style="width:25.1pt;height:19.4pt" o:ole="" o:preferrelative="f">
            <v:imagedata r:id="rId139" o:title=""/>
            <o:lock v:ext="edit" aspectratio="f"/>
          </v:shape>
          <o:OLEObject Type="Embed" ProgID="Equation.DSMT4" ShapeID="_x0000_i1090" DrawAspect="Content" ObjectID="_1818570655" r:id="rId140"/>
        </w:object>
      </w:r>
      <w:r w:rsidR="00577190" w:rsidRPr="002E55DE">
        <w:t xml:space="preserve"> is the log-likelihood value at convergence, indicates superior model performance for the joint model due to its lower BIC value compared to the independent </w:t>
      </w:r>
      <w:r w:rsidR="00596611" w:rsidRPr="002E55DE">
        <w:t xml:space="preserve">and thresholds-only </w:t>
      </w:r>
      <w:r w:rsidR="00577190" w:rsidRPr="002E55DE">
        <w:t>model</w:t>
      </w:r>
      <w:r w:rsidR="00596611" w:rsidRPr="002E55DE">
        <w:t>s</w:t>
      </w:r>
      <w:r w:rsidR="00577190" w:rsidRPr="002E55DE">
        <w:t xml:space="preserve">. </w:t>
      </w:r>
      <w:r w:rsidR="00577190" w:rsidRPr="002E55DE">
        <w:rPr>
          <w:shd w:val="clear" w:color="auto" w:fill="FFFFFF"/>
        </w:rPr>
        <w:t xml:space="preserve">Moreover, the higher values of the average probability of correct prediction and the adjusted likelihood ratio index </w:t>
      </w:r>
      <w:r w:rsidR="00742170" w:rsidRPr="002E55DE">
        <w:rPr>
          <w:noProof/>
          <w:position w:val="-10"/>
        </w:rPr>
        <w:object w:dxaOrig="320" w:dyaOrig="360" w14:anchorId="6E0055CC">
          <v:shape id="_x0000_i1091" type="#_x0000_t75" style="width:16.1pt;height:18.45pt" o:ole="" o:preferrelative="f">
            <v:imagedata r:id="rId141" o:title=""/>
            <o:lock v:ext="edit" aspectratio="f"/>
          </v:shape>
          <o:OLEObject Type="Embed" ProgID="Equation.DSMT4" ShapeID="_x0000_i1091" DrawAspect="Content" ObjectID="_1818570656" r:id="rId142"/>
        </w:object>
      </w:r>
      <w:r w:rsidR="00577190" w:rsidRPr="002E55DE">
        <w:t xml:space="preserve"> </w:t>
      </w:r>
      <w:r w:rsidR="00577190" w:rsidRPr="002E55DE">
        <w:rPr>
          <w:shd w:val="clear" w:color="auto" w:fill="FFFFFF"/>
        </w:rPr>
        <w:t xml:space="preserve"> for the joint model reflect its improved performance compared to the independent model.</w:t>
      </w:r>
      <w:r w:rsidR="00577190" w:rsidRPr="002E55DE">
        <w:t xml:space="preserve"> The </w:t>
      </w:r>
      <w:r w:rsidR="00742170" w:rsidRPr="002E55DE">
        <w:rPr>
          <w:noProof/>
          <w:position w:val="-10"/>
        </w:rPr>
        <w:object w:dxaOrig="320" w:dyaOrig="360" w14:anchorId="777920D3">
          <v:shape id="_x0000_i1092" type="#_x0000_t75" style="width:16.1pt;height:18.45pt" o:ole="" o:preferrelative="f">
            <v:imagedata r:id="rId143" o:title=""/>
            <o:lock v:ext="edit" aspectratio="f"/>
          </v:shape>
          <o:OLEObject Type="Embed" ProgID="Equation.DSMT4" ShapeID="_x0000_i1092" DrawAspect="Content" ObjectID="_1818570657" r:id="rId144"/>
        </w:object>
      </w:r>
      <w:r w:rsidR="00577190" w:rsidRPr="002E55DE">
        <w:t xml:space="preserve"> index is calculated as follows:</w:t>
      </w:r>
    </w:p>
    <w:p w14:paraId="4DD9239F" w14:textId="3C5E203A" w:rsidR="00577190" w:rsidRPr="002E55DE" w:rsidRDefault="00742170" w:rsidP="00662E40">
      <w:pPr>
        <w:spacing w:before="60" w:after="60"/>
        <w:jc w:val="both"/>
      </w:pPr>
      <w:r w:rsidRPr="002E55DE">
        <w:rPr>
          <w:noProof/>
          <w:position w:val="-28"/>
        </w:rPr>
        <w:object w:dxaOrig="1800" w:dyaOrig="720" w14:anchorId="7CED3962">
          <v:shape id="_x0000_i1093" type="#_x0000_t75" style="width:90.45pt;height:36pt" o:ole="" o:preferrelative="f">
            <v:imagedata r:id="rId145" o:title=""/>
            <o:lock v:ext="edit" aspectratio="f"/>
          </v:shape>
          <o:OLEObject Type="Embed" ProgID="Equation.DSMT4" ShapeID="_x0000_i1093" DrawAspect="Content" ObjectID="_1818570658" r:id="rId146"/>
        </w:object>
      </w:r>
      <w:r w:rsidR="00577190" w:rsidRPr="002E55DE">
        <w:tab/>
      </w:r>
      <w:r w:rsidR="00577190" w:rsidRPr="002E55DE">
        <w:tab/>
      </w:r>
      <w:r w:rsidR="00577190" w:rsidRPr="002E55DE">
        <w:tab/>
      </w:r>
      <w:r w:rsidR="00577190" w:rsidRPr="002E55DE">
        <w:tab/>
      </w:r>
      <w:r w:rsidR="00577190" w:rsidRPr="002E55DE">
        <w:tab/>
      </w:r>
      <w:r w:rsidR="00577190" w:rsidRPr="002E55DE">
        <w:tab/>
      </w:r>
      <w:r w:rsidR="00577190" w:rsidRPr="002E55DE">
        <w:tab/>
      </w:r>
      <w:r w:rsidR="00577190" w:rsidRPr="002E55DE">
        <w:tab/>
      </w:r>
      <w:r w:rsidR="00577190" w:rsidRPr="002E55DE">
        <w:tab/>
      </w:r>
      <w:r w:rsidR="00577190" w:rsidRPr="002E55DE">
        <w:tab/>
        <w:t xml:space="preserve">       (4)</w:t>
      </w:r>
    </w:p>
    <w:p w14:paraId="191D040E" w14:textId="7A8F1926" w:rsidR="00577190" w:rsidRPr="002E55DE" w:rsidRDefault="00577190" w:rsidP="00662E40">
      <w:pPr>
        <w:jc w:val="both"/>
      </w:pPr>
      <w:r w:rsidRPr="002E55DE">
        <w:t xml:space="preserve">In the above equation, </w:t>
      </w:r>
      <w:r w:rsidRPr="002E55DE">
        <w:rPr>
          <w:i/>
          <w:iCs/>
        </w:rPr>
        <w:t>L</w:t>
      </w:r>
      <w:r w:rsidRPr="002E55DE">
        <w:t xml:space="preserve">(c) represents the </w:t>
      </w:r>
      <w:r w:rsidR="0068736A" w:rsidRPr="002E55DE">
        <w:t>constants</w:t>
      </w:r>
      <w:r w:rsidRPr="002E55DE">
        <w:t xml:space="preserve">-only log-likelihood function at convergence and </w:t>
      </w:r>
      <w:r w:rsidRPr="002E55DE">
        <w:rPr>
          <w:i/>
          <w:iCs/>
        </w:rPr>
        <w:t>M</w:t>
      </w:r>
      <w:r w:rsidRPr="002E55DE">
        <w:t xml:space="preserve"> is the number of parameters estimated in the model (excluding the </w:t>
      </w:r>
      <w:r w:rsidR="0068736A" w:rsidRPr="002E55DE">
        <w:t xml:space="preserve">constants and </w:t>
      </w:r>
      <w:r w:rsidRPr="002E55DE">
        <w:t xml:space="preserve">thresholds). </w:t>
      </w:r>
      <w:r w:rsidR="0068736A" w:rsidRPr="002E55DE">
        <w:t>We are also able to statistically compare the data fit performance of our multivariate model with that of the independent model and the constants-only model using nested likelihood ratio tests. More intuitively, we compare the models using the average probability of correct prediction. The results, shown in Table 5,</w:t>
      </w:r>
      <w:r w:rsidR="00FD0357" w:rsidRPr="002E55DE">
        <w:t xml:space="preserve"> reveal </w:t>
      </w:r>
      <w:r w:rsidR="0068736A" w:rsidRPr="002E55DE">
        <w:t>that our proposed multivariate model outperforms the independent model on all the likelihood-based tests, as well as has a better average probability of correct prediction</w:t>
      </w:r>
      <w:r w:rsidR="00742170">
        <w:t>.</w:t>
      </w:r>
      <w:r w:rsidR="0068736A" w:rsidRPr="002E55DE">
        <w:rPr>
          <w:rStyle w:val="FootnoteReference"/>
        </w:rPr>
        <w:footnoteReference w:id="9"/>
      </w:r>
      <w:r w:rsidR="0068736A" w:rsidRPr="002E55DE">
        <w:t xml:space="preserve"> </w:t>
      </w:r>
      <w:r w:rsidR="005C1D19" w:rsidRPr="002E55DE">
        <w:t xml:space="preserve">Notably, the likelihood ratio test rejects the independent model at literally the 0.000001 level; that is, the probability that the superior performance of the multivariate model could have been a chance occurrence is almost zero. </w:t>
      </w:r>
    </w:p>
    <w:p w14:paraId="32DC5A9A" w14:textId="3066E04F" w:rsidR="00662E40" w:rsidRPr="002E55DE" w:rsidRDefault="00662E40" w:rsidP="00662E40">
      <w:pPr>
        <w:jc w:val="both"/>
      </w:pPr>
    </w:p>
    <w:p w14:paraId="75B80F69" w14:textId="77777777" w:rsidR="00662E40" w:rsidRPr="002E55DE" w:rsidRDefault="00662E40" w:rsidP="00662E40">
      <w:pPr>
        <w:jc w:val="both"/>
      </w:pPr>
    </w:p>
    <w:p w14:paraId="530BA8BB" w14:textId="77777777" w:rsidR="002C33F7" w:rsidRPr="002E55DE" w:rsidRDefault="002C33F7" w:rsidP="00662E40">
      <w:pPr>
        <w:jc w:val="both"/>
        <w:rPr>
          <w:rFonts w:eastAsiaTheme="minorEastAsia"/>
          <w:b/>
          <w:bCs/>
          <w:lang w:eastAsia="ko-KR"/>
        </w:rPr>
      </w:pPr>
      <w:r w:rsidRPr="002E55DE">
        <w:rPr>
          <w:rFonts w:eastAsiaTheme="minorEastAsia"/>
          <w:b/>
          <w:bCs/>
          <w:lang w:eastAsia="ko-KR"/>
        </w:rPr>
        <w:t xml:space="preserve">Table </w:t>
      </w:r>
      <w:r w:rsidRPr="002E55DE">
        <w:rPr>
          <w:rFonts w:eastAsiaTheme="minorEastAsia" w:hint="eastAsia"/>
          <w:b/>
          <w:bCs/>
          <w:lang w:eastAsia="ko-KR"/>
        </w:rPr>
        <w:t>5</w:t>
      </w:r>
      <w:r w:rsidRPr="002E55DE">
        <w:rPr>
          <w:rFonts w:eastAsiaTheme="minorEastAsia"/>
          <w:b/>
          <w:bCs/>
          <w:lang w:eastAsia="ko-KR"/>
        </w:rPr>
        <w:t xml:space="preserve">. </w:t>
      </w:r>
      <w:r w:rsidRPr="002E55DE">
        <w:rPr>
          <w:rFonts w:eastAsiaTheme="minorEastAsia" w:hint="eastAsia"/>
          <w:b/>
          <w:bCs/>
          <w:lang w:eastAsia="ko-KR"/>
        </w:rPr>
        <w:t>Data Fit Measures</w:t>
      </w:r>
    </w:p>
    <w:tbl>
      <w:tblPr>
        <w:tblStyle w:val="TableGrid"/>
        <w:tblW w:w="9362" w:type="dxa"/>
        <w:tblBorders>
          <w:top w:val="single" w:sz="12" w:space="0" w:color="auto"/>
          <w:left w:val="single" w:sz="12" w:space="0" w:color="auto"/>
          <w:bottom w:val="single" w:sz="12" w:space="0" w:color="auto"/>
          <w:right w:val="single" w:sz="12" w:space="0" w:color="auto"/>
        </w:tblBorders>
        <w:tblCellMar>
          <w:left w:w="43" w:type="dxa"/>
          <w:right w:w="43" w:type="dxa"/>
        </w:tblCellMar>
        <w:tblLook w:val="04A0" w:firstRow="1" w:lastRow="0" w:firstColumn="1" w:lastColumn="0" w:noHBand="0" w:noVBand="1"/>
      </w:tblPr>
      <w:tblGrid>
        <w:gridCol w:w="3945"/>
        <w:gridCol w:w="1523"/>
        <w:gridCol w:w="1897"/>
        <w:gridCol w:w="1997"/>
      </w:tblGrid>
      <w:tr w:rsidR="002E55DE" w:rsidRPr="002E55DE" w14:paraId="731475B8" w14:textId="77777777" w:rsidTr="00662E40">
        <w:tc>
          <w:tcPr>
            <w:tcW w:w="3945" w:type="dxa"/>
            <w:tcBorders>
              <w:top w:val="single" w:sz="12" w:space="0" w:color="auto"/>
              <w:bottom w:val="single" w:sz="12" w:space="0" w:color="auto"/>
              <w:right w:val="single" w:sz="12" w:space="0" w:color="auto"/>
            </w:tcBorders>
            <w:vAlign w:val="center"/>
          </w:tcPr>
          <w:p w14:paraId="0154E9A6" w14:textId="77777777" w:rsidR="002C33F7" w:rsidRPr="002E55DE" w:rsidRDefault="002C33F7" w:rsidP="00662E40">
            <w:pPr>
              <w:rPr>
                <w:rFonts w:eastAsiaTheme="minorEastAsia"/>
                <w:b/>
                <w:bCs/>
                <w:sz w:val="23"/>
                <w:szCs w:val="23"/>
                <w:lang w:eastAsia="ko-KR"/>
              </w:rPr>
            </w:pPr>
            <w:r w:rsidRPr="002E55DE">
              <w:rPr>
                <w:rFonts w:eastAsiaTheme="minorEastAsia" w:hint="eastAsia"/>
                <w:b/>
                <w:bCs/>
                <w:sz w:val="23"/>
                <w:szCs w:val="23"/>
                <w:lang w:eastAsia="ko-KR"/>
              </w:rPr>
              <w:t>Summary Statistics</w:t>
            </w:r>
          </w:p>
        </w:tc>
        <w:tc>
          <w:tcPr>
            <w:tcW w:w="1523" w:type="dxa"/>
            <w:tcBorders>
              <w:top w:val="single" w:sz="12" w:space="0" w:color="auto"/>
              <w:left w:val="single" w:sz="12" w:space="0" w:color="auto"/>
              <w:bottom w:val="single" w:sz="12" w:space="0" w:color="auto"/>
            </w:tcBorders>
            <w:vAlign w:val="center"/>
          </w:tcPr>
          <w:p w14:paraId="3194455F" w14:textId="77777777" w:rsidR="002C33F7" w:rsidRPr="002E55DE" w:rsidRDefault="002C33F7" w:rsidP="00662E40">
            <w:pPr>
              <w:jc w:val="center"/>
              <w:rPr>
                <w:rFonts w:eastAsiaTheme="minorEastAsia"/>
                <w:b/>
                <w:bCs/>
                <w:sz w:val="23"/>
                <w:szCs w:val="23"/>
                <w:lang w:eastAsia="ko-KR"/>
              </w:rPr>
            </w:pPr>
            <w:r w:rsidRPr="002E55DE">
              <w:rPr>
                <w:rFonts w:eastAsiaTheme="minorEastAsia" w:hint="eastAsia"/>
                <w:b/>
                <w:bCs/>
                <w:sz w:val="23"/>
                <w:szCs w:val="23"/>
                <w:lang w:eastAsia="ko-KR"/>
              </w:rPr>
              <w:t>Multivariate model</w:t>
            </w:r>
          </w:p>
        </w:tc>
        <w:tc>
          <w:tcPr>
            <w:tcW w:w="1897" w:type="dxa"/>
            <w:tcBorders>
              <w:top w:val="single" w:sz="12" w:space="0" w:color="auto"/>
              <w:bottom w:val="single" w:sz="12" w:space="0" w:color="auto"/>
            </w:tcBorders>
            <w:vAlign w:val="center"/>
          </w:tcPr>
          <w:p w14:paraId="20360C9B" w14:textId="77777777" w:rsidR="002C33F7" w:rsidRPr="002E55DE" w:rsidRDefault="002C33F7" w:rsidP="00662E40">
            <w:pPr>
              <w:jc w:val="center"/>
              <w:rPr>
                <w:rFonts w:eastAsiaTheme="minorEastAsia"/>
                <w:b/>
                <w:bCs/>
                <w:sz w:val="23"/>
                <w:szCs w:val="23"/>
                <w:lang w:eastAsia="ko-KR"/>
              </w:rPr>
            </w:pPr>
            <w:r w:rsidRPr="002E55DE">
              <w:rPr>
                <w:rFonts w:eastAsiaTheme="minorEastAsia" w:hint="eastAsia"/>
                <w:b/>
                <w:bCs/>
                <w:sz w:val="23"/>
                <w:szCs w:val="23"/>
                <w:lang w:eastAsia="ko-KR"/>
              </w:rPr>
              <w:t>Independent model</w:t>
            </w:r>
          </w:p>
        </w:tc>
        <w:tc>
          <w:tcPr>
            <w:tcW w:w="1997" w:type="dxa"/>
            <w:tcBorders>
              <w:top w:val="single" w:sz="12" w:space="0" w:color="auto"/>
              <w:bottom w:val="single" w:sz="12" w:space="0" w:color="auto"/>
            </w:tcBorders>
            <w:vAlign w:val="center"/>
          </w:tcPr>
          <w:p w14:paraId="548E5309" w14:textId="77777777" w:rsidR="002C33F7" w:rsidRPr="002E55DE" w:rsidRDefault="002C33F7" w:rsidP="00662E40">
            <w:pPr>
              <w:jc w:val="center"/>
              <w:rPr>
                <w:rFonts w:eastAsiaTheme="minorEastAsia"/>
                <w:b/>
                <w:bCs/>
                <w:sz w:val="23"/>
                <w:szCs w:val="23"/>
                <w:lang w:eastAsia="ko-KR"/>
              </w:rPr>
            </w:pPr>
            <w:r w:rsidRPr="002E55DE">
              <w:rPr>
                <w:rFonts w:eastAsiaTheme="minorEastAsia" w:hint="eastAsia"/>
                <w:b/>
                <w:bCs/>
                <w:sz w:val="23"/>
                <w:szCs w:val="23"/>
                <w:lang w:eastAsia="ko-KR"/>
              </w:rPr>
              <w:t>Constants-only model</w:t>
            </w:r>
          </w:p>
        </w:tc>
      </w:tr>
      <w:tr w:rsidR="002E55DE" w:rsidRPr="002E55DE" w14:paraId="56913E28" w14:textId="77777777" w:rsidTr="00662E40">
        <w:tc>
          <w:tcPr>
            <w:tcW w:w="3945" w:type="dxa"/>
            <w:tcBorders>
              <w:top w:val="single" w:sz="12" w:space="0" w:color="auto"/>
              <w:bottom w:val="single" w:sz="4" w:space="0" w:color="auto"/>
              <w:right w:val="single" w:sz="12" w:space="0" w:color="auto"/>
            </w:tcBorders>
            <w:vAlign w:val="center"/>
          </w:tcPr>
          <w:p w14:paraId="72F4F626" w14:textId="77777777" w:rsidR="002C33F7" w:rsidRPr="002E55DE" w:rsidRDefault="002C33F7" w:rsidP="00662E40">
            <w:pPr>
              <w:rPr>
                <w:rFonts w:eastAsiaTheme="minorEastAsia"/>
                <w:sz w:val="23"/>
                <w:szCs w:val="23"/>
                <w:lang w:eastAsia="ko-KR"/>
              </w:rPr>
            </w:pPr>
            <w:r w:rsidRPr="002E55DE">
              <w:rPr>
                <w:rFonts w:eastAsiaTheme="minorEastAsia" w:hint="eastAsia"/>
                <w:sz w:val="23"/>
                <w:szCs w:val="23"/>
                <w:lang w:eastAsia="ko-KR"/>
              </w:rPr>
              <w:t>Log-likelihood at convergence</w:t>
            </w:r>
          </w:p>
        </w:tc>
        <w:tc>
          <w:tcPr>
            <w:tcW w:w="1523" w:type="dxa"/>
            <w:tcBorders>
              <w:top w:val="single" w:sz="12" w:space="0" w:color="auto"/>
              <w:left w:val="single" w:sz="12" w:space="0" w:color="auto"/>
            </w:tcBorders>
            <w:vAlign w:val="center"/>
          </w:tcPr>
          <w:p w14:paraId="3A93F5A2"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-6219.08</w:t>
            </w:r>
          </w:p>
        </w:tc>
        <w:tc>
          <w:tcPr>
            <w:tcW w:w="1897" w:type="dxa"/>
            <w:tcBorders>
              <w:top w:val="single" w:sz="12" w:space="0" w:color="auto"/>
            </w:tcBorders>
            <w:vAlign w:val="center"/>
          </w:tcPr>
          <w:p w14:paraId="59431BFF"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-6400.17</w:t>
            </w:r>
          </w:p>
        </w:tc>
        <w:tc>
          <w:tcPr>
            <w:tcW w:w="1997" w:type="dxa"/>
            <w:tcBorders>
              <w:top w:val="single" w:sz="12" w:space="0" w:color="auto"/>
            </w:tcBorders>
            <w:vAlign w:val="center"/>
          </w:tcPr>
          <w:p w14:paraId="7E95DECC"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-6879.38</w:t>
            </w:r>
          </w:p>
        </w:tc>
      </w:tr>
      <w:tr w:rsidR="002E55DE" w:rsidRPr="002E55DE" w14:paraId="53511123" w14:textId="77777777" w:rsidTr="00662E40">
        <w:tc>
          <w:tcPr>
            <w:tcW w:w="3945" w:type="dxa"/>
            <w:tcBorders>
              <w:top w:val="single" w:sz="4" w:space="0" w:color="auto"/>
              <w:bottom w:val="single" w:sz="4" w:space="0" w:color="auto"/>
              <w:right w:val="single" w:sz="12" w:space="0" w:color="auto"/>
            </w:tcBorders>
            <w:vAlign w:val="center"/>
          </w:tcPr>
          <w:p w14:paraId="1D0A5CB9" w14:textId="77777777" w:rsidR="002C33F7" w:rsidRPr="002E55DE" w:rsidRDefault="002C33F7" w:rsidP="00662E40">
            <w:pPr>
              <w:rPr>
                <w:rFonts w:eastAsiaTheme="minorEastAsia"/>
                <w:sz w:val="23"/>
                <w:szCs w:val="23"/>
                <w:lang w:eastAsia="ko-KR"/>
              </w:rPr>
            </w:pPr>
            <w:r w:rsidRPr="002E55DE">
              <w:rPr>
                <w:rFonts w:eastAsiaTheme="minorEastAsia" w:hint="eastAsia"/>
                <w:sz w:val="23"/>
                <w:szCs w:val="23"/>
                <w:lang w:eastAsia="ko-KR"/>
              </w:rPr>
              <w:t>Number of parameters</w:t>
            </w:r>
          </w:p>
        </w:tc>
        <w:tc>
          <w:tcPr>
            <w:tcW w:w="1523" w:type="dxa"/>
            <w:tcBorders>
              <w:left w:val="single" w:sz="12" w:space="0" w:color="auto"/>
            </w:tcBorders>
            <w:vAlign w:val="center"/>
          </w:tcPr>
          <w:p w14:paraId="3193F708"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30</w:t>
            </w:r>
          </w:p>
        </w:tc>
        <w:tc>
          <w:tcPr>
            <w:tcW w:w="1897" w:type="dxa"/>
            <w:vAlign w:val="center"/>
          </w:tcPr>
          <w:p w14:paraId="1478AEDF"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27</w:t>
            </w:r>
          </w:p>
        </w:tc>
        <w:tc>
          <w:tcPr>
            <w:tcW w:w="1997" w:type="dxa"/>
            <w:vAlign w:val="center"/>
          </w:tcPr>
          <w:p w14:paraId="74D966FE"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10</w:t>
            </w:r>
          </w:p>
        </w:tc>
      </w:tr>
      <w:tr w:rsidR="002E55DE" w:rsidRPr="002E55DE" w14:paraId="724915F8" w14:textId="77777777" w:rsidTr="00662E40">
        <w:tc>
          <w:tcPr>
            <w:tcW w:w="3945" w:type="dxa"/>
            <w:tcBorders>
              <w:top w:val="single" w:sz="4" w:space="0" w:color="auto"/>
              <w:bottom w:val="single" w:sz="4" w:space="0" w:color="auto"/>
              <w:right w:val="single" w:sz="12" w:space="0" w:color="auto"/>
            </w:tcBorders>
            <w:vAlign w:val="center"/>
          </w:tcPr>
          <w:p w14:paraId="680B5716" w14:textId="77777777" w:rsidR="002C33F7" w:rsidRPr="002E55DE" w:rsidRDefault="002C33F7" w:rsidP="00662E40">
            <w:pPr>
              <w:rPr>
                <w:rFonts w:eastAsiaTheme="minorEastAsia"/>
                <w:sz w:val="23"/>
                <w:szCs w:val="23"/>
                <w:lang w:eastAsia="ko-KR"/>
              </w:rPr>
            </w:pPr>
            <w:r w:rsidRPr="002E55DE">
              <w:rPr>
                <w:rFonts w:eastAsiaTheme="minorEastAsia" w:hint="eastAsia"/>
                <w:sz w:val="23"/>
                <w:szCs w:val="23"/>
                <w:lang w:eastAsia="ko-KR"/>
              </w:rPr>
              <w:t>Bayesian Information Criterion (BIC)</w:t>
            </w:r>
          </w:p>
        </w:tc>
        <w:tc>
          <w:tcPr>
            <w:tcW w:w="1523" w:type="dxa"/>
            <w:tcBorders>
              <w:left w:val="single" w:sz="12" w:space="0" w:color="auto"/>
            </w:tcBorders>
            <w:vAlign w:val="center"/>
          </w:tcPr>
          <w:p w14:paraId="1618CC00"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6267.41</w:t>
            </w:r>
          </w:p>
        </w:tc>
        <w:tc>
          <w:tcPr>
            <w:tcW w:w="1897" w:type="dxa"/>
            <w:vAlign w:val="center"/>
          </w:tcPr>
          <w:p w14:paraId="5056C9C8"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6443.67</w:t>
            </w:r>
          </w:p>
        </w:tc>
        <w:tc>
          <w:tcPr>
            <w:tcW w:w="1997" w:type="dxa"/>
            <w:vAlign w:val="center"/>
          </w:tcPr>
          <w:p w14:paraId="2C87D6D3"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6895.49</w:t>
            </w:r>
          </w:p>
        </w:tc>
      </w:tr>
      <w:tr w:rsidR="002E55DE" w:rsidRPr="002E55DE" w14:paraId="0F038C97" w14:textId="77777777" w:rsidTr="00662E40">
        <w:tc>
          <w:tcPr>
            <w:tcW w:w="3945" w:type="dxa"/>
            <w:tcBorders>
              <w:top w:val="single" w:sz="4" w:space="0" w:color="auto"/>
              <w:bottom w:val="single" w:sz="4" w:space="0" w:color="auto"/>
              <w:right w:val="single" w:sz="12" w:space="0" w:color="auto"/>
            </w:tcBorders>
            <w:vAlign w:val="center"/>
          </w:tcPr>
          <w:p w14:paraId="62DA0775" w14:textId="19B6024D" w:rsidR="002C33F7" w:rsidRPr="002E55DE" w:rsidRDefault="002C33F7" w:rsidP="00662E40">
            <w:pPr>
              <w:rPr>
                <w:rFonts w:eastAsiaTheme="minorEastAsia"/>
                <w:sz w:val="23"/>
                <w:szCs w:val="23"/>
                <w:lang w:eastAsia="ko-KR"/>
              </w:rPr>
            </w:pPr>
            <w:r w:rsidRPr="002E55DE">
              <w:rPr>
                <w:rFonts w:eastAsiaTheme="minorEastAsia" w:hint="eastAsia"/>
                <w:sz w:val="23"/>
                <w:szCs w:val="23"/>
                <w:lang w:eastAsia="ko-KR"/>
              </w:rPr>
              <w:t>Adjusted likelihood ratio index (</w:t>
            </w:r>
            <w:r w:rsidR="00742170" w:rsidRPr="002E55DE">
              <w:rPr>
                <w:noProof/>
                <w:position w:val="-10"/>
              </w:rPr>
              <w:object w:dxaOrig="320" w:dyaOrig="360" w14:anchorId="2DBBD3B8">
                <v:shape id="_x0000_i1094" type="#_x0000_t75" style="width:16.1pt;height:18.45pt" o:ole="" o:preferrelative="f">
                  <v:imagedata r:id="rId141" o:title=""/>
                  <o:lock v:ext="edit" aspectratio="f"/>
                </v:shape>
                <o:OLEObject Type="Embed" ProgID="Equation.DSMT4" ShapeID="_x0000_i1094" DrawAspect="Content" ObjectID="_1818570659" r:id="rId147"/>
              </w:object>
            </w:r>
            <w:r w:rsidRPr="002E55DE">
              <w:rPr>
                <w:rFonts w:eastAsiaTheme="minorEastAsia" w:hint="eastAsia"/>
                <w:sz w:val="23"/>
                <w:szCs w:val="23"/>
                <w:lang w:eastAsia="ko-KR"/>
              </w:rPr>
              <w:t>)</w:t>
            </w:r>
          </w:p>
        </w:tc>
        <w:tc>
          <w:tcPr>
            <w:tcW w:w="1523" w:type="dxa"/>
            <w:tcBorders>
              <w:left w:val="single" w:sz="12" w:space="0" w:color="auto"/>
            </w:tcBorders>
            <w:vAlign w:val="center"/>
          </w:tcPr>
          <w:p w14:paraId="615D0A43"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0.093</w:t>
            </w:r>
          </w:p>
        </w:tc>
        <w:tc>
          <w:tcPr>
            <w:tcW w:w="1897" w:type="dxa"/>
            <w:vAlign w:val="center"/>
          </w:tcPr>
          <w:p w14:paraId="495FA8B8"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0.067</w:t>
            </w:r>
          </w:p>
        </w:tc>
        <w:tc>
          <w:tcPr>
            <w:tcW w:w="1997" w:type="dxa"/>
            <w:vAlign w:val="center"/>
          </w:tcPr>
          <w:p w14:paraId="75D888C3" w14:textId="77777777" w:rsidR="002C33F7" w:rsidRPr="002E55DE" w:rsidRDefault="002C33F7" w:rsidP="00662E40">
            <w:pPr>
              <w:jc w:val="center"/>
              <w:rPr>
                <w:rFonts w:eastAsiaTheme="minorEastAsia"/>
                <w:sz w:val="23"/>
                <w:szCs w:val="23"/>
                <w:lang w:eastAsia="ko-KR"/>
              </w:rPr>
            </w:pPr>
            <w:r w:rsidRPr="002E55DE">
              <w:rPr>
                <w:rFonts w:eastAsiaTheme="minorEastAsia" w:hint="eastAsia"/>
                <w:sz w:val="23"/>
                <w:szCs w:val="23"/>
                <w:lang w:eastAsia="ko-KR"/>
              </w:rPr>
              <w:t>--</w:t>
            </w:r>
          </w:p>
        </w:tc>
      </w:tr>
      <w:tr w:rsidR="002E55DE" w:rsidRPr="002E55DE" w14:paraId="1A6C4740" w14:textId="77777777" w:rsidTr="00662E40">
        <w:tc>
          <w:tcPr>
            <w:tcW w:w="3945" w:type="dxa"/>
            <w:tcBorders>
              <w:top w:val="single" w:sz="4" w:space="0" w:color="auto"/>
              <w:bottom w:val="single" w:sz="4" w:space="0" w:color="auto"/>
              <w:right w:val="single" w:sz="12" w:space="0" w:color="auto"/>
            </w:tcBorders>
            <w:vAlign w:val="center"/>
          </w:tcPr>
          <w:p w14:paraId="24C6ED88" w14:textId="09AA7A21" w:rsidR="009611BE" w:rsidRPr="002E55DE" w:rsidRDefault="009611BE" w:rsidP="00662E40">
            <w:pPr>
              <w:rPr>
                <w:rFonts w:eastAsiaTheme="minorEastAsia"/>
                <w:sz w:val="23"/>
                <w:szCs w:val="23"/>
                <w:lang w:eastAsia="ko-KR"/>
              </w:rPr>
            </w:pPr>
            <w:r w:rsidRPr="002E55DE">
              <w:rPr>
                <w:rFonts w:eastAsiaTheme="minorEastAsia" w:hint="eastAsia"/>
                <w:sz w:val="23"/>
                <w:szCs w:val="23"/>
                <w:lang w:eastAsia="ko-KR"/>
              </w:rPr>
              <w:t>Likelihood ratio test versus multivariate model</w:t>
            </w:r>
          </w:p>
        </w:tc>
        <w:tc>
          <w:tcPr>
            <w:tcW w:w="1523" w:type="dxa"/>
            <w:tcBorders>
              <w:left w:val="single" w:sz="12" w:space="0" w:color="auto"/>
            </w:tcBorders>
            <w:vAlign w:val="center"/>
          </w:tcPr>
          <w:p w14:paraId="7E933034" w14:textId="57BB8B55" w:rsidR="009611BE" w:rsidRPr="002E55DE" w:rsidRDefault="009611BE" w:rsidP="00662E40">
            <w:pPr>
              <w:jc w:val="center"/>
              <w:rPr>
                <w:rFonts w:eastAsiaTheme="minorEastAsia"/>
                <w:sz w:val="23"/>
                <w:szCs w:val="23"/>
                <w:lang w:eastAsia="ko-KR"/>
              </w:rPr>
            </w:pPr>
            <w:r w:rsidRPr="002E55DE">
              <w:rPr>
                <w:rFonts w:eastAsiaTheme="minorEastAsia" w:hint="eastAsia"/>
                <w:sz w:val="23"/>
                <w:szCs w:val="23"/>
                <w:lang w:eastAsia="ko-KR"/>
              </w:rPr>
              <w:t>--</w:t>
            </w:r>
          </w:p>
        </w:tc>
        <w:tc>
          <w:tcPr>
            <w:tcW w:w="1897" w:type="dxa"/>
            <w:vAlign w:val="center"/>
          </w:tcPr>
          <w:p w14:paraId="39A6E07D" w14:textId="77777777" w:rsidR="009611BE" w:rsidRPr="002E55DE" w:rsidRDefault="009611BE" w:rsidP="00662E40">
            <w:pPr>
              <w:jc w:val="center"/>
              <w:rPr>
                <w:rFonts w:eastAsiaTheme="minorEastAsia"/>
                <w:sz w:val="23"/>
                <w:szCs w:val="23"/>
                <w:lang w:eastAsia="ko-KR"/>
              </w:rPr>
            </w:pPr>
            <w:r w:rsidRPr="002E55DE">
              <w:rPr>
                <w:rFonts w:eastAsiaTheme="minorEastAsia" w:hint="eastAsia"/>
                <w:sz w:val="23"/>
                <w:szCs w:val="23"/>
                <w:lang w:eastAsia="ko-KR"/>
              </w:rPr>
              <w:t>LR=362.18&gt;&gt;</w:t>
            </w:r>
          </w:p>
          <w:p w14:paraId="6FAD24C3" w14:textId="6A51032F" w:rsidR="009611BE" w:rsidRPr="002E55DE" w:rsidRDefault="003B54F0" w:rsidP="00662E40">
            <w:pPr>
              <w:jc w:val="center"/>
              <w:rPr>
                <w:rFonts w:eastAsiaTheme="minorEastAsia"/>
                <w:sz w:val="23"/>
                <w:szCs w:val="23"/>
                <w:lang w:eastAsia="ko-KR"/>
              </w:rPr>
            </w:pPr>
            <w:r w:rsidRPr="002E55DE">
              <w:rPr>
                <w:noProof/>
                <w:position w:val="-14"/>
                <w:sz w:val="23"/>
                <w:szCs w:val="23"/>
              </w:rPr>
              <w:drawing>
                <wp:inline distT="0" distB="0" distL="0" distR="0" wp14:anchorId="7A2638FE" wp14:editId="76F5F29E">
                  <wp:extent cx="726303" cy="201827"/>
                  <wp:effectExtent l="0" t="0" r="0" b="0"/>
                  <wp:docPr id="1" name="Picture 1" descr="{&quot;mathml&quot;:&quot;&lt;math style=\&quot;font-family:stix;font-size:16px;\&quot; xmlns=\&quot;http://www.w3.org/1998/Math/MathML\&quot;&gt;&lt;mstyle mathsize=\&quot;16px\&quot;&gt;&lt;msubsup&gt;&lt;mi&gt;&amp;#x3C7;&lt;/mi&gt;&lt;mfenced&gt;&lt;mrow&gt;&lt;mn&gt;3&lt;/mn&gt;&lt;mo&gt;,&lt;/mo&gt;&lt;mn&gt;0&lt;/mn&gt;&lt;mo&gt;.&lt;/mo&gt;&lt;mn&gt;000001&lt;/mn&gt;&lt;/mrow&gt;&lt;/mfenced&gt;&lt;mn&gt;2&lt;/mn&gt;&lt;/msubsup&gt;&lt;/mstyle&gt;&lt;/math&gt;&quot;,&quot;origin&quot;:&quot;MathType for Microsoft Add-in&quot;}" title="chi subscript open parentheses 3 comma 0.000001 close parentheses end subscript superscrip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subsup&gt;&lt;mi&gt;&amp;#x3C7;&lt;/mi&gt;&lt;mfenced&gt;&lt;mrow&gt;&lt;mn&gt;3&lt;/mn&gt;&lt;mo&gt;,&lt;/mo&gt;&lt;mn&gt;0&lt;/mn&gt;&lt;mo&gt;.&lt;/mo&gt;&lt;mn&gt;000001&lt;/mn&gt;&lt;/mrow&gt;&lt;/mfenced&gt;&lt;mn&gt;2&lt;/mn&gt;&lt;/msubsup&gt;&lt;/mstyle&gt;&lt;/math&gt;&quot;,&quot;origin&quot;:&quot;MathType for Microsoft Add-in&quot;}" title="chi subscript open parentheses 3 comma 0.000001 close parentheses end subscript superscript 2"/>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726303" cy="201827"/>
                          </a:xfrm>
                          <a:prstGeom prst="rect">
                            <a:avLst/>
                          </a:prstGeom>
                        </pic:spPr>
                      </pic:pic>
                    </a:graphicData>
                  </a:graphic>
                </wp:inline>
              </w:drawing>
            </w:r>
            <w:r w:rsidR="009660F0" w:rsidRPr="002E55DE">
              <w:rPr>
                <w:rFonts w:eastAsiaTheme="minorEastAsia" w:hint="eastAsia"/>
                <w:sz w:val="23"/>
                <w:szCs w:val="23"/>
                <w:lang w:eastAsia="ko-KR"/>
              </w:rPr>
              <w:t>=</w:t>
            </w:r>
            <w:r w:rsidR="00FF01DA" w:rsidRPr="002E55DE">
              <w:rPr>
                <w:rFonts w:eastAsiaTheme="minorEastAsia" w:hint="eastAsia"/>
                <w:sz w:val="23"/>
                <w:szCs w:val="23"/>
                <w:lang w:eastAsia="ko-KR"/>
              </w:rPr>
              <w:t>30.6</w:t>
            </w:r>
            <w:r w:rsidR="00262A27" w:rsidRPr="002E55DE">
              <w:rPr>
                <w:rFonts w:eastAsiaTheme="minorEastAsia" w:hint="eastAsia"/>
                <w:sz w:val="23"/>
                <w:szCs w:val="23"/>
                <w:lang w:eastAsia="ko-KR"/>
              </w:rPr>
              <w:t>6</w:t>
            </w:r>
          </w:p>
        </w:tc>
        <w:tc>
          <w:tcPr>
            <w:tcW w:w="1997" w:type="dxa"/>
            <w:vAlign w:val="center"/>
          </w:tcPr>
          <w:p w14:paraId="24217CEE" w14:textId="3C0EBF8A" w:rsidR="009660F0" w:rsidRPr="002E55DE" w:rsidRDefault="009660F0" w:rsidP="00662E40">
            <w:pPr>
              <w:jc w:val="center"/>
              <w:rPr>
                <w:rFonts w:eastAsiaTheme="minorEastAsia"/>
                <w:sz w:val="23"/>
                <w:szCs w:val="23"/>
                <w:lang w:eastAsia="ko-KR"/>
              </w:rPr>
            </w:pPr>
            <w:r w:rsidRPr="002E55DE">
              <w:rPr>
                <w:rFonts w:eastAsiaTheme="minorEastAsia" w:hint="eastAsia"/>
                <w:sz w:val="23"/>
                <w:szCs w:val="23"/>
                <w:lang w:eastAsia="ko-KR"/>
              </w:rPr>
              <w:t>LR=1320.60&gt;&gt;</w:t>
            </w:r>
          </w:p>
          <w:p w14:paraId="60684001" w14:textId="6DE3CB82" w:rsidR="009611BE" w:rsidRPr="002E55DE" w:rsidRDefault="00D2230E" w:rsidP="00662E40">
            <w:pPr>
              <w:jc w:val="center"/>
              <w:rPr>
                <w:rFonts w:eastAsiaTheme="minorEastAsia"/>
                <w:sz w:val="23"/>
                <w:szCs w:val="23"/>
                <w:lang w:eastAsia="ko-KR"/>
              </w:rPr>
            </w:pPr>
            <w:r w:rsidRPr="002E55DE">
              <w:rPr>
                <w:noProof/>
                <w:position w:val="-14"/>
                <w:sz w:val="23"/>
                <w:szCs w:val="23"/>
              </w:rPr>
              <w:drawing>
                <wp:inline distT="0" distB="0" distL="0" distR="0" wp14:anchorId="4D39304D" wp14:editId="23B89B9D">
                  <wp:extent cx="778476" cy="201827"/>
                  <wp:effectExtent l="0" t="0" r="0" b="0"/>
                  <wp:docPr id="337721572" name="Picture 337721572" descr="{&quot;mathml&quot;:&quot;&lt;math style=\&quot;font-family:stix;font-size:16px;\&quot; xmlns=\&quot;http://www.w3.org/1998/Math/MathML\&quot;&gt;&lt;mstyle mathsize=\&quot;16px\&quot;&gt;&lt;msubsup&gt;&lt;mi&gt;&amp;#x3C7;&lt;/mi&gt;&lt;mfenced&gt;&lt;mrow&gt;&lt;mn&gt;20&lt;/mn&gt;&lt;mo&gt;,&lt;/mo&gt;&lt;mn&gt;0&lt;/mn&gt;&lt;mo&gt;.&lt;/mo&gt;&lt;mn&gt;000001&lt;/mn&gt;&lt;/mrow&gt;&lt;/mfenced&gt;&lt;mn&gt;2&lt;/mn&gt;&lt;/msubsup&gt;&lt;/mstyle&gt;&lt;/math&gt;&quot;,&quot;origin&quot;:&quot;MathType for Microsoft Add-in&quot;}" title="chi subscript open parentheses 20 comma 0.000001 close parentheses end subscript superscrip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subsup&gt;&lt;mi&gt;&amp;#x3C7;&lt;/mi&gt;&lt;mfenced&gt;&lt;mrow&gt;&lt;mn&gt;20&lt;/mn&gt;&lt;mo&gt;,&lt;/mo&gt;&lt;mn&gt;0&lt;/mn&gt;&lt;mo&gt;.&lt;/mo&gt;&lt;mn&gt;000001&lt;/mn&gt;&lt;/mrow&gt;&lt;/mfenced&gt;&lt;mn&gt;2&lt;/mn&gt;&lt;/msubsup&gt;&lt;/mstyle&gt;&lt;/math&gt;&quot;,&quot;origin&quot;:&quot;MathType for Microsoft Add-in&quot;}" title="chi subscript open parentheses 20 comma 0.000001 close parentheses end subscript superscript 2"/>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778476" cy="201827"/>
                          </a:xfrm>
                          <a:prstGeom prst="rect">
                            <a:avLst/>
                          </a:prstGeom>
                        </pic:spPr>
                      </pic:pic>
                    </a:graphicData>
                  </a:graphic>
                </wp:inline>
              </w:drawing>
            </w:r>
            <w:r w:rsidR="00262A27" w:rsidRPr="002E55DE">
              <w:rPr>
                <w:rFonts w:eastAsiaTheme="minorEastAsia" w:hint="eastAsia"/>
                <w:sz w:val="23"/>
                <w:szCs w:val="23"/>
                <w:lang w:eastAsia="ko-KR"/>
              </w:rPr>
              <w:t>=65.42</w:t>
            </w:r>
          </w:p>
        </w:tc>
      </w:tr>
      <w:tr w:rsidR="0068736A" w:rsidRPr="002E55DE" w14:paraId="0A9E8156" w14:textId="77777777" w:rsidTr="00662E40">
        <w:tc>
          <w:tcPr>
            <w:tcW w:w="3945" w:type="dxa"/>
            <w:tcBorders>
              <w:top w:val="single" w:sz="4" w:space="0" w:color="auto"/>
              <w:bottom w:val="single" w:sz="12" w:space="0" w:color="auto"/>
              <w:right w:val="single" w:sz="12" w:space="0" w:color="auto"/>
            </w:tcBorders>
            <w:vAlign w:val="center"/>
          </w:tcPr>
          <w:p w14:paraId="3DED7416" w14:textId="59A6AB8D" w:rsidR="0068736A" w:rsidRPr="002E55DE" w:rsidRDefault="0068736A" w:rsidP="00662E40">
            <w:pPr>
              <w:rPr>
                <w:rFonts w:eastAsiaTheme="minorEastAsia"/>
                <w:sz w:val="23"/>
                <w:szCs w:val="23"/>
                <w:lang w:eastAsia="ko-KR"/>
              </w:rPr>
            </w:pPr>
            <w:r w:rsidRPr="002E55DE">
              <w:rPr>
                <w:rFonts w:eastAsiaTheme="minorEastAsia" w:hint="eastAsia"/>
                <w:sz w:val="23"/>
                <w:szCs w:val="23"/>
                <w:lang w:eastAsia="ko-KR"/>
              </w:rPr>
              <w:t>Average probability of correct prediction</w:t>
            </w:r>
          </w:p>
        </w:tc>
        <w:tc>
          <w:tcPr>
            <w:tcW w:w="1523" w:type="dxa"/>
            <w:tcBorders>
              <w:left w:val="single" w:sz="12" w:space="0" w:color="auto"/>
            </w:tcBorders>
            <w:vAlign w:val="center"/>
          </w:tcPr>
          <w:p w14:paraId="598B4E7A" w14:textId="5A7F855F" w:rsidR="0068736A" w:rsidRPr="002E55DE" w:rsidRDefault="0068736A" w:rsidP="00662E40">
            <w:pPr>
              <w:jc w:val="center"/>
              <w:rPr>
                <w:rFonts w:eastAsiaTheme="minorEastAsia"/>
                <w:sz w:val="23"/>
                <w:szCs w:val="23"/>
                <w:lang w:eastAsia="ko-KR"/>
              </w:rPr>
            </w:pPr>
            <w:r w:rsidRPr="002E55DE">
              <w:rPr>
                <w:rFonts w:eastAsiaTheme="minorEastAsia" w:hint="eastAsia"/>
                <w:sz w:val="23"/>
                <w:szCs w:val="23"/>
                <w:lang w:eastAsia="ko-KR"/>
              </w:rPr>
              <w:t>0.024</w:t>
            </w:r>
          </w:p>
        </w:tc>
        <w:tc>
          <w:tcPr>
            <w:tcW w:w="1897" w:type="dxa"/>
            <w:vAlign w:val="center"/>
          </w:tcPr>
          <w:p w14:paraId="504E7A08" w14:textId="2143291D" w:rsidR="0068736A" w:rsidRPr="002E55DE" w:rsidRDefault="0068736A" w:rsidP="00662E40">
            <w:pPr>
              <w:jc w:val="center"/>
              <w:rPr>
                <w:rFonts w:eastAsiaTheme="minorEastAsia"/>
                <w:sz w:val="23"/>
                <w:szCs w:val="23"/>
                <w:lang w:eastAsia="ko-KR"/>
              </w:rPr>
            </w:pPr>
            <w:r w:rsidRPr="002E55DE">
              <w:rPr>
                <w:rFonts w:eastAsiaTheme="minorEastAsia" w:hint="eastAsia"/>
                <w:sz w:val="23"/>
                <w:szCs w:val="23"/>
                <w:lang w:eastAsia="ko-KR"/>
              </w:rPr>
              <w:t>0.022</w:t>
            </w:r>
          </w:p>
        </w:tc>
        <w:tc>
          <w:tcPr>
            <w:tcW w:w="1997" w:type="dxa"/>
            <w:vAlign w:val="center"/>
          </w:tcPr>
          <w:p w14:paraId="6DAC6B55" w14:textId="003CD2E8" w:rsidR="0068736A" w:rsidRPr="002E55DE" w:rsidRDefault="0068736A" w:rsidP="00662E40">
            <w:pPr>
              <w:jc w:val="center"/>
              <w:rPr>
                <w:rFonts w:eastAsiaTheme="minorEastAsia"/>
                <w:sz w:val="23"/>
                <w:szCs w:val="23"/>
                <w:lang w:eastAsia="ko-KR"/>
              </w:rPr>
            </w:pPr>
            <w:r w:rsidRPr="002E55DE">
              <w:rPr>
                <w:rFonts w:eastAsiaTheme="minorEastAsia" w:hint="eastAsia"/>
                <w:sz w:val="23"/>
                <w:szCs w:val="23"/>
                <w:lang w:eastAsia="ko-KR"/>
              </w:rPr>
              <w:t>0.016</w:t>
            </w:r>
          </w:p>
        </w:tc>
      </w:tr>
    </w:tbl>
    <w:p w14:paraId="0687D597" w14:textId="77777777" w:rsidR="00596611" w:rsidRPr="002E55DE" w:rsidRDefault="00596611" w:rsidP="00662E40">
      <w:pPr>
        <w:jc w:val="both"/>
      </w:pPr>
    </w:p>
    <w:p w14:paraId="2B7E9F81" w14:textId="6065ADAA" w:rsidR="00FB5103" w:rsidRPr="002E55DE" w:rsidRDefault="00546D81" w:rsidP="00742170">
      <w:pPr>
        <w:pStyle w:val="Heading2"/>
        <w:tabs>
          <w:tab w:val="left" w:pos="540"/>
        </w:tabs>
        <w:spacing w:line="240" w:lineRule="auto"/>
        <w:ind w:hanging="540"/>
        <w:rPr>
          <w:lang w:eastAsia="ko-KR"/>
        </w:rPr>
      </w:pPr>
      <w:r w:rsidRPr="002E55DE">
        <w:rPr>
          <w:lang w:eastAsia="ko-KR"/>
        </w:rPr>
        <w:t>A</w:t>
      </w:r>
      <w:r w:rsidR="00205B37" w:rsidRPr="002E55DE">
        <w:rPr>
          <w:lang w:eastAsia="ko-KR"/>
        </w:rPr>
        <w:t>verage Treatment Effect</w:t>
      </w:r>
      <w:r w:rsidRPr="002E55DE">
        <w:rPr>
          <w:lang w:eastAsia="ko-KR"/>
        </w:rPr>
        <w:t>s</w:t>
      </w:r>
      <w:r w:rsidR="00205B37" w:rsidRPr="002E55DE">
        <w:rPr>
          <w:lang w:eastAsia="ko-KR"/>
        </w:rPr>
        <w:t xml:space="preserve"> of Exogenous </w:t>
      </w:r>
      <w:r w:rsidR="00DB14C7" w:rsidRPr="002E55DE">
        <w:rPr>
          <w:lang w:eastAsia="ko-KR"/>
        </w:rPr>
        <w:t>Variables</w:t>
      </w:r>
    </w:p>
    <w:p w14:paraId="2BDA8EC9" w14:textId="0E7718D4" w:rsidR="007B7A98" w:rsidRPr="002E55DE" w:rsidRDefault="00FB5103" w:rsidP="00B147A2">
      <w:pPr>
        <w:jc w:val="both"/>
        <w:rPr>
          <w:lang w:eastAsia="ko-KR"/>
        </w:rPr>
      </w:pPr>
      <w:r w:rsidRPr="002E55DE">
        <w:rPr>
          <w:lang w:eastAsia="ko-KR"/>
        </w:rPr>
        <w:t>T</w:t>
      </w:r>
      <w:r w:rsidR="00A40901" w:rsidRPr="002E55DE">
        <w:rPr>
          <w:lang w:eastAsia="ko-KR"/>
        </w:rPr>
        <w:t xml:space="preserve">he coefficients corresponding to the variables presented in Table 4 </w:t>
      </w:r>
      <w:r w:rsidRPr="002E55DE">
        <w:rPr>
          <w:lang w:eastAsia="ko-KR"/>
        </w:rPr>
        <w:t xml:space="preserve">represent effects on underlying scale-less and location-less propensities for the frequency and SC dimensions, though they have a more tangible interpretation as effects on the logarithm of walking duration for the duration dimension. For the frequency and SC dimensions, therefore, </w:t>
      </w:r>
      <w:bookmarkStart w:id="48" w:name="_Hlk169957859"/>
      <w:r w:rsidRPr="002E55DE">
        <w:rPr>
          <w:lang w:eastAsia="ko-KR"/>
        </w:rPr>
        <w:t xml:space="preserve">the actual effects of variables </w:t>
      </w:r>
      <w:bookmarkEnd w:id="48"/>
      <w:r w:rsidRPr="002E55DE">
        <w:rPr>
          <w:lang w:eastAsia="ko-KR"/>
        </w:rPr>
        <w:t xml:space="preserve">on the ordinal categories </w:t>
      </w:r>
      <w:r w:rsidR="0027056D" w:rsidRPr="002E55DE">
        <w:rPr>
          <w:lang w:eastAsia="ko-KR"/>
        </w:rPr>
        <w:t xml:space="preserve">are </w:t>
      </w:r>
      <w:r w:rsidRPr="002E55DE">
        <w:rPr>
          <w:lang w:eastAsia="ko-KR"/>
        </w:rPr>
        <w:t>not obvious from the estimates. Besides, there are endogenous outcome effects, which implies that the total effect of a</w:t>
      </w:r>
      <w:r w:rsidR="001F57F8" w:rsidRPr="002E55DE">
        <w:rPr>
          <w:lang w:eastAsia="ko-KR"/>
        </w:rPr>
        <w:t>n</w:t>
      </w:r>
      <w:r w:rsidRPr="002E55DE">
        <w:rPr>
          <w:lang w:eastAsia="ko-KR"/>
        </w:rPr>
        <w:t xml:space="preserve"> exogenous variable </w:t>
      </w:r>
      <w:r w:rsidR="00561D98" w:rsidRPr="002E55DE">
        <w:rPr>
          <w:lang w:eastAsia="ko-KR"/>
        </w:rPr>
        <w:t xml:space="preserve">will be a combination of the direct effect of the variable on a specific </w:t>
      </w:r>
      <w:r w:rsidR="001F57F8" w:rsidRPr="002E55DE">
        <w:rPr>
          <w:lang w:eastAsia="ko-KR"/>
        </w:rPr>
        <w:t>outcome</w:t>
      </w:r>
      <w:r w:rsidR="00561D98" w:rsidRPr="002E55DE">
        <w:rPr>
          <w:lang w:eastAsia="ko-KR"/>
        </w:rPr>
        <w:t xml:space="preserve"> as well as indirect effects of the variable through the endogenous effects</w:t>
      </w:r>
      <w:r w:rsidR="001F57F8" w:rsidRPr="002E55DE">
        <w:rPr>
          <w:lang w:eastAsia="ko-KR"/>
        </w:rPr>
        <w:t xml:space="preserve"> of other outcomes</w:t>
      </w:r>
      <w:r w:rsidR="00561D98" w:rsidRPr="002E55DE">
        <w:rPr>
          <w:lang w:eastAsia="ko-KR"/>
        </w:rPr>
        <w:t xml:space="preserve">. </w:t>
      </w:r>
      <w:r w:rsidR="00A40901" w:rsidRPr="002E55DE">
        <w:t>These indirect pathways of influence, along with the correlations among the outcomes</w:t>
      </w:r>
      <w:r w:rsidR="00561D98" w:rsidRPr="002E55DE">
        <w:t xml:space="preserve"> and the structure of the ordered-response/grouped models</w:t>
      </w:r>
      <w:r w:rsidR="00A40901" w:rsidRPr="002E55DE">
        <w:t>, introduce non-linearities, making it challenging to interpret the overall magnitude and directionality of effects solely based on the coefficient</w:t>
      </w:r>
      <w:r w:rsidR="001F57F8" w:rsidRPr="002E55DE">
        <w:t xml:space="preserve"> estimates in Table 4</w:t>
      </w:r>
      <w:r w:rsidR="00A40901" w:rsidRPr="002E55DE">
        <w:t xml:space="preserve">. To fully understand the overall impacts, </w:t>
      </w:r>
      <w:bookmarkStart w:id="49" w:name="_Hlk169957940"/>
      <w:r w:rsidR="00A40901" w:rsidRPr="002E55DE">
        <w:t>including both direct and indirect effects, and to compare the relative magnitudes of these different effect pathways,</w:t>
      </w:r>
      <w:bookmarkEnd w:id="49"/>
      <w:r w:rsidR="00A40901" w:rsidRPr="002E55DE">
        <w:t xml:space="preserve"> an Average Treatment Effect (ATE) analysis is </w:t>
      </w:r>
      <w:r w:rsidR="00561D98" w:rsidRPr="002E55DE">
        <w:t>undertaken</w:t>
      </w:r>
      <w:r w:rsidR="00A40901" w:rsidRPr="002E55DE">
        <w:t xml:space="preserve">. </w:t>
      </w:r>
      <w:r w:rsidR="00561D98" w:rsidRPr="002E55DE">
        <w:rPr>
          <w:rFonts w:eastAsiaTheme="minorEastAsia"/>
          <w:lang w:eastAsia="ko-KR"/>
        </w:rPr>
        <w:t>T</w:t>
      </w:r>
      <w:r w:rsidR="00D1345E" w:rsidRPr="002E55DE">
        <w:rPr>
          <w:rFonts w:eastAsiaTheme="minorEastAsia"/>
          <w:lang w:eastAsia="ko-KR"/>
        </w:rPr>
        <w:t>he</w:t>
      </w:r>
      <w:r w:rsidR="007F67CE" w:rsidRPr="002E55DE">
        <w:rPr>
          <w:rFonts w:eastAsiaTheme="minorEastAsia"/>
          <w:lang w:eastAsia="ko-KR"/>
        </w:rPr>
        <w:t xml:space="preserve"> ATE </w:t>
      </w:r>
      <w:r w:rsidR="007B7A98" w:rsidRPr="002E55DE">
        <w:rPr>
          <w:rFonts w:eastAsiaTheme="minorEastAsia"/>
          <w:lang w:eastAsia="ko-KR"/>
        </w:rPr>
        <w:t xml:space="preserve">analysis </w:t>
      </w:r>
      <w:r w:rsidR="00561D98" w:rsidRPr="002E55DE">
        <w:rPr>
          <w:rFonts w:eastAsiaTheme="minorEastAsia"/>
          <w:lang w:eastAsia="ko-KR"/>
        </w:rPr>
        <w:t xml:space="preserve">also </w:t>
      </w:r>
      <w:r w:rsidR="007F67CE" w:rsidRPr="002E55DE">
        <w:rPr>
          <w:rFonts w:eastAsiaTheme="minorEastAsia"/>
          <w:lang w:eastAsia="ko-KR"/>
        </w:rPr>
        <w:t xml:space="preserve">allows </w:t>
      </w:r>
      <w:r w:rsidR="007B7A98" w:rsidRPr="002E55DE">
        <w:rPr>
          <w:rFonts w:eastAsiaTheme="minorEastAsia"/>
          <w:lang w:eastAsia="ko-KR"/>
        </w:rPr>
        <w:t xml:space="preserve">the </w:t>
      </w:r>
      <w:r w:rsidR="00561D98" w:rsidRPr="002E55DE">
        <w:rPr>
          <w:rFonts w:eastAsiaTheme="minorEastAsia"/>
          <w:lang w:eastAsia="ko-KR"/>
        </w:rPr>
        <w:t xml:space="preserve">examination </w:t>
      </w:r>
      <w:r w:rsidR="007B7A98" w:rsidRPr="002E55DE">
        <w:rPr>
          <w:rFonts w:eastAsiaTheme="minorEastAsia"/>
          <w:lang w:eastAsia="ko-KR"/>
        </w:rPr>
        <w:t>of</w:t>
      </w:r>
      <w:r w:rsidR="007F67CE" w:rsidRPr="002E55DE">
        <w:rPr>
          <w:rFonts w:eastAsiaTheme="minorEastAsia"/>
          <w:lang w:eastAsia="ko-KR"/>
        </w:rPr>
        <w:t xml:space="preserve"> </w:t>
      </w:r>
      <w:r w:rsidR="009F38AA" w:rsidRPr="002E55DE">
        <w:rPr>
          <w:rFonts w:eastAsiaTheme="minorEastAsia"/>
          <w:lang w:eastAsia="ko-KR"/>
        </w:rPr>
        <w:t>“</w:t>
      </w:r>
      <w:r w:rsidR="007F67CE" w:rsidRPr="002E55DE">
        <w:rPr>
          <w:rFonts w:eastAsiaTheme="minorEastAsia"/>
          <w:lang w:eastAsia="ko-KR"/>
        </w:rPr>
        <w:t>counterfactual</w:t>
      </w:r>
      <w:r w:rsidR="009F38AA" w:rsidRPr="002E55DE">
        <w:rPr>
          <w:rFonts w:eastAsiaTheme="minorEastAsia"/>
          <w:lang w:eastAsia="ko-KR"/>
        </w:rPr>
        <w:t>”</w:t>
      </w:r>
      <w:r w:rsidR="007F67CE" w:rsidRPr="002E55DE">
        <w:rPr>
          <w:rFonts w:eastAsiaTheme="minorEastAsia"/>
          <w:lang w:eastAsia="ko-KR"/>
        </w:rPr>
        <w:t xml:space="preserve"> outcomes, which </w:t>
      </w:r>
      <w:r w:rsidR="007B7A98" w:rsidRPr="002E55DE">
        <w:rPr>
          <w:rFonts w:eastAsiaTheme="minorEastAsia"/>
          <w:lang w:eastAsia="ko-KR"/>
        </w:rPr>
        <w:t>represent scenarios</w:t>
      </w:r>
      <w:r w:rsidR="007B7A98" w:rsidRPr="002E55DE">
        <w:t xml:space="preserve"> that are </w:t>
      </w:r>
      <w:r w:rsidR="007B7A98" w:rsidRPr="002E55DE">
        <w:rPr>
          <w:rFonts w:eastAsiaTheme="minorEastAsia"/>
          <w:lang w:eastAsia="ko-KR"/>
        </w:rPr>
        <w:t>not directly observed in the survey data. For instance, it can estimate the intended companionship preference for individuals who reported never walking for more than ten minutes, even though this scenario is not captured in the survey.</w:t>
      </w:r>
    </w:p>
    <w:p w14:paraId="4362B99F" w14:textId="66903814" w:rsidR="007B7A98" w:rsidRPr="002E55DE" w:rsidRDefault="007B7A98" w:rsidP="00B147A2">
      <w:pPr>
        <w:ind w:firstLine="720"/>
        <w:jc w:val="both"/>
      </w:pPr>
      <w:r w:rsidRPr="002E55DE">
        <w:rPr>
          <w:rFonts w:eastAsiaTheme="minorEastAsia"/>
          <w:lang w:eastAsia="ko-KR"/>
        </w:rPr>
        <w:t xml:space="preserve">The ATE computation procedure starts with computing, for each individual, the multivariate probability predictions </w:t>
      </w:r>
      <w:r w:rsidRPr="002E55DE">
        <w:t>for each of the 100 multivariate combination outcomes of the walking dimensions (total possible combinations</w:t>
      </w:r>
      <w:r w:rsidR="00A11B74" w:rsidRPr="002E55DE">
        <w:t xml:space="preserve"> </w:t>
      </w:r>
      <w:r w:rsidR="0048364D" w:rsidRPr="002E55DE">
        <w:rPr>
          <w:noProof/>
          <w:position w:val="-10"/>
        </w:rPr>
        <w:object w:dxaOrig="1600" w:dyaOrig="320" w14:anchorId="04070FA6">
          <v:shape id="_x0000_i1095" type="#_x0000_t75" style="width:80.05pt;height:16.1pt" o:ole="" o:preferrelative="f">
            <v:imagedata r:id="rId150" o:title=""/>
            <o:lock v:ext="edit" aspectratio="f"/>
          </v:shape>
          <o:OLEObject Type="Embed" ProgID="Equation.DSMT4" ShapeID="_x0000_i1095" DrawAspect="Content" ObjectID="_1818570660" r:id="rId151"/>
        </w:object>
      </w:r>
      <w:r w:rsidR="00DB0802" w:rsidRPr="002E55DE">
        <w:rPr>
          <w:iCs/>
        </w:rPr>
        <w:t xml:space="preserve"> including counterfactual outcomes</w:t>
      </w:r>
      <w:r w:rsidRPr="002E55DE">
        <w:t>). Then, for each individual, we compute the expected outcome for each of the three dimensions.</w:t>
      </w:r>
      <w:r w:rsidR="005C4224" w:rsidRPr="002E55DE">
        <w:t xml:space="preserve"> </w:t>
      </w:r>
      <w:r w:rsidRPr="002E55DE">
        <w:t>For frequency, since the proportion of each level (never</w:t>
      </w:r>
      <w:r w:rsidR="00DB0802" w:rsidRPr="002E55DE">
        <w:t xml:space="preserve"> (or zero)</w:t>
      </w:r>
      <w:r w:rsidRPr="002E55DE">
        <w:t xml:space="preserve">, 1-2 days/week, 3-4 days/week, 5-6 days/week, and 7 days/week) </w:t>
      </w:r>
      <w:r w:rsidR="00DB0802" w:rsidRPr="002E55DE">
        <w:t>is</w:t>
      </w:r>
      <w:r w:rsidRPr="002E55DE">
        <w:t xml:space="preserve"> known, the expected value </w:t>
      </w:r>
      <w:r w:rsidR="00561D98" w:rsidRPr="002E55DE">
        <w:t xml:space="preserve">is </w:t>
      </w:r>
      <w:r w:rsidRPr="002E55DE">
        <w:t>calculated by weighting the</w:t>
      </w:r>
      <w:r w:rsidR="00134666" w:rsidRPr="002E55DE">
        <w:t xml:space="preserve"> probability of each level </w:t>
      </w:r>
      <w:r w:rsidRPr="002E55DE">
        <w:t>with the m</w:t>
      </w:r>
      <w:r w:rsidR="00134666" w:rsidRPr="002E55DE">
        <w:t xml:space="preserve">id-point </w:t>
      </w:r>
      <w:r w:rsidRPr="002E55DE">
        <w:t>value of each level</w:t>
      </w:r>
      <w:r w:rsidR="00134666" w:rsidRPr="002E55DE">
        <w:t xml:space="preserve"> (so, we assume 1-2 days per week represents 1.5 days a week and so on)</w:t>
      </w:r>
      <w:r w:rsidRPr="002E55DE">
        <w:t xml:space="preserve">. For duration, the expected value </w:t>
      </w:r>
      <w:r w:rsidR="00134666" w:rsidRPr="002E55DE">
        <w:t xml:space="preserve">in walking minutes </w:t>
      </w:r>
      <w:r w:rsidR="00DB0802" w:rsidRPr="002E55DE">
        <w:t>is</w:t>
      </w:r>
      <w:r w:rsidRPr="002E55DE">
        <w:t xml:space="preserve"> </w:t>
      </w:r>
      <w:r w:rsidR="00561D98" w:rsidRPr="002E55DE">
        <w:t xml:space="preserve">conveniently computed as </w:t>
      </w:r>
      <w:r w:rsidR="0048364D" w:rsidRPr="002E55DE">
        <w:rPr>
          <w:noProof/>
          <w:position w:val="-12"/>
        </w:rPr>
        <w:object w:dxaOrig="1880" w:dyaOrig="380" w14:anchorId="6455B5E1">
          <v:shape id="_x0000_i1096" type="#_x0000_t75" style="width:94.25pt;height:18.45pt" o:ole="" o:preferrelative="f">
            <v:imagedata r:id="rId152" o:title=""/>
            <o:lock v:ext="edit" aspectratio="f"/>
          </v:shape>
          <o:OLEObject Type="Embed" ProgID="Equation.DSMT4" ShapeID="_x0000_i1096" DrawAspect="Content" ObjectID="_1818570661" r:id="rId153"/>
        </w:object>
      </w:r>
      <w:r w:rsidRPr="002E55DE">
        <w:t xml:space="preserve"> For companionship, </w:t>
      </w:r>
      <w:r w:rsidR="00134666" w:rsidRPr="002E55DE">
        <w:t xml:space="preserve">where the levels are not obvious, we collapse the SC ordered-response into a binary outcome of SC often/always (which we will view as “yes” for the SC dimension) and </w:t>
      </w:r>
      <w:r w:rsidR="005C4224" w:rsidRPr="002E55DE">
        <w:t xml:space="preserve">SC never/rarely/sometimes (which we will view as “no” for the SC dimension). </w:t>
      </w:r>
      <w:r w:rsidRPr="002E55DE">
        <w:t xml:space="preserve">Lastly, the ATEs are quantified as the change in the expected walking frequency and duration, and the </w:t>
      </w:r>
      <w:r w:rsidR="005C4224" w:rsidRPr="002E55DE">
        <w:t xml:space="preserve">share </w:t>
      </w:r>
      <w:r w:rsidRPr="002E55DE">
        <w:t xml:space="preserve">of </w:t>
      </w:r>
      <w:r w:rsidR="005C4224" w:rsidRPr="002E55DE">
        <w:t xml:space="preserve">the </w:t>
      </w:r>
      <w:r w:rsidRPr="002E55DE">
        <w:t>“</w:t>
      </w:r>
      <w:r w:rsidR="005C4224" w:rsidRPr="002E55DE">
        <w:t>yes</w:t>
      </w:r>
      <w:r w:rsidRPr="002E55DE">
        <w:t xml:space="preserve">” </w:t>
      </w:r>
      <w:r w:rsidR="005C4224" w:rsidRPr="002E55DE">
        <w:t>category for the SC dimension</w:t>
      </w:r>
      <w:r w:rsidRPr="002E55DE">
        <w:t>, due to a change in the state of an antecedent variable from a base level “B</w:t>
      </w:r>
      <w:r w:rsidR="00D53421" w:rsidRPr="002E55DE">
        <w:t>L</w:t>
      </w:r>
      <w:r w:rsidRPr="002E55DE">
        <w:t>” to a treatment level “T</w:t>
      </w:r>
      <w:r w:rsidR="00D53421" w:rsidRPr="002E55DE">
        <w:t>L</w:t>
      </w:r>
      <w:r w:rsidRPr="002E55DE">
        <w:t>”. For example, to estimate the treatment effect of age</w:t>
      </w:r>
      <w:r w:rsidR="005C4224" w:rsidRPr="002E55DE">
        <w:t>,</w:t>
      </w:r>
      <w:r w:rsidRPr="002E55DE">
        <w:t xml:space="preserve"> </w:t>
      </w:r>
      <w:r w:rsidR="009C2E25" w:rsidRPr="002E55DE">
        <w:t>the</w:t>
      </w:r>
      <w:r w:rsidRPr="002E55DE">
        <w:t xml:space="preserve"> B</w:t>
      </w:r>
      <w:r w:rsidR="00D53421" w:rsidRPr="002E55DE">
        <w:t>L</w:t>
      </w:r>
      <w:r w:rsidRPr="002E55DE">
        <w:t xml:space="preserve"> </w:t>
      </w:r>
      <w:r w:rsidR="001F57F8" w:rsidRPr="002E55DE">
        <w:t>w</w:t>
      </w:r>
      <w:r w:rsidRPr="002E55DE">
        <w:t xml:space="preserve">ould represent </w:t>
      </w:r>
      <w:r w:rsidRPr="002E55DE">
        <w:lastRenderedPageBreak/>
        <w:t xml:space="preserve">individuals between 50 and 64 years, while </w:t>
      </w:r>
      <w:r w:rsidR="009C2E25" w:rsidRPr="002E55DE">
        <w:t xml:space="preserve">the </w:t>
      </w:r>
      <w:r w:rsidRPr="002E55DE">
        <w:t>T</w:t>
      </w:r>
      <w:r w:rsidR="00D53421" w:rsidRPr="002E55DE">
        <w:t>L</w:t>
      </w:r>
      <w:r w:rsidRPr="002E55DE">
        <w:t xml:space="preserve"> could represent individuals aged 65 years or above. To compute the ATE, all individuals in the dataset are first assigned to </w:t>
      </w:r>
      <w:r w:rsidR="009C2E25" w:rsidRPr="002E55DE">
        <w:t xml:space="preserve">the </w:t>
      </w:r>
      <w:r w:rsidRPr="002E55DE">
        <w:t>B</w:t>
      </w:r>
      <w:r w:rsidR="00D53421" w:rsidRPr="002E55DE">
        <w:t>L</w:t>
      </w:r>
      <w:r w:rsidRPr="002E55DE">
        <w:t xml:space="preserve">, </w:t>
      </w:r>
      <w:r w:rsidR="005C4224" w:rsidRPr="002E55DE">
        <w:t xml:space="preserve">individual-level </w:t>
      </w:r>
      <w:r w:rsidRPr="002E55DE">
        <w:t>expected outcomes for each dimension are c</w:t>
      </w:r>
      <w:r w:rsidR="005C4224" w:rsidRPr="002E55DE">
        <w:t xml:space="preserve">omputed </w:t>
      </w:r>
      <w:r w:rsidRPr="002E55DE">
        <w:t>based on the model estimates</w:t>
      </w:r>
      <w:r w:rsidR="005C4224" w:rsidRPr="002E55DE">
        <w:t>, and average</w:t>
      </w:r>
      <w:r w:rsidR="001F57F8" w:rsidRPr="002E55DE">
        <w:t>d</w:t>
      </w:r>
      <w:r w:rsidR="005C4224" w:rsidRPr="002E55DE">
        <w:t xml:space="preserve"> across all individuals in the sample to obtain (a) average walking frequency per week across all individuals, (b) average walking duration per day across all individuals, and (c) shares of individuals with “yes” on the SC dimension</w:t>
      </w:r>
      <w:r w:rsidRPr="002E55DE">
        <w:t xml:space="preserve">. Then, all individuals are assigned to </w:t>
      </w:r>
      <w:r w:rsidR="009C2E25" w:rsidRPr="002E55DE">
        <w:t xml:space="preserve">the </w:t>
      </w:r>
      <w:r w:rsidRPr="002E55DE">
        <w:t>T</w:t>
      </w:r>
      <w:r w:rsidR="00D53421" w:rsidRPr="002E55DE">
        <w:t>L</w:t>
      </w:r>
      <w:r w:rsidRPr="002E55DE">
        <w:t xml:space="preserve">, and the </w:t>
      </w:r>
      <w:r w:rsidR="005C4224" w:rsidRPr="002E55DE">
        <w:t>same procedure is adopted</w:t>
      </w:r>
      <w:r w:rsidRPr="002E55DE">
        <w:t>. The percentage change</w:t>
      </w:r>
      <w:r w:rsidR="001F57F8" w:rsidRPr="002E55DE">
        <w:t>s in the outcomes between levels T</w:t>
      </w:r>
      <w:r w:rsidR="00D53421" w:rsidRPr="002E55DE">
        <w:t>L</w:t>
      </w:r>
      <w:r w:rsidR="001F57F8" w:rsidRPr="002E55DE">
        <w:t xml:space="preserve"> and B</w:t>
      </w:r>
      <w:r w:rsidR="00D53421" w:rsidRPr="002E55DE">
        <w:t>L</w:t>
      </w:r>
      <w:r w:rsidR="001F57F8" w:rsidRPr="002E55DE">
        <w:t xml:space="preserve"> </w:t>
      </w:r>
      <w:r w:rsidRPr="002E55DE">
        <w:t>provide the magnitude and direction of the impact of the age variable on walking frequency, duration, and companionship.</w:t>
      </w:r>
    </w:p>
    <w:p w14:paraId="5A9C9B86" w14:textId="7D83084A" w:rsidR="00D65CAD" w:rsidRPr="002E55DE" w:rsidRDefault="007B7A98" w:rsidP="00B147A2">
      <w:pPr>
        <w:ind w:firstLine="720"/>
        <w:jc w:val="both"/>
        <w:rPr>
          <w:rFonts w:eastAsiaTheme="minorEastAsia"/>
          <w:lang w:eastAsia="ko-KR"/>
        </w:rPr>
      </w:pPr>
      <w:r w:rsidRPr="002E55DE">
        <w:rPr>
          <w:rFonts w:eastAsiaTheme="minorEastAsia"/>
          <w:lang w:eastAsia="ko-KR"/>
        </w:rPr>
        <w:t>Besides the total ATEs, our analysis</w:t>
      </w:r>
      <w:r w:rsidR="009E6AE5" w:rsidRPr="002E55DE">
        <w:rPr>
          <w:rFonts w:eastAsiaTheme="minorEastAsia"/>
          <w:lang w:eastAsia="ko-KR"/>
        </w:rPr>
        <w:t xml:space="preserve"> allows us to quantify and compare the direct effect of an exogenous variable </w:t>
      </w:r>
      <w:r w:rsidR="001F57F8" w:rsidRPr="002E55DE">
        <w:rPr>
          <w:rFonts w:eastAsiaTheme="minorEastAsia"/>
          <w:lang w:eastAsia="ko-KR"/>
        </w:rPr>
        <w:t xml:space="preserve">on an </w:t>
      </w:r>
      <w:r w:rsidR="00DC299F" w:rsidRPr="002E55DE">
        <w:rPr>
          <w:rFonts w:eastAsiaTheme="minorEastAsia"/>
          <w:lang w:eastAsia="ko-KR"/>
        </w:rPr>
        <w:t xml:space="preserve">endogenous </w:t>
      </w:r>
      <w:r w:rsidR="001F57F8" w:rsidRPr="002E55DE">
        <w:rPr>
          <w:rFonts w:eastAsiaTheme="minorEastAsia"/>
          <w:lang w:eastAsia="ko-KR"/>
        </w:rPr>
        <w:t xml:space="preserve">outcome </w:t>
      </w:r>
      <w:r w:rsidR="009E6AE5" w:rsidRPr="002E55DE">
        <w:rPr>
          <w:rFonts w:eastAsiaTheme="minorEastAsia"/>
          <w:lang w:eastAsia="ko-KR"/>
        </w:rPr>
        <w:t xml:space="preserve">with </w:t>
      </w:r>
      <w:r w:rsidRPr="002E55DE">
        <w:rPr>
          <w:rFonts w:eastAsiaTheme="minorEastAsia"/>
          <w:lang w:eastAsia="ko-KR"/>
        </w:rPr>
        <w:t>its</w:t>
      </w:r>
      <w:r w:rsidR="009E6AE5" w:rsidRPr="002E55DE">
        <w:rPr>
          <w:rFonts w:eastAsiaTheme="minorEastAsia"/>
          <w:lang w:eastAsia="ko-KR"/>
        </w:rPr>
        <w:t xml:space="preserve"> indirect effect </w:t>
      </w:r>
      <w:r w:rsidRPr="002E55DE">
        <w:rPr>
          <w:rFonts w:eastAsiaTheme="minorEastAsia"/>
          <w:lang w:eastAsia="ko-KR"/>
        </w:rPr>
        <w:t xml:space="preserve">mediated </w:t>
      </w:r>
      <w:r w:rsidR="009E6AE5" w:rsidRPr="002E55DE">
        <w:rPr>
          <w:rFonts w:eastAsiaTheme="minorEastAsia"/>
          <w:lang w:eastAsia="ko-KR"/>
        </w:rPr>
        <w:t xml:space="preserve">through </w:t>
      </w:r>
      <w:r w:rsidR="00DC299F" w:rsidRPr="002E55DE">
        <w:rPr>
          <w:rFonts w:eastAsiaTheme="minorEastAsia"/>
          <w:lang w:eastAsia="ko-KR"/>
        </w:rPr>
        <w:t xml:space="preserve">other </w:t>
      </w:r>
      <w:r w:rsidR="009E6AE5" w:rsidRPr="002E55DE">
        <w:rPr>
          <w:rFonts w:eastAsiaTheme="minorEastAsia"/>
          <w:lang w:eastAsia="ko-KR"/>
        </w:rPr>
        <w:t xml:space="preserve">upstream </w:t>
      </w:r>
      <w:r w:rsidRPr="002E55DE">
        <w:rPr>
          <w:rFonts w:eastAsiaTheme="minorEastAsia"/>
          <w:lang w:eastAsia="ko-KR"/>
        </w:rPr>
        <w:t>endogenous variables</w:t>
      </w:r>
      <w:r w:rsidR="009E6AE5" w:rsidRPr="002E55DE">
        <w:rPr>
          <w:rFonts w:eastAsiaTheme="minorEastAsia"/>
          <w:lang w:eastAsia="ko-KR"/>
        </w:rPr>
        <w:t xml:space="preserve">. </w:t>
      </w:r>
      <w:r w:rsidR="00FE220D" w:rsidRPr="002E55DE">
        <w:rPr>
          <w:rFonts w:eastAsiaTheme="minorEastAsia"/>
          <w:lang w:eastAsia="ko-KR"/>
        </w:rPr>
        <w:t xml:space="preserve">Distinguishing between direct and indirect effects </w:t>
      </w:r>
      <w:r w:rsidR="007D467E" w:rsidRPr="002E55DE">
        <w:rPr>
          <w:rFonts w:eastAsiaTheme="minorEastAsia"/>
          <w:lang w:eastAsia="ko-KR"/>
        </w:rPr>
        <w:t>entails</w:t>
      </w:r>
      <w:r w:rsidR="00FE220D" w:rsidRPr="002E55DE">
        <w:rPr>
          <w:rFonts w:eastAsiaTheme="minorEastAsia"/>
          <w:lang w:eastAsia="ko-KR"/>
        </w:rPr>
        <w:t xml:space="preserve"> </w:t>
      </w:r>
      <w:r w:rsidR="007D467E" w:rsidRPr="002E55DE">
        <w:rPr>
          <w:rFonts w:eastAsiaTheme="minorEastAsia"/>
          <w:lang w:eastAsia="ko-KR"/>
        </w:rPr>
        <w:t>tracing</w:t>
      </w:r>
      <w:r w:rsidR="00FE220D" w:rsidRPr="002E55DE">
        <w:rPr>
          <w:rFonts w:eastAsiaTheme="minorEastAsia"/>
          <w:lang w:eastAsia="ko-KR"/>
        </w:rPr>
        <w:t xml:space="preserve"> the </w:t>
      </w:r>
      <w:r w:rsidR="007B3FB7" w:rsidRPr="002E55DE">
        <w:rPr>
          <w:rFonts w:eastAsiaTheme="minorEastAsia"/>
          <w:lang w:eastAsia="ko-KR"/>
        </w:rPr>
        <w:t>“</w:t>
      </w:r>
      <w:r w:rsidR="00FE220D" w:rsidRPr="002E55DE">
        <w:rPr>
          <w:rFonts w:eastAsiaTheme="minorEastAsia"/>
          <w:lang w:eastAsia="ko-KR"/>
        </w:rPr>
        <w:t>pathways</w:t>
      </w:r>
      <w:r w:rsidR="007B3FB7" w:rsidRPr="002E55DE">
        <w:rPr>
          <w:rFonts w:eastAsiaTheme="minorEastAsia"/>
          <w:lang w:eastAsia="ko-KR"/>
        </w:rPr>
        <w:t>”</w:t>
      </w:r>
      <w:r w:rsidR="00FE220D" w:rsidRPr="002E55DE">
        <w:rPr>
          <w:rFonts w:eastAsiaTheme="minorEastAsia"/>
          <w:lang w:eastAsia="ko-KR"/>
        </w:rPr>
        <w:t xml:space="preserve"> through which exogenous variables affect each </w:t>
      </w:r>
      <w:r w:rsidRPr="002E55DE">
        <w:rPr>
          <w:rFonts w:eastAsiaTheme="minorEastAsia"/>
          <w:lang w:eastAsia="ko-KR"/>
        </w:rPr>
        <w:t>dimension</w:t>
      </w:r>
      <w:r w:rsidR="00FE220D" w:rsidRPr="002E55DE">
        <w:rPr>
          <w:rFonts w:eastAsiaTheme="minorEastAsia"/>
          <w:lang w:eastAsia="ko-KR"/>
        </w:rPr>
        <w:t xml:space="preserve"> of walking behavior</w:t>
      </w:r>
      <w:r w:rsidRPr="002E55DE">
        <w:rPr>
          <w:rFonts w:eastAsiaTheme="minorEastAsia"/>
          <w:lang w:eastAsia="ko-KR"/>
        </w:rPr>
        <w:t>.</w:t>
      </w:r>
      <w:r w:rsidR="00F048CB" w:rsidRPr="002E55DE">
        <w:rPr>
          <w:rFonts w:eastAsiaTheme="minorEastAsia"/>
          <w:lang w:eastAsia="ko-KR"/>
        </w:rPr>
        <w:t xml:space="preserve"> To do so, we compute </w:t>
      </w:r>
      <w:r w:rsidR="000B2C30" w:rsidRPr="002E55DE">
        <w:rPr>
          <w:rFonts w:eastAsiaTheme="minorEastAsia"/>
          <w:lang w:eastAsia="ko-KR"/>
        </w:rPr>
        <w:t>the direct effect of</w:t>
      </w:r>
      <w:r w:rsidRPr="002E55DE">
        <w:rPr>
          <w:rFonts w:eastAsiaTheme="minorEastAsia"/>
          <w:lang w:eastAsia="ko-KR"/>
        </w:rPr>
        <w:t xml:space="preserve"> </w:t>
      </w:r>
      <w:r w:rsidR="007D467E" w:rsidRPr="002E55DE">
        <w:rPr>
          <w:rFonts w:eastAsiaTheme="minorEastAsia"/>
          <w:lang w:eastAsia="ko-KR"/>
        </w:rPr>
        <w:t xml:space="preserve">an exogenous </w:t>
      </w:r>
      <w:r w:rsidRPr="002E55DE">
        <w:rPr>
          <w:rFonts w:eastAsiaTheme="minorEastAsia"/>
          <w:lang w:eastAsia="ko-KR"/>
        </w:rPr>
        <w:t xml:space="preserve">variable </w:t>
      </w:r>
      <w:r w:rsidR="007D467E" w:rsidRPr="002E55DE">
        <w:rPr>
          <w:rFonts w:eastAsiaTheme="minorEastAsia"/>
          <w:lang w:eastAsia="ko-KR"/>
        </w:rPr>
        <w:t xml:space="preserve">X </w:t>
      </w:r>
      <w:r w:rsidR="000B2C30" w:rsidRPr="002E55DE">
        <w:rPr>
          <w:rFonts w:eastAsiaTheme="minorEastAsia"/>
          <w:lang w:eastAsia="ko-KR"/>
        </w:rPr>
        <w:t xml:space="preserve">on a specific outcome </w:t>
      </w:r>
      <w:r w:rsidR="007D467E" w:rsidRPr="002E55DE">
        <w:rPr>
          <w:rFonts w:eastAsiaTheme="minorEastAsia"/>
          <w:lang w:eastAsia="ko-KR"/>
        </w:rPr>
        <w:t xml:space="preserve">Y </w:t>
      </w:r>
      <w:r w:rsidR="000B2C30" w:rsidRPr="002E55DE">
        <w:rPr>
          <w:rFonts w:eastAsiaTheme="minorEastAsia"/>
          <w:lang w:eastAsia="ko-KR"/>
        </w:rPr>
        <w:t xml:space="preserve">by </w:t>
      </w:r>
      <w:r w:rsidR="00A40901" w:rsidRPr="002E55DE">
        <w:rPr>
          <w:rFonts w:eastAsiaTheme="minorEastAsia"/>
          <w:lang w:eastAsia="ko-KR"/>
        </w:rPr>
        <w:t>maintaining</w:t>
      </w:r>
      <w:r w:rsidR="00F84279" w:rsidRPr="002E55DE">
        <w:rPr>
          <w:rFonts w:eastAsiaTheme="minorEastAsia" w:hint="eastAsia"/>
          <w:lang w:eastAsia="ko-KR"/>
        </w:rPr>
        <w:t xml:space="preserve"> </w:t>
      </w:r>
      <w:r w:rsidR="007D467E" w:rsidRPr="002E55DE">
        <w:rPr>
          <w:rFonts w:eastAsiaTheme="minorEastAsia"/>
          <w:lang w:eastAsia="ko-KR"/>
        </w:rPr>
        <w:t xml:space="preserve">all values of other exogenous variables (as well as other endogenous outcomes affecting the outcome Y of interest) </w:t>
      </w:r>
      <w:r w:rsidR="000B2C30" w:rsidRPr="002E55DE">
        <w:rPr>
          <w:rFonts w:eastAsiaTheme="minorEastAsia"/>
          <w:lang w:eastAsia="ko-KR"/>
        </w:rPr>
        <w:t xml:space="preserve">as they are in the data and </w:t>
      </w:r>
      <w:r w:rsidR="00F048CB" w:rsidRPr="002E55DE">
        <w:rPr>
          <w:rFonts w:eastAsiaTheme="minorEastAsia"/>
          <w:lang w:eastAsia="ko-KR"/>
        </w:rPr>
        <w:t xml:space="preserve">evaluating </w:t>
      </w:r>
      <w:r w:rsidR="000B2C30" w:rsidRPr="002E55DE">
        <w:rPr>
          <w:rFonts w:eastAsiaTheme="minorEastAsia"/>
          <w:lang w:eastAsia="ko-KR"/>
        </w:rPr>
        <w:t xml:space="preserve">the treatment </w:t>
      </w:r>
      <w:r w:rsidR="00F048CB" w:rsidRPr="002E55DE">
        <w:rPr>
          <w:rFonts w:eastAsiaTheme="minorEastAsia"/>
          <w:lang w:eastAsia="ko-KR"/>
        </w:rPr>
        <w:t xml:space="preserve">effect </w:t>
      </w:r>
      <w:r w:rsidR="000B2C30" w:rsidRPr="002E55DE">
        <w:rPr>
          <w:rFonts w:eastAsiaTheme="minorEastAsia"/>
          <w:lang w:eastAsia="ko-KR"/>
        </w:rPr>
        <w:t>only</w:t>
      </w:r>
      <w:r w:rsidR="00F048CB" w:rsidRPr="002E55DE">
        <w:rPr>
          <w:rFonts w:eastAsiaTheme="minorEastAsia"/>
          <w:lang w:eastAsia="ko-KR"/>
        </w:rPr>
        <w:t xml:space="preserve"> </w:t>
      </w:r>
      <w:r w:rsidR="000B2C30" w:rsidRPr="002E55DE">
        <w:rPr>
          <w:rFonts w:eastAsiaTheme="minorEastAsia"/>
          <w:lang w:eastAsia="ko-KR"/>
        </w:rPr>
        <w:t>on</w:t>
      </w:r>
      <w:r w:rsidRPr="002E55DE">
        <w:rPr>
          <w:rFonts w:eastAsiaTheme="minorEastAsia"/>
          <w:lang w:eastAsia="ko-KR"/>
        </w:rPr>
        <w:t xml:space="preserve"> </w:t>
      </w:r>
      <w:r w:rsidR="007D467E" w:rsidRPr="002E55DE">
        <w:rPr>
          <w:rFonts w:eastAsiaTheme="minorEastAsia"/>
          <w:lang w:eastAsia="ko-KR"/>
        </w:rPr>
        <w:t>Y</w:t>
      </w:r>
      <w:r w:rsidR="000B2C30" w:rsidRPr="002E55DE">
        <w:rPr>
          <w:rFonts w:eastAsiaTheme="minorEastAsia"/>
          <w:lang w:eastAsia="ko-KR"/>
        </w:rPr>
        <w:t>.</w:t>
      </w:r>
      <w:r w:rsidR="009E4296" w:rsidRPr="002E55DE">
        <w:rPr>
          <w:rFonts w:eastAsiaTheme="minorEastAsia" w:hint="eastAsia"/>
          <w:lang w:eastAsia="ko-KR"/>
        </w:rPr>
        <w:t xml:space="preserve"> </w:t>
      </w:r>
      <w:r w:rsidR="00C47F0D" w:rsidRPr="002E55DE">
        <w:rPr>
          <w:rFonts w:eastAsiaTheme="minorEastAsia" w:hint="eastAsia"/>
          <w:lang w:eastAsia="ko-KR"/>
        </w:rPr>
        <w:t xml:space="preserve">By </w:t>
      </w:r>
      <w:r w:rsidR="00153043" w:rsidRPr="002E55DE">
        <w:rPr>
          <w:rFonts w:eastAsiaTheme="minorEastAsia" w:hint="eastAsia"/>
          <w:lang w:eastAsia="ko-KR"/>
        </w:rPr>
        <w:t>subtracting</w:t>
      </w:r>
      <w:r w:rsidR="00A40901" w:rsidRPr="002E55DE">
        <w:rPr>
          <w:rFonts w:eastAsiaTheme="minorEastAsia"/>
          <w:lang w:eastAsia="ko-KR"/>
        </w:rPr>
        <w:t xml:space="preserve"> the</w:t>
      </w:r>
      <w:r w:rsidR="00153043" w:rsidRPr="002E55DE">
        <w:rPr>
          <w:rFonts w:eastAsiaTheme="minorEastAsia" w:hint="eastAsia"/>
          <w:lang w:eastAsia="ko-KR"/>
        </w:rPr>
        <w:t xml:space="preserve"> direct effect from</w:t>
      </w:r>
      <w:r w:rsidR="00A40901" w:rsidRPr="002E55DE">
        <w:rPr>
          <w:rFonts w:eastAsiaTheme="minorEastAsia"/>
          <w:lang w:eastAsia="ko-KR"/>
        </w:rPr>
        <w:t xml:space="preserve"> the</w:t>
      </w:r>
      <w:r w:rsidR="00153043" w:rsidRPr="002E55DE">
        <w:rPr>
          <w:rFonts w:eastAsiaTheme="minorEastAsia" w:hint="eastAsia"/>
          <w:lang w:eastAsia="ko-KR"/>
        </w:rPr>
        <w:t xml:space="preserve"> total ATE, we </w:t>
      </w:r>
      <w:r w:rsidRPr="002E55DE">
        <w:rPr>
          <w:rFonts w:eastAsiaTheme="minorEastAsia"/>
          <w:lang w:eastAsia="ko-KR"/>
        </w:rPr>
        <w:t>obtain the</w:t>
      </w:r>
      <w:r w:rsidR="00153043" w:rsidRPr="002E55DE">
        <w:rPr>
          <w:rFonts w:eastAsiaTheme="minorEastAsia" w:hint="eastAsia"/>
          <w:lang w:eastAsia="ko-KR"/>
        </w:rPr>
        <w:t xml:space="preserve"> indirect effect</w:t>
      </w:r>
      <w:r w:rsidRPr="002E55DE">
        <w:rPr>
          <w:rFonts w:eastAsiaTheme="minorEastAsia"/>
          <w:lang w:eastAsia="ko-KR"/>
        </w:rPr>
        <w:t>s</w:t>
      </w:r>
      <w:r w:rsidR="00153043" w:rsidRPr="002E55DE">
        <w:rPr>
          <w:rFonts w:eastAsiaTheme="minorEastAsia" w:hint="eastAsia"/>
          <w:lang w:eastAsia="ko-KR"/>
        </w:rPr>
        <w:t xml:space="preserve">. </w:t>
      </w:r>
      <w:r w:rsidR="007D467E" w:rsidRPr="002E55DE">
        <w:rPr>
          <w:rFonts w:eastAsiaTheme="minorEastAsia"/>
          <w:lang w:eastAsia="ko-KR"/>
        </w:rPr>
        <w:t>A straightforward extension</w:t>
      </w:r>
      <w:r w:rsidR="00F048CB" w:rsidRPr="002E55DE">
        <w:rPr>
          <w:rFonts w:eastAsiaTheme="minorEastAsia"/>
          <w:lang w:eastAsia="ko-KR"/>
        </w:rPr>
        <w:t xml:space="preserve"> </w:t>
      </w:r>
      <w:r w:rsidR="007D467E" w:rsidRPr="002E55DE">
        <w:rPr>
          <w:rFonts w:eastAsiaTheme="minorEastAsia"/>
          <w:lang w:eastAsia="ko-KR"/>
        </w:rPr>
        <w:t xml:space="preserve">applies to the case of partitioning the total effects of exogenous variables on duration, accounting for indirect effects through </w:t>
      </w:r>
      <w:r w:rsidR="00DC299F" w:rsidRPr="002E55DE">
        <w:rPr>
          <w:rFonts w:eastAsiaTheme="minorEastAsia"/>
          <w:lang w:eastAsia="ko-KR"/>
        </w:rPr>
        <w:t>multiple upstream endogenous outcomes</w:t>
      </w:r>
      <w:r w:rsidR="008E0E4A" w:rsidRPr="002E55DE">
        <w:rPr>
          <w:rFonts w:eastAsiaTheme="minorEastAsia"/>
          <w:lang w:eastAsia="ko-KR"/>
        </w:rPr>
        <w:t xml:space="preserve">. </w:t>
      </w:r>
    </w:p>
    <w:p w14:paraId="6CABEA74" w14:textId="1FAAD789" w:rsidR="00A40901" w:rsidRPr="002E55DE" w:rsidRDefault="006E548A" w:rsidP="00B147A2">
      <w:pPr>
        <w:ind w:firstLine="720"/>
        <w:jc w:val="both"/>
        <w:rPr>
          <w:rFonts w:ascii="Times New Roman" w:eastAsiaTheme="minorEastAsia" w:hAnsi="Times New Roman"/>
          <w:lang w:eastAsia="ko-KR"/>
        </w:rPr>
      </w:pPr>
      <w:r w:rsidRPr="002E55DE">
        <w:rPr>
          <w:rFonts w:ascii="Times New Roman" w:eastAsiaTheme="minorEastAsia" w:hAnsi="Times New Roman"/>
          <w:lang w:eastAsia="ko-KR"/>
        </w:rPr>
        <w:t>The result</w:t>
      </w:r>
      <w:r w:rsidR="00A40901" w:rsidRPr="002E55DE">
        <w:rPr>
          <w:rFonts w:ascii="Times New Roman" w:eastAsiaTheme="minorEastAsia" w:hAnsi="Times New Roman"/>
          <w:lang w:eastAsia="ko-KR"/>
        </w:rPr>
        <w:t>s</w:t>
      </w:r>
      <w:r w:rsidRPr="002E55DE">
        <w:rPr>
          <w:rFonts w:ascii="Times New Roman" w:eastAsiaTheme="minorEastAsia" w:hAnsi="Times New Roman"/>
          <w:lang w:eastAsia="ko-KR"/>
        </w:rPr>
        <w:t xml:space="preserve"> of the ATE analysis </w:t>
      </w:r>
      <w:r w:rsidR="00A40901" w:rsidRPr="002E55DE">
        <w:rPr>
          <w:rFonts w:ascii="Times New Roman" w:eastAsiaTheme="minorEastAsia" w:hAnsi="Times New Roman"/>
          <w:lang w:eastAsia="ko-KR"/>
        </w:rPr>
        <w:t xml:space="preserve">are presented </w:t>
      </w:r>
      <w:r w:rsidRPr="002E55DE">
        <w:rPr>
          <w:rFonts w:ascii="Times New Roman" w:eastAsiaTheme="minorEastAsia" w:hAnsi="Times New Roman"/>
          <w:lang w:eastAsia="ko-KR"/>
        </w:rPr>
        <w:t xml:space="preserve">in Table </w:t>
      </w:r>
      <w:r w:rsidR="00A50DC6" w:rsidRPr="002E55DE">
        <w:rPr>
          <w:rFonts w:ascii="Times New Roman" w:eastAsiaTheme="minorEastAsia" w:hAnsi="Times New Roman"/>
          <w:lang w:eastAsia="ko-KR"/>
        </w:rPr>
        <w:t>6</w:t>
      </w:r>
      <w:r w:rsidRPr="002E55DE">
        <w:rPr>
          <w:rFonts w:ascii="Times New Roman" w:eastAsiaTheme="minorEastAsia" w:hAnsi="Times New Roman"/>
          <w:lang w:eastAsia="ko-KR"/>
        </w:rPr>
        <w:t xml:space="preserve">. </w:t>
      </w:r>
      <w:r w:rsidR="008E0E4A" w:rsidRPr="002E55DE">
        <w:rPr>
          <w:rFonts w:ascii="Times New Roman" w:eastAsiaTheme="minorEastAsia" w:hAnsi="Times New Roman"/>
          <w:lang w:eastAsia="ko-KR"/>
        </w:rPr>
        <w:t xml:space="preserve">The ordering of the outcomes is slightly different from that in Table 4 because of the causal pathway effects starting from SC to frequency and duration, and from frequency to duration. </w:t>
      </w:r>
      <w:r w:rsidR="008E0E4A" w:rsidRPr="002E55DE">
        <w:rPr>
          <w:rFonts w:ascii="Times New Roman" w:eastAsiaTheme="minorEastAsia" w:hAnsi="Times New Roman"/>
          <w:u w:val="single"/>
          <w:lang w:eastAsia="ko-KR"/>
        </w:rPr>
        <w:t>The exogenous variable effects on SC</w:t>
      </w:r>
      <w:r w:rsidR="008E0E4A" w:rsidRPr="002E55DE">
        <w:rPr>
          <w:rFonts w:ascii="Times New Roman" w:eastAsiaTheme="minorEastAsia" w:hAnsi="Times New Roman"/>
          <w:lang w:eastAsia="ko-KR"/>
        </w:rPr>
        <w:t xml:space="preserve"> are straightforward, and represent direct effects. </w:t>
      </w:r>
      <w:r w:rsidR="001819E7" w:rsidRPr="002E55DE">
        <w:rPr>
          <w:rFonts w:ascii="Times New Roman" w:eastAsiaTheme="minorEastAsia" w:hAnsi="Times New Roman"/>
          <w:lang w:eastAsia="ko-KR"/>
        </w:rPr>
        <w:t xml:space="preserve">There are three sub-columns under the SC main column. Thus, consider the effect of employment </w:t>
      </w:r>
      <w:r w:rsidR="00EF7E0B" w:rsidRPr="002E55DE">
        <w:rPr>
          <w:rFonts w:ascii="Times New Roman" w:eastAsiaTheme="minorEastAsia" w:hAnsi="Times New Roman"/>
          <w:lang w:eastAsia="ko-KR"/>
        </w:rPr>
        <w:t>on SC. The entry of “</w:t>
      </w:r>
      <w:r w:rsidR="00D60C94" w:rsidRPr="002E55DE">
        <w:rPr>
          <w:rFonts w:ascii="Times New Roman" w:eastAsiaTheme="minorEastAsia" w:hAnsi="Times New Roman"/>
          <w:lang w:eastAsia="ko-KR"/>
        </w:rPr>
        <w:t xml:space="preserve">Retired or not </w:t>
      </w:r>
      <w:r w:rsidR="00EF0D75" w:rsidRPr="002E55DE">
        <w:rPr>
          <w:rFonts w:ascii="Times New Roman" w:eastAsiaTheme="minorEastAsia" w:hAnsi="Times New Roman"/>
          <w:lang w:eastAsia="ko-KR"/>
        </w:rPr>
        <w:t>employed</w:t>
      </w:r>
      <w:r w:rsidR="00EF7E0B" w:rsidRPr="002E55DE">
        <w:rPr>
          <w:rFonts w:ascii="Times New Roman" w:eastAsiaTheme="minorEastAsia" w:hAnsi="Times New Roman"/>
          <w:lang w:eastAsia="ko-KR"/>
        </w:rPr>
        <w:t>” under the BL column indicates that, on average, the probability that an unemployed individual walks with a companion (defined for purposes of ATE computations as often or always) is</w:t>
      </w:r>
      <w:r w:rsidR="008A2DAC" w:rsidRPr="002E55DE">
        <w:rPr>
          <w:rFonts w:ascii="Times New Roman" w:eastAsiaTheme="minorEastAsia" w:hAnsi="Times New Roman"/>
          <w:lang w:eastAsia="ko-KR"/>
        </w:rPr>
        <w:t xml:space="preserve"> 0.33,</w:t>
      </w:r>
      <w:r w:rsidR="00EF7E0B" w:rsidRPr="002E55DE">
        <w:rPr>
          <w:rFonts w:ascii="Times New Roman" w:eastAsiaTheme="minorEastAsia" w:hAnsi="Times New Roman"/>
          <w:lang w:eastAsia="ko-KR"/>
        </w:rPr>
        <w:t xml:space="preserve"> while the entry of “</w:t>
      </w:r>
      <w:r w:rsidR="00EF0D75" w:rsidRPr="002E55DE">
        <w:rPr>
          <w:rFonts w:ascii="Times New Roman" w:eastAsiaTheme="minorEastAsia" w:hAnsi="Times New Roman"/>
          <w:lang w:eastAsia="ko-KR"/>
        </w:rPr>
        <w:t>Employed</w:t>
      </w:r>
      <w:r w:rsidR="00EF7E0B" w:rsidRPr="002E55DE">
        <w:rPr>
          <w:rFonts w:ascii="Times New Roman" w:eastAsiaTheme="minorEastAsia" w:hAnsi="Times New Roman"/>
          <w:lang w:eastAsia="ko-KR"/>
        </w:rPr>
        <w:t>” under the TL column shows that, on average, the probability that an employed individual walks with a companion is</w:t>
      </w:r>
      <w:r w:rsidR="008A2DAC" w:rsidRPr="002E55DE">
        <w:rPr>
          <w:rFonts w:ascii="Times New Roman" w:eastAsiaTheme="minorEastAsia" w:hAnsi="Times New Roman"/>
          <w:lang w:eastAsia="ko-KR"/>
        </w:rPr>
        <w:t xml:space="preserve"> 0.27</w:t>
      </w:r>
      <w:r w:rsidR="00EF7E0B" w:rsidRPr="002E55DE">
        <w:rPr>
          <w:rFonts w:ascii="Times New Roman" w:eastAsiaTheme="minorEastAsia" w:hAnsi="Times New Roman"/>
          <w:lang w:eastAsia="ko-KR"/>
        </w:rPr>
        <w:t>. The total ATE in percentage terms</w:t>
      </w:r>
      <w:r w:rsidR="008A2DAC" w:rsidRPr="002E55DE">
        <w:rPr>
          <w:rFonts w:ascii="Times New Roman" w:eastAsiaTheme="minorEastAsia" w:hAnsi="Times New Roman"/>
          <w:lang w:eastAsia="ko-KR"/>
        </w:rPr>
        <w:t xml:space="preserve"> </w:t>
      </w:r>
      <w:r w:rsidR="00A11B74" w:rsidRPr="002E55DE">
        <w:rPr>
          <w:rFonts w:ascii="Times New Roman" w:eastAsiaTheme="minorEastAsia" w:hAnsi="Times New Roman"/>
          <w:lang w:eastAsia="ko-KR"/>
        </w:rPr>
        <w:t xml:space="preserve">             </w:t>
      </w:r>
      <w:r w:rsidR="008A2DAC" w:rsidRPr="002E55DE">
        <w:rPr>
          <w:rFonts w:ascii="Times New Roman" w:eastAsiaTheme="minorEastAsia" w:hAnsi="Times New Roman"/>
          <w:lang w:eastAsia="ko-KR"/>
        </w:rPr>
        <w:t>(-18.2%)</w:t>
      </w:r>
      <w:r w:rsidR="0034070F" w:rsidRPr="002E55DE">
        <w:rPr>
          <w:rFonts w:ascii="Times New Roman" w:eastAsiaTheme="minorEastAsia" w:hAnsi="Times New Roman"/>
          <w:lang w:eastAsia="ko-KR"/>
        </w:rPr>
        <w:t xml:space="preserve"> </w:t>
      </w:r>
      <w:r w:rsidR="00EF7E0B" w:rsidRPr="002E55DE">
        <w:rPr>
          <w:rFonts w:ascii="Times New Roman" w:eastAsiaTheme="minorEastAsia" w:hAnsi="Times New Roman"/>
          <w:lang w:eastAsia="ko-KR"/>
        </w:rPr>
        <w:t>is the difference between the TL and BL entries</w:t>
      </w:r>
      <w:r w:rsidR="0034070F" w:rsidRPr="002E55DE">
        <w:rPr>
          <w:rFonts w:ascii="Times New Roman" w:eastAsiaTheme="minorEastAsia" w:hAnsi="Times New Roman"/>
          <w:lang w:eastAsia="ko-KR"/>
        </w:rPr>
        <w:t xml:space="preserve">, indicating that employed individuals are </w:t>
      </w:r>
      <w:r w:rsidR="00781853" w:rsidRPr="002E55DE">
        <w:rPr>
          <w:rFonts w:ascii="Times New Roman" w:eastAsiaTheme="minorEastAsia" w:hAnsi="Times New Roman"/>
          <w:lang w:eastAsia="ko-KR"/>
        </w:rPr>
        <w:t>18.2</w:t>
      </w:r>
      <w:r w:rsidR="0034070F" w:rsidRPr="002E55DE">
        <w:rPr>
          <w:rFonts w:ascii="Times New Roman" w:eastAsiaTheme="minorEastAsia" w:hAnsi="Times New Roman"/>
          <w:lang w:eastAsia="ko-KR"/>
        </w:rPr>
        <w:t>% less likely than unemployed individuals to walk with companions, or equivalently, that unemployed individuals are about 1.</w:t>
      </w:r>
      <w:r w:rsidR="008F446C" w:rsidRPr="002E55DE">
        <w:rPr>
          <w:rFonts w:ascii="Times New Roman" w:eastAsiaTheme="minorEastAsia" w:hAnsi="Times New Roman"/>
          <w:lang w:eastAsia="ko-KR"/>
        </w:rPr>
        <w:t>2</w:t>
      </w:r>
      <w:r w:rsidR="0034070F" w:rsidRPr="002E55DE">
        <w:rPr>
          <w:rFonts w:ascii="Times New Roman" w:eastAsiaTheme="minorEastAsia" w:hAnsi="Times New Roman"/>
          <w:lang w:eastAsia="ko-KR"/>
        </w:rPr>
        <w:t xml:space="preserve"> [100/(100-</w:t>
      </w:r>
      <w:r w:rsidR="00302F02" w:rsidRPr="002E55DE">
        <w:rPr>
          <w:rFonts w:ascii="Times New Roman" w:eastAsiaTheme="minorEastAsia" w:hAnsi="Times New Roman"/>
          <w:lang w:eastAsia="ko-KR"/>
        </w:rPr>
        <w:t>1</w:t>
      </w:r>
      <w:r w:rsidR="00781853" w:rsidRPr="002E55DE">
        <w:rPr>
          <w:rFonts w:ascii="Times New Roman" w:eastAsiaTheme="minorEastAsia" w:hAnsi="Times New Roman"/>
          <w:lang w:eastAsia="ko-KR"/>
        </w:rPr>
        <w:t>8.2</w:t>
      </w:r>
      <w:r w:rsidR="0034070F" w:rsidRPr="002E55DE">
        <w:rPr>
          <w:rFonts w:ascii="Times New Roman" w:eastAsiaTheme="minorEastAsia" w:hAnsi="Times New Roman"/>
          <w:lang w:eastAsia="ko-KR"/>
        </w:rPr>
        <w:t xml:space="preserve">)] times more likely to walk with companions than employed individuals. </w:t>
      </w:r>
      <w:r w:rsidR="00EF7E0B" w:rsidRPr="002E55DE">
        <w:rPr>
          <w:rFonts w:ascii="Times New Roman" w:eastAsiaTheme="minorEastAsia" w:hAnsi="Times New Roman"/>
          <w:lang w:eastAsia="ko-KR"/>
        </w:rPr>
        <w:t xml:space="preserve">Next, proceeding to the </w:t>
      </w:r>
      <w:r w:rsidR="00EF7E0B" w:rsidRPr="002E55DE">
        <w:rPr>
          <w:rFonts w:ascii="Times New Roman" w:eastAsiaTheme="minorEastAsia" w:hAnsi="Times New Roman"/>
          <w:u w:val="single"/>
          <w:lang w:eastAsia="ko-KR"/>
        </w:rPr>
        <w:t>exogenous variable effects on frequency</w:t>
      </w:r>
      <w:r w:rsidR="00EF7E0B" w:rsidRPr="002E55DE">
        <w:rPr>
          <w:rFonts w:ascii="Times New Roman" w:eastAsiaTheme="minorEastAsia" w:hAnsi="Times New Roman"/>
          <w:lang w:eastAsia="ko-KR"/>
        </w:rPr>
        <w:t>, the first t</w:t>
      </w:r>
      <w:r w:rsidR="00E50200" w:rsidRPr="002E55DE">
        <w:rPr>
          <w:rFonts w:ascii="Times New Roman" w:eastAsiaTheme="minorEastAsia" w:hAnsi="Times New Roman"/>
          <w:lang w:eastAsia="ko-KR"/>
        </w:rPr>
        <w:t>hree s</w:t>
      </w:r>
      <w:r w:rsidR="00EF7E0B" w:rsidRPr="002E55DE">
        <w:rPr>
          <w:rFonts w:ascii="Times New Roman" w:eastAsiaTheme="minorEastAsia" w:hAnsi="Times New Roman"/>
          <w:lang w:eastAsia="ko-KR"/>
        </w:rPr>
        <w:t xml:space="preserve">ub-columns </w:t>
      </w:r>
      <w:r w:rsidR="00E50200" w:rsidRPr="002E55DE">
        <w:rPr>
          <w:rFonts w:ascii="Times New Roman" w:eastAsiaTheme="minorEastAsia" w:hAnsi="Times New Roman"/>
          <w:lang w:eastAsia="ko-KR"/>
        </w:rPr>
        <w:t>are similar to that for SC, and represent total effects of the variable. Thus, the entry of</w:t>
      </w:r>
      <w:r w:rsidR="008A2DAC" w:rsidRPr="002E55DE">
        <w:rPr>
          <w:rFonts w:ascii="Times New Roman" w:eastAsiaTheme="minorEastAsia" w:hAnsi="Times New Roman"/>
          <w:lang w:eastAsia="ko-KR"/>
        </w:rPr>
        <w:t xml:space="preserve"> </w:t>
      </w:r>
      <w:r w:rsidR="00E50200" w:rsidRPr="002E55DE">
        <w:rPr>
          <w:rFonts w:ascii="Times New Roman" w:eastAsiaTheme="minorEastAsia" w:hAnsi="Times New Roman"/>
          <w:lang w:eastAsia="ko-KR"/>
        </w:rPr>
        <w:t>“3.5</w:t>
      </w:r>
      <w:r w:rsidR="008F446C" w:rsidRPr="002E55DE">
        <w:rPr>
          <w:rFonts w:ascii="Times New Roman" w:eastAsiaTheme="minorEastAsia" w:hAnsi="Times New Roman"/>
          <w:lang w:eastAsia="ko-KR"/>
        </w:rPr>
        <w:t>8</w:t>
      </w:r>
      <w:r w:rsidR="00E50200" w:rsidRPr="002E55DE">
        <w:rPr>
          <w:rFonts w:ascii="Times New Roman" w:eastAsiaTheme="minorEastAsia" w:hAnsi="Times New Roman"/>
          <w:lang w:eastAsia="ko-KR"/>
        </w:rPr>
        <w:t>” for employment status under the “BL” column indicates that unemployed individuals walk, on average, 3.5</w:t>
      </w:r>
      <w:r w:rsidR="008F446C" w:rsidRPr="002E55DE">
        <w:rPr>
          <w:rFonts w:ascii="Times New Roman" w:eastAsiaTheme="minorEastAsia" w:hAnsi="Times New Roman"/>
          <w:lang w:eastAsia="ko-KR"/>
        </w:rPr>
        <w:t>8</w:t>
      </w:r>
      <w:r w:rsidR="00E50200" w:rsidRPr="002E55DE">
        <w:rPr>
          <w:rFonts w:ascii="Times New Roman" w:eastAsiaTheme="minorEastAsia" w:hAnsi="Times New Roman"/>
          <w:lang w:eastAsia="ko-KR"/>
        </w:rPr>
        <w:t xml:space="preserve"> days in a week, while employed individuals walk, on average, 3.</w:t>
      </w:r>
      <w:r w:rsidR="0034070F" w:rsidRPr="002E55DE">
        <w:rPr>
          <w:rFonts w:ascii="Times New Roman" w:eastAsiaTheme="minorEastAsia" w:hAnsi="Times New Roman"/>
          <w:lang w:eastAsia="ko-KR"/>
        </w:rPr>
        <w:t>73</w:t>
      </w:r>
      <w:r w:rsidR="00E50200" w:rsidRPr="002E55DE">
        <w:rPr>
          <w:rFonts w:ascii="Times New Roman" w:eastAsiaTheme="minorEastAsia" w:hAnsi="Times New Roman"/>
          <w:lang w:eastAsia="ko-KR"/>
        </w:rPr>
        <w:t xml:space="preserve"> days in the week (with a corresponding total ATE change of 4.</w:t>
      </w:r>
      <w:r w:rsidR="00102EE7" w:rsidRPr="002E55DE">
        <w:rPr>
          <w:rFonts w:ascii="Times New Roman" w:eastAsiaTheme="minorEastAsia" w:hAnsi="Times New Roman"/>
          <w:lang w:eastAsia="ko-KR"/>
        </w:rPr>
        <w:t>2</w:t>
      </w:r>
      <w:r w:rsidR="00E50200" w:rsidRPr="002E55DE">
        <w:rPr>
          <w:rFonts w:ascii="Times New Roman" w:eastAsiaTheme="minorEastAsia" w:hAnsi="Times New Roman"/>
          <w:lang w:eastAsia="ko-KR"/>
        </w:rPr>
        <w:t xml:space="preserve">%). The next main column labeled “% contribution by source of effect” </w:t>
      </w:r>
      <w:r w:rsidR="008E1CD1" w:rsidRPr="002E55DE">
        <w:rPr>
          <w:rFonts w:ascii="Times New Roman" w:eastAsiaTheme="minorEastAsia" w:hAnsi="Times New Roman"/>
          <w:lang w:eastAsia="ko-KR"/>
        </w:rPr>
        <w:t xml:space="preserve">under </w:t>
      </w:r>
      <w:r w:rsidR="00DC299F" w:rsidRPr="002E55DE">
        <w:rPr>
          <w:rFonts w:ascii="Times New Roman" w:eastAsiaTheme="minorEastAsia" w:hAnsi="Times New Roman"/>
          <w:lang w:eastAsia="ko-KR"/>
        </w:rPr>
        <w:t>“Frequency”</w:t>
      </w:r>
      <w:r w:rsidR="008E1CD1" w:rsidRPr="002E55DE">
        <w:rPr>
          <w:rFonts w:ascii="Times New Roman" w:eastAsiaTheme="minorEastAsia" w:hAnsi="Times New Roman"/>
          <w:lang w:eastAsia="ko-KR"/>
        </w:rPr>
        <w:t xml:space="preserve"> splits the total employment effect into percentage effect</w:t>
      </w:r>
      <w:r w:rsidR="00DC299F" w:rsidRPr="002E55DE">
        <w:rPr>
          <w:rFonts w:ascii="Times New Roman" w:eastAsiaTheme="minorEastAsia" w:hAnsi="Times New Roman"/>
          <w:lang w:eastAsia="ko-KR"/>
        </w:rPr>
        <w:t>s</w:t>
      </w:r>
      <w:r w:rsidR="008E1CD1" w:rsidRPr="002E55DE">
        <w:rPr>
          <w:rFonts w:ascii="Times New Roman" w:eastAsiaTheme="minorEastAsia" w:hAnsi="Times New Roman"/>
          <w:lang w:eastAsia="ko-KR"/>
        </w:rPr>
        <w:t xml:space="preserve"> mediated through an SC effect (-3</w:t>
      </w:r>
      <w:r w:rsidR="00102EE7" w:rsidRPr="002E55DE">
        <w:rPr>
          <w:rFonts w:ascii="Times New Roman" w:eastAsiaTheme="minorEastAsia" w:hAnsi="Times New Roman"/>
          <w:lang w:eastAsia="ko-KR"/>
        </w:rPr>
        <w:t>4.5</w:t>
      </w:r>
      <w:r w:rsidR="008E1CD1" w:rsidRPr="002E55DE">
        <w:rPr>
          <w:rFonts w:ascii="Times New Roman" w:eastAsiaTheme="minorEastAsia" w:hAnsi="Times New Roman"/>
          <w:lang w:eastAsia="ko-KR"/>
        </w:rPr>
        <w:t>%) and a direct effect (+6</w:t>
      </w:r>
      <w:r w:rsidR="00102EE7" w:rsidRPr="002E55DE">
        <w:rPr>
          <w:rFonts w:ascii="Times New Roman" w:eastAsiaTheme="minorEastAsia" w:hAnsi="Times New Roman"/>
          <w:lang w:eastAsia="ko-KR"/>
        </w:rPr>
        <w:t>5.5</w:t>
      </w:r>
      <w:r w:rsidR="008E1CD1" w:rsidRPr="002E55DE">
        <w:rPr>
          <w:rFonts w:ascii="Times New Roman" w:eastAsiaTheme="minorEastAsia" w:hAnsi="Times New Roman"/>
          <w:lang w:eastAsia="ko-KR"/>
        </w:rPr>
        <w:t xml:space="preserve">%). </w:t>
      </w:r>
      <w:r w:rsidR="00A40901" w:rsidRPr="002E55DE">
        <w:rPr>
          <w:rFonts w:ascii="Times New Roman" w:hAnsi="Times New Roman"/>
        </w:rPr>
        <w:t>Note that the sign associated with the percentage contribution is used to illustrate whether the effect decreases the total ATE (-) or increases it (+)</w:t>
      </w:r>
      <w:r w:rsidR="008E1CD1" w:rsidRPr="002E55DE">
        <w:rPr>
          <w:rFonts w:ascii="Times New Roman" w:hAnsi="Times New Roman"/>
        </w:rPr>
        <w:t>, while the relative magnitude</w:t>
      </w:r>
      <w:r w:rsidR="009C2E25" w:rsidRPr="002E55DE">
        <w:rPr>
          <w:rFonts w:ascii="Times New Roman" w:hAnsi="Times New Roman"/>
        </w:rPr>
        <w:t>s</w:t>
      </w:r>
      <w:r w:rsidR="008E1CD1" w:rsidRPr="002E55DE">
        <w:rPr>
          <w:rFonts w:ascii="Times New Roman" w:hAnsi="Times New Roman"/>
        </w:rPr>
        <w:t xml:space="preserve"> of the effects are computed to total 100%</w:t>
      </w:r>
      <w:r w:rsidR="00A40901" w:rsidRPr="002E55DE">
        <w:rPr>
          <w:rFonts w:ascii="Times New Roman" w:hAnsi="Times New Roman"/>
        </w:rPr>
        <w:t xml:space="preserve">. </w:t>
      </w:r>
      <w:r w:rsidR="008E1CD1" w:rsidRPr="002E55DE">
        <w:rPr>
          <w:rFonts w:ascii="Times New Roman" w:hAnsi="Times New Roman"/>
        </w:rPr>
        <w:t xml:space="preserve">That is, as discussed in Section </w:t>
      </w:r>
      <w:r w:rsidR="00102EE7" w:rsidRPr="002E55DE">
        <w:rPr>
          <w:rFonts w:ascii="Times New Roman" w:eastAsiaTheme="minorEastAsia" w:hAnsi="Times New Roman"/>
          <w:lang w:eastAsia="ko-KR"/>
        </w:rPr>
        <w:t>4</w:t>
      </w:r>
      <w:r w:rsidR="00CE5CDA" w:rsidRPr="002E55DE">
        <w:rPr>
          <w:rFonts w:ascii="Times New Roman" w:eastAsiaTheme="minorEastAsia" w:hAnsi="Times New Roman"/>
          <w:lang w:eastAsia="ko-KR"/>
        </w:rPr>
        <w:t>.1</w:t>
      </w:r>
      <w:r w:rsidR="008E1CD1" w:rsidRPr="002E55DE">
        <w:rPr>
          <w:rFonts w:ascii="Times New Roman" w:hAnsi="Times New Roman"/>
        </w:rPr>
        <w:t>, employment reduces SC propensity, which through the positive SC effect on frequency, leads to a reduction in frequency</w:t>
      </w:r>
      <w:r w:rsidR="00DC299F" w:rsidRPr="002E55DE">
        <w:rPr>
          <w:rFonts w:ascii="Times New Roman" w:hAnsi="Times New Roman"/>
        </w:rPr>
        <w:t xml:space="preserve"> (as represented by the -</w:t>
      </w:r>
      <w:r w:rsidR="00817D8E" w:rsidRPr="002E55DE">
        <w:rPr>
          <w:rFonts w:ascii="Times New Roman" w:eastAsiaTheme="minorEastAsia" w:hAnsi="Times New Roman"/>
          <w:lang w:eastAsia="ko-KR"/>
        </w:rPr>
        <w:t>34.5</w:t>
      </w:r>
      <w:r w:rsidR="00DC299F" w:rsidRPr="002E55DE">
        <w:rPr>
          <w:rFonts w:ascii="Times New Roman" w:hAnsi="Times New Roman"/>
        </w:rPr>
        <w:t>% entry). B</w:t>
      </w:r>
      <w:r w:rsidR="008E1CD1" w:rsidRPr="002E55DE">
        <w:rPr>
          <w:rFonts w:ascii="Times New Roman" w:hAnsi="Times New Roman"/>
        </w:rPr>
        <w:t xml:space="preserve">ut </w:t>
      </w:r>
      <w:r w:rsidR="00DC299F" w:rsidRPr="002E55DE">
        <w:rPr>
          <w:rFonts w:ascii="Times New Roman" w:hAnsi="Times New Roman"/>
        </w:rPr>
        <w:t xml:space="preserve">employment status </w:t>
      </w:r>
      <w:r w:rsidR="008E1CD1" w:rsidRPr="002E55DE">
        <w:rPr>
          <w:rFonts w:ascii="Times New Roman" w:hAnsi="Times New Roman"/>
        </w:rPr>
        <w:t xml:space="preserve">also has a direct positive weekly </w:t>
      </w:r>
      <w:r w:rsidR="00DC299F" w:rsidRPr="002E55DE">
        <w:rPr>
          <w:rFonts w:ascii="Times New Roman" w:hAnsi="Times New Roman"/>
        </w:rPr>
        <w:t xml:space="preserve">frequency </w:t>
      </w:r>
      <w:r w:rsidR="008E1CD1" w:rsidRPr="002E55DE">
        <w:rPr>
          <w:rFonts w:ascii="Times New Roman" w:hAnsi="Times New Roman"/>
        </w:rPr>
        <w:t>effect</w:t>
      </w:r>
      <w:r w:rsidR="00DC299F" w:rsidRPr="002E55DE">
        <w:rPr>
          <w:rFonts w:ascii="Times New Roman" w:hAnsi="Times New Roman"/>
        </w:rPr>
        <w:t xml:space="preserve"> (as reflected in the +6</w:t>
      </w:r>
      <w:r w:rsidR="00817D8E" w:rsidRPr="002E55DE">
        <w:rPr>
          <w:rFonts w:ascii="Times New Roman" w:eastAsiaTheme="minorEastAsia" w:hAnsi="Times New Roman"/>
          <w:lang w:eastAsia="ko-KR"/>
        </w:rPr>
        <w:t>5</w:t>
      </w:r>
      <w:r w:rsidR="00DC299F" w:rsidRPr="002E55DE">
        <w:rPr>
          <w:rFonts w:ascii="Times New Roman" w:hAnsi="Times New Roman"/>
        </w:rPr>
        <w:t>.</w:t>
      </w:r>
      <w:r w:rsidR="00817D8E" w:rsidRPr="002E55DE">
        <w:rPr>
          <w:rFonts w:ascii="Times New Roman" w:eastAsiaTheme="minorEastAsia" w:hAnsi="Times New Roman"/>
          <w:lang w:eastAsia="ko-KR"/>
        </w:rPr>
        <w:t>5</w:t>
      </w:r>
      <w:r w:rsidR="00DC299F" w:rsidRPr="002E55DE">
        <w:rPr>
          <w:rFonts w:ascii="Times New Roman" w:hAnsi="Times New Roman"/>
        </w:rPr>
        <w:t>% entry)</w:t>
      </w:r>
      <w:r w:rsidR="008E1CD1" w:rsidRPr="002E55DE">
        <w:rPr>
          <w:rFonts w:ascii="Times New Roman" w:hAnsi="Times New Roman"/>
        </w:rPr>
        <w:t xml:space="preserve">. Finally, for the </w:t>
      </w:r>
      <w:r w:rsidR="008E1CD1" w:rsidRPr="002E55DE">
        <w:rPr>
          <w:rFonts w:ascii="Times New Roman" w:hAnsi="Times New Roman"/>
          <w:u w:val="single"/>
        </w:rPr>
        <w:t>exogenous variable effects on duration</w:t>
      </w:r>
      <w:r w:rsidR="008E1CD1" w:rsidRPr="002E55DE">
        <w:rPr>
          <w:rFonts w:ascii="Times New Roman" w:hAnsi="Times New Roman"/>
        </w:rPr>
        <w:t xml:space="preserve">, the layout is similar, except that the total effect is now partitioned into an indirect SC effect, an indirect frequency effect, and a direct effect. </w:t>
      </w:r>
      <w:r w:rsidR="0034070F" w:rsidRPr="002E55DE">
        <w:rPr>
          <w:rFonts w:ascii="Times New Roman" w:hAnsi="Times New Roman"/>
        </w:rPr>
        <w:t>Thus, employment has a total ATE</w:t>
      </w:r>
      <w:r w:rsidR="0034070F" w:rsidRPr="002E55DE">
        <w:t xml:space="preserve"> effect </w:t>
      </w:r>
      <w:r w:rsidR="0034070F" w:rsidRPr="002E55DE">
        <w:lastRenderedPageBreak/>
        <w:t>of</w:t>
      </w:r>
      <w:r w:rsidR="00481698" w:rsidRPr="002E55DE">
        <w:rPr>
          <w:rFonts w:eastAsiaTheme="minorEastAsia" w:hint="eastAsia"/>
          <w:lang w:eastAsia="ko-KR"/>
        </w:rPr>
        <w:t xml:space="preserve"> -6%</w:t>
      </w:r>
      <w:r w:rsidR="007E6498" w:rsidRPr="002E55DE">
        <w:t xml:space="preserve"> </w:t>
      </w:r>
      <w:r w:rsidR="007E6498" w:rsidRPr="002E55DE">
        <w:rPr>
          <w:rFonts w:ascii="Times New Roman" w:hAnsi="Times New Roman"/>
        </w:rPr>
        <w:t>on walk duration per day, partitioned into a negative</w:t>
      </w:r>
      <w:r w:rsidR="0090734B" w:rsidRPr="002E55DE">
        <w:rPr>
          <w:rFonts w:ascii="Times New Roman" w:eastAsiaTheme="minorEastAsia" w:hAnsi="Times New Roman"/>
          <w:lang w:eastAsia="ko-KR"/>
        </w:rPr>
        <w:t xml:space="preserve"> 82.1%</w:t>
      </w:r>
      <w:r w:rsidR="007E6498" w:rsidRPr="002E55DE">
        <w:rPr>
          <w:rFonts w:ascii="Times New Roman" w:hAnsi="Times New Roman"/>
        </w:rPr>
        <w:t xml:space="preserve"> contribution through the SC effect and a positive </w:t>
      </w:r>
      <w:r w:rsidR="0090734B" w:rsidRPr="002E55DE">
        <w:rPr>
          <w:rFonts w:ascii="Times New Roman" w:eastAsiaTheme="minorEastAsia" w:hAnsi="Times New Roman"/>
          <w:lang w:eastAsia="ko-KR"/>
        </w:rPr>
        <w:t>17.9%</w:t>
      </w:r>
      <w:r w:rsidR="007E6498" w:rsidRPr="002E55DE">
        <w:rPr>
          <w:rFonts w:ascii="Times New Roman" w:hAnsi="Times New Roman"/>
        </w:rPr>
        <w:t xml:space="preserve"> contribution through the </w:t>
      </w:r>
      <w:r w:rsidR="008E1CD1" w:rsidRPr="002E55DE">
        <w:rPr>
          <w:rFonts w:ascii="Times New Roman" w:hAnsi="Times New Roman"/>
        </w:rPr>
        <w:t>frequency effect</w:t>
      </w:r>
      <w:r w:rsidR="007E6498" w:rsidRPr="002E55DE">
        <w:rPr>
          <w:rFonts w:ascii="Times New Roman" w:hAnsi="Times New Roman"/>
        </w:rPr>
        <w:t xml:space="preserve">. </w:t>
      </w:r>
    </w:p>
    <w:p w14:paraId="7D3CF32D" w14:textId="1EE48B7B" w:rsidR="007B3554" w:rsidRPr="002E55DE" w:rsidRDefault="00955D54" w:rsidP="00BE402A">
      <w:pPr>
        <w:ind w:firstLine="720"/>
        <w:jc w:val="both"/>
        <w:rPr>
          <w:rFonts w:ascii="Times New Roman" w:eastAsiaTheme="minorEastAsia" w:hAnsi="Times New Roman"/>
          <w:lang w:eastAsia="ko-KR"/>
        </w:rPr>
      </w:pPr>
      <w:r w:rsidRPr="002E55DE">
        <w:rPr>
          <w:rFonts w:ascii="Times New Roman" w:eastAsiaTheme="minorEastAsia" w:hAnsi="Times New Roman"/>
          <w:lang w:eastAsia="ko-KR"/>
        </w:rPr>
        <w:t>Following the interpretive reasoning discussed above, we are able to make several observations related to the effects of the exogenous variables on walking dimensions that cannot be inferred from the estimation results</w:t>
      </w:r>
      <w:r w:rsidR="00F24EE2" w:rsidRPr="002E55DE">
        <w:rPr>
          <w:rFonts w:ascii="Times New Roman" w:eastAsiaTheme="minorEastAsia" w:hAnsi="Times New Roman"/>
          <w:lang w:eastAsia="ko-KR"/>
        </w:rPr>
        <w:t xml:space="preserve">. </w:t>
      </w:r>
      <w:r w:rsidR="006B4060" w:rsidRPr="002E55DE">
        <w:rPr>
          <w:rFonts w:ascii="Times New Roman" w:eastAsiaTheme="minorEastAsia" w:hAnsi="Times New Roman"/>
          <w:u w:val="single"/>
          <w:lang w:eastAsia="ko-KR"/>
        </w:rPr>
        <w:t>First</w:t>
      </w:r>
      <w:r w:rsidR="006B4060" w:rsidRPr="002E55DE">
        <w:rPr>
          <w:rFonts w:ascii="Times New Roman" w:eastAsiaTheme="minorEastAsia" w:hAnsi="Times New Roman"/>
          <w:lang w:eastAsia="ko-KR"/>
        </w:rPr>
        <w:t>,</w:t>
      </w:r>
      <w:r w:rsidR="00480BF6" w:rsidRPr="002E55DE">
        <w:rPr>
          <w:rFonts w:ascii="Times New Roman" w:eastAsiaTheme="minorEastAsia" w:hAnsi="Times New Roman"/>
          <w:lang w:eastAsia="ko-KR"/>
        </w:rPr>
        <w:t xml:space="preserve"> the ATE analysis </w:t>
      </w:r>
      <w:r w:rsidR="006B4060" w:rsidRPr="002E55DE">
        <w:rPr>
          <w:rFonts w:ascii="Times New Roman" w:eastAsiaTheme="minorEastAsia" w:hAnsi="Times New Roman"/>
          <w:lang w:eastAsia="ko-KR"/>
        </w:rPr>
        <w:t>allow</w:t>
      </w:r>
      <w:r w:rsidR="00480BF6" w:rsidRPr="002E55DE">
        <w:rPr>
          <w:rFonts w:ascii="Times New Roman" w:eastAsiaTheme="minorEastAsia" w:hAnsi="Times New Roman"/>
          <w:lang w:eastAsia="ko-KR"/>
        </w:rPr>
        <w:t>s</w:t>
      </w:r>
      <w:r w:rsidR="006B4060" w:rsidRPr="002E55DE">
        <w:rPr>
          <w:rFonts w:ascii="Times New Roman" w:eastAsiaTheme="minorEastAsia" w:hAnsi="Times New Roman"/>
          <w:lang w:eastAsia="ko-KR"/>
        </w:rPr>
        <w:t xml:space="preserve"> us to compare </w:t>
      </w:r>
      <w:r w:rsidR="009C2E25" w:rsidRPr="002E55DE">
        <w:rPr>
          <w:rFonts w:ascii="Times New Roman" w:eastAsiaTheme="minorEastAsia" w:hAnsi="Times New Roman"/>
          <w:lang w:eastAsia="ko-KR"/>
        </w:rPr>
        <w:t xml:space="preserve">the </w:t>
      </w:r>
      <w:r w:rsidR="00480BF6" w:rsidRPr="002E55DE">
        <w:rPr>
          <w:rFonts w:ascii="Times New Roman" w:eastAsiaTheme="minorEastAsia" w:hAnsi="Times New Roman"/>
          <w:lang w:eastAsia="ko-KR"/>
        </w:rPr>
        <w:t xml:space="preserve">true and total </w:t>
      </w:r>
      <w:r w:rsidR="006B4060" w:rsidRPr="002E55DE">
        <w:rPr>
          <w:rFonts w:ascii="Times New Roman" w:eastAsiaTheme="minorEastAsia" w:hAnsi="Times New Roman"/>
          <w:lang w:eastAsia="ko-KR"/>
        </w:rPr>
        <w:t>magnitude of influence of exogenous variables</w:t>
      </w:r>
      <w:r w:rsidR="00456AA0" w:rsidRPr="002E55DE">
        <w:rPr>
          <w:rFonts w:ascii="Times New Roman" w:eastAsiaTheme="minorEastAsia" w:hAnsi="Times New Roman"/>
          <w:lang w:eastAsia="ko-KR"/>
        </w:rPr>
        <w:t xml:space="preserve"> </w:t>
      </w:r>
      <w:r w:rsidR="00480BF6" w:rsidRPr="002E55DE">
        <w:rPr>
          <w:rFonts w:ascii="Times New Roman" w:eastAsiaTheme="minorEastAsia" w:hAnsi="Times New Roman"/>
          <w:lang w:eastAsia="ko-KR"/>
        </w:rPr>
        <w:t>on the three walking measures</w:t>
      </w:r>
      <w:r w:rsidR="00A40901" w:rsidRPr="002E55DE">
        <w:rPr>
          <w:rFonts w:ascii="Times New Roman" w:eastAsiaTheme="minorEastAsia" w:hAnsi="Times New Roman"/>
          <w:lang w:eastAsia="ko-KR"/>
        </w:rPr>
        <w:t>. For example</w:t>
      </w:r>
      <w:r w:rsidR="00163DC7" w:rsidRPr="002E55DE">
        <w:rPr>
          <w:rFonts w:ascii="Times New Roman" w:eastAsiaTheme="minorEastAsia" w:hAnsi="Times New Roman"/>
          <w:lang w:eastAsia="ko-KR"/>
        </w:rPr>
        <w:t>, contrary to what the coefficients</w:t>
      </w:r>
      <w:r w:rsidR="00D67186" w:rsidRPr="002E55DE">
        <w:rPr>
          <w:rFonts w:ascii="Times New Roman" w:eastAsiaTheme="minorEastAsia" w:hAnsi="Times New Roman"/>
          <w:lang w:eastAsia="ko-KR"/>
        </w:rPr>
        <w:t xml:space="preserve"> in Table 4</w:t>
      </w:r>
      <w:r w:rsidR="00163DC7" w:rsidRPr="002E55DE">
        <w:rPr>
          <w:rFonts w:ascii="Times New Roman" w:eastAsiaTheme="minorEastAsia" w:hAnsi="Times New Roman"/>
          <w:lang w:eastAsia="ko-KR"/>
        </w:rPr>
        <w:t xml:space="preserve"> suggest</w:t>
      </w:r>
      <w:r w:rsidR="008F62C6" w:rsidRPr="002E55DE">
        <w:rPr>
          <w:rFonts w:ascii="Times New Roman" w:eastAsiaTheme="minorEastAsia" w:hAnsi="Times New Roman"/>
          <w:lang w:eastAsia="ko-KR"/>
        </w:rPr>
        <w:t xml:space="preserve"> for the effects on walking frequency of identifying as a woman and the presence of children in the household (the coefficient for women is </w:t>
      </w:r>
      <w:r w:rsidR="00800B57" w:rsidRPr="002E55DE">
        <w:rPr>
          <w:rFonts w:ascii="Times New Roman" w:eastAsiaTheme="minorEastAsia" w:hAnsi="Times New Roman"/>
          <w:lang w:eastAsia="ko-KR"/>
        </w:rPr>
        <w:t>-</w:t>
      </w:r>
      <w:r w:rsidR="008F62C6" w:rsidRPr="002E55DE">
        <w:rPr>
          <w:rFonts w:ascii="Times New Roman" w:eastAsiaTheme="minorEastAsia" w:hAnsi="Times New Roman"/>
          <w:lang w:eastAsia="ko-KR"/>
        </w:rPr>
        <w:t>0.143, while that for presence of children is -0.204)</w:t>
      </w:r>
      <w:r w:rsidR="00163DC7" w:rsidRPr="002E55DE">
        <w:rPr>
          <w:rFonts w:ascii="Times New Roman" w:eastAsiaTheme="minorEastAsia" w:hAnsi="Times New Roman"/>
          <w:lang w:eastAsia="ko-KR"/>
        </w:rPr>
        <w:t xml:space="preserve">, </w:t>
      </w:r>
      <w:r w:rsidR="008F62C6" w:rsidRPr="002E55DE">
        <w:rPr>
          <w:rFonts w:ascii="Times New Roman" w:eastAsiaTheme="minorEastAsia" w:hAnsi="Times New Roman"/>
          <w:lang w:eastAsia="ko-KR"/>
        </w:rPr>
        <w:t xml:space="preserve">the ATE effects in Table 6 reveal that </w:t>
      </w:r>
      <w:r w:rsidR="00163DC7" w:rsidRPr="002E55DE">
        <w:rPr>
          <w:rFonts w:ascii="Times New Roman" w:eastAsiaTheme="minorEastAsia" w:hAnsi="Times New Roman"/>
          <w:lang w:eastAsia="ko-KR"/>
        </w:rPr>
        <w:t xml:space="preserve">gender has a stronger overall negative </w:t>
      </w:r>
      <w:r w:rsidR="008F62C6" w:rsidRPr="002E55DE">
        <w:rPr>
          <w:rFonts w:ascii="Times New Roman" w:eastAsiaTheme="minorEastAsia" w:hAnsi="Times New Roman"/>
          <w:lang w:eastAsia="ko-KR"/>
        </w:rPr>
        <w:t xml:space="preserve">influence </w:t>
      </w:r>
      <w:r w:rsidR="00163DC7" w:rsidRPr="002E55DE">
        <w:rPr>
          <w:rFonts w:ascii="Times New Roman" w:eastAsiaTheme="minorEastAsia" w:hAnsi="Times New Roman"/>
          <w:lang w:eastAsia="ko-KR"/>
        </w:rPr>
        <w:t xml:space="preserve">on walking frequency than </w:t>
      </w:r>
      <w:r w:rsidR="008F62C6" w:rsidRPr="002E55DE">
        <w:rPr>
          <w:rFonts w:ascii="Times New Roman" w:eastAsiaTheme="minorEastAsia" w:hAnsi="Times New Roman"/>
          <w:lang w:eastAsia="ko-KR"/>
        </w:rPr>
        <w:t xml:space="preserve">does </w:t>
      </w:r>
      <w:r w:rsidR="00163DC7" w:rsidRPr="002E55DE">
        <w:rPr>
          <w:rFonts w:ascii="Times New Roman" w:eastAsiaTheme="minorEastAsia" w:hAnsi="Times New Roman"/>
          <w:lang w:eastAsia="ko-KR"/>
        </w:rPr>
        <w:t xml:space="preserve">living with children. This is because households with children tend to have a higher propensity for walking companions, which partially offsets the direct negative effect. </w:t>
      </w:r>
      <w:r w:rsidR="009F4B3A" w:rsidRPr="002E55DE">
        <w:t xml:space="preserve">This result contrasts with </w:t>
      </w:r>
      <w:r w:rsidR="009C6D0E" w:rsidRPr="002E55DE">
        <w:t>th</w:t>
      </w:r>
      <w:r w:rsidR="006C0B09" w:rsidRPr="002E55DE">
        <w:t>e studies</w:t>
      </w:r>
      <w:r w:rsidR="009C6D0E" w:rsidRPr="002E55DE">
        <w:t xml:space="preserve"> of </w:t>
      </w:r>
      <w:r w:rsidR="009F4B3A" w:rsidRPr="002E55DE">
        <w:t>Liu et al. (2020)</w:t>
      </w:r>
      <w:r w:rsidR="009C6D0E" w:rsidRPr="002E55DE">
        <w:t xml:space="preserve"> and Haddad et al. (2025)</w:t>
      </w:r>
      <w:r w:rsidR="009F4B3A" w:rsidRPr="002E55DE">
        <w:t xml:space="preserve">, </w:t>
      </w:r>
      <w:r w:rsidR="009C6D0E" w:rsidRPr="002E55DE">
        <w:t xml:space="preserve">both of which ignored the mediating effect of companionship on walking frequency and </w:t>
      </w:r>
      <w:r w:rsidR="009F4B3A" w:rsidRPr="002E55DE">
        <w:t xml:space="preserve">found that the presence of </w:t>
      </w:r>
      <w:r w:rsidR="009C6D0E" w:rsidRPr="002E55DE">
        <w:t xml:space="preserve">children in the household  has a larger negative </w:t>
      </w:r>
      <w:r w:rsidR="009F4B3A" w:rsidRPr="002E55DE">
        <w:t>effect than gender</w:t>
      </w:r>
      <w:r w:rsidR="009C6D0E" w:rsidRPr="002E55DE">
        <w:t xml:space="preserve">. </w:t>
      </w:r>
      <w:r w:rsidR="00270008" w:rsidRPr="002E55DE">
        <w:rPr>
          <w:rFonts w:ascii="Times New Roman" w:eastAsiaTheme="minorEastAsia" w:hAnsi="Times New Roman"/>
          <w:lang w:eastAsia="ko-KR"/>
        </w:rPr>
        <w:t>Additionally</w:t>
      </w:r>
      <w:r w:rsidR="00163DC7" w:rsidRPr="002E55DE">
        <w:rPr>
          <w:rFonts w:ascii="Times New Roman" w:eastAsiaTheme="minorEastAsia" w:hAnsi="Times New Roman"/>
          <w:lang w:eastAsia="ko-KR"/>
        </w:rPr>
        <w:t xml:space="preserve">, </w:t>
      </w:r>
      <w:r w:rsidR="007B75A4" w:rsidRPr="002E55DE">
        <w:rPr>
          <w:rFonts w:ascii="Times New Roman" w:eastAsiaTheme="minorEastAsia" w:hAnsi="Times New Roman"/>
          <w:lang w:eastAsia="ko-KR"/>
        </w:rPr>
        <w:t xml:space="preserve">while the coefficient of employment status on walking frequency is higher than the coefficient on high household income in Table 4 (0.125 for employment status versus 0.092 for high household income), </w:t>
      </w:r>
      <w:r w:rsidR="00270008" w:rsidRPr="002E55DE">
        <w:rPr>
          <w:rFonts w:ascii="Times New Roman" w:eastAsiaTheme="minorEastAsia" w:hAnsi="Times New Roman"/>
          <w:lang w:eastAsia="ko-KR"/>
        </w:rPr>
        <w:t xml:space="preserve">our </w:t>
      </w:r>
      <w:r w:rsidR="007B75A4" w:rsidRPr="002E55DE">
        <w:rPr>
          <w:rFonts w:ascii="Times New Roman" w:eastAsiaTheme="minorEastAsia" w:hAnsi="Times New Roman"/>
          <w:lang w:eastAsia="ko-KR"/>
        </w:rPr>
        <w:t xml:space="preserve">ATE </w:t>
      </w:r>
      <w:r w:rsidR="00270008" w:rsidRPr="002E55DE">
        <w:rPr>
          <w:rFonts w:ascii="Times New Roman" w:eastAsiaTheme="minorEastAsia" w:hAnsi="Times New Roman"/>
          <w:lang w:eastAsia="ko-KR"/>
        </w:rPr>
        <w:t xml:space="preserve">findings </w:t>
      </w:r>
      <w:r w:rsidR="007B75A4" w:rsidRPr="002E55DE">
        <w:rPr>
          <w:rFonts w:ascii="Times New Roman" w:eastAsiaTheme="minorEastAsia" w:hAnsi="Times New Roman"/>
          <w:lang w:eastAsia="ko-KR"/>
        </w:rPr>
        <w:t xml:space="preserve">in Table 6 </w:t>
      </w:r>
      <w:r w:rsidR="00270008" w:rsidRPr="002E55DE">
        <w:rPr>
          <w:rFonts w:ascii="Times New Roman" w:eastAsiaTheme="minorEastAsia" w:hAnsi="Times New Roman"/>
          <w:lang w:eastAsia="ko-KR"/>
        </w:rPr>
        <w:t xml:space="preserve">indicate that </w:t>
      </w:r>
      <w:r w:rsidR="00163DC7" w:rsidRPr="002E55DE">
        <w:rPr>
          <w:rFonts w:ascii="Times New Roman" w:eastAsiaTheme="minorEastAsia" w:hAnsi="Times New Roman"/>
          <w:lang w:eastAsia="ko-KR"/>
        </w:rPr>
        <w:t>the</w:t>
      </w:r>
      <w:r w:rsidR="00B469AB" w:rsidRPr="002E55DE">
        <w:rPr>
          <w:rFonts w:ascii="Times New Roman" w:eastAsiaTheme="minorEastAsia" w:hAnsi="Times New Roman"/>
          <w:lang w:eastAsia="ko-KR"/>
        </w:rPr>
        <w:t xml:space="preserve"> overall</w:t>
      </w:r>
      <w:r w:rsidR="00163DC7" w:rsidRPr="002E55DE">
        <w:rPr>
          <w:rFonts w:ascii="Times New Roman" w:eastAsiaTheme="minorEastAsia" w:hAnsi="Times New Roman"/>
          <w:lang w:eastAsia="ko-KR"/>
        </w:rPr>
        <w:t xml:space="preserve"> </w:t>
      </w:r>
      <w:r w:rsidR="007B75A4" w:rsidRPr="002E55DE">
        <w:rPr>
          <w:rFonts w:ascii="Times New Roman" w:eastAsiaTheme="minorEastAsia" w:hAnsi="Times New Roman"/>
          <w:lang w:eastAsia="ko-KR"/>
        </w:rPr>
        <w:t xml:space="preserve">positive </w:t>
      </w:r>
      <w:r w:rsidR="00163DC7" w:rsidRPr="002E55DE">
        <w:rPr>
          <w:rFonts w:ascii="Times New Roman" w:eastAsiaTheme="minorEastAsia" w:hAnsi="Times New Roman"/>
          <w:lang w:eastAsia="ko-KR"/>
        </w:rPr>
        <w:t xml:space="preserve">effect of employment </w:t>
      </w:r>
      <w:r w:rsidR="007B75A4" w:rsidRPr="002E55DE">
        <w:rPr>
          <w:rFonts w:ascii="Times New Roman" w:eastAsiaTheme="minorEastAsia" w:hAnsi="Times New Roman"/>
          <w:lang w:eastAsia="ko-KR"/>
        </w:rPr>
        <w:t xml:space="preserve">on walking frequency </w:t>
      </w:r>
      <w:r w:rsidR="00163DC7" w:rsidRPr="002E55DE">
        <w:rPr>
          <w:rFonts w:ascii="Times New Roman" w:eastAsiaTheme="minorEastAsia" w:hAnsi="Times New Roman"/>
          <w:lang w:eastAsia="ko-KR"/>
        </w:rPr>
        <w:t xml:space="preserve">is </w:t>
      </w:r>
      <w:r w:rsidR="007B75A4" w:rsidRPr="002E55DE">
        <w:rPr>
          <w:rFonts w:ascii="Times New Roman" w:eastAsiaTheme="minorEastAsia" w:hAnsi="Times New Roman"/>
          <w:lang w:eastAsia="ko-KR"/>
        </w:rPr>
        <w:t xml:space="preserve">actually </w:t>
      </w:r>
      <w:r w:rsidR="00163DC7" w:rsidRPr="002E55DE">
        <w:rPr>
          <w:rFonts w:ascii="Times New Roman" w:eastAsiaTheme="minorEastAsia" w:hAnsi="Times New Roman"/>
          <w:lang w:eastAsia="ko-KR"/>
        </w:rPr>
        <w:t>weaker than</w:t>
      </w:r>
      <w:r w:rsidR="00B469AB" w:rsidRPr="002E55DE">
        <w:rPr>
          <w:rFonts w:ascii="Times New Roman" w:eastAsiaTheme="minorEastAsia" w:hAnsi="Times New Roman"/>
          <w:lang w:eastAsia="ko-KR"/>
        </w:rPr>
        <w:t xml:space="preserve"> </w:t>
      </w:r>
      <w:r w:rsidR="007B75A4" w:rsidRPr="002E55DE">
        <w:rPr>
          <w:rFonts w:ascii="Times New Roman" w:eastAsiaTheme="minorEastAsia" w:hAnsi="Times New Roman"/>
          <w:lang w:eastAsia="ko-KR"/>
        </w:rPr>
        <w:t xml:space="preserve">the positive effect of </w:t>
      </w:r>
      <w:r w:rsidR="00163DC7" w:rsidRPr="002E55DE">
        <w:rPr>
          <w:rFonts w:ascii="Times New Roman" w:eastAsiaTheme="minorEastAsia" w:hAnsi="Times New Roman"/>
          <w:lang w:eastAsia="ko-KR"/>
        </w:rPr>
        <w:t>high-income status</w:t>
      </w:r>
      <w:r w:rsidR="007B75A4" w:rsidRPr="002E55DE">
        <w:rPr>
          <w:rFonts w:ascii="Times New Roman" w:eastAsiaTheme="minorEastAsia" w:hAnsi="Times New Roman"/>
          <w:lang w:eastAsia="ko-KR"/>
        </w:rPr>
        <w:t>,</w:t>
      </w:r>
      <w:r w:rsidR="00163DC7" w:rsidRPr="002E55DE">
        <w:rPr>
          <w:rFonts w:ascii="Times New Roman" w:eastAsiaTheme="minorEastAsia" w:hAnsi="Times New Roman"/>
          <w:lang w:eastAsia="ko-KR"/>
        </w:rPr>
        <w:t xml:space="preserve"> d</w:t>
      </w:r>
      <w:r w:rsidR="007B75A4" w:rsidRPr="002E55DE">
        <w:rPr>
          <w:rFonts w:ascii="Times New Roman" w:eastAsiaTheme="minorEastAsia" w:hAnsi="Times New Roman"/>
          <w:lang w:eastAsia="ko-KR"/>
        </w:rPr>
        <w:t>riven</w:t>
      </w:r>
      <w:r w:rsidR="00163DC7" w:rsidRPr="002E55DE">
        <w:rPr>
          <w:rFonts w:ascii="Times New Roman" w:eastAsiaTheme="minorEastAsia" w:hAnsi="Times New Roman"/>
          <w:lang w:eastAsia="ko-KR"/>
        </w:rPr>
        <w:t xml:space="preserve"> </w:t>
      </w:r>
      <w:r w:rsidR="007B75A4" w:rsidRPr="002E55DE">
        <w:rPr>
          <w:rFonts w:ascii="Times New Roman" w:eastAsiaTheme="minorEastAsia" w:hAnsi="Times New Roman"/>
          <w:lang w:eastAsia="ko-KR"/>
        </w:rPr>
        <w:t xml:space="preserve">by </w:t>
      </w:r>
      <w:r w:rsidR="00163DC7" w:rsidRPr="002E55DE">
        <w:rPr>
          <w:rFonts w:ascii="Times New Roman" w:eastAsiaTheme="minorEastAsia" w:hAnsi="Times New Roman"/>
          <w:lang w:eastAsia="ko-KR"/>
        </w:rPr>
        <w:t xml:space="preserve"> the lower tendency of employed individuals to walk with companions.</w:t>
      </w:r>
      <w:r w:rsidR="00B469AB" w:rsidRPr="002E55DE">
        <w:rPr>
          <w:rFonts w:ascii="Times New Roman" w:eastAsiaTheme="minorEastAsia" w:hAnsi="Times New Roman"/>
          <w:lang w:eastAsia="ko-KR"/>
        </w:rPr>
        <w:t xml:space="preserve"> </w:t>
      </w:r>
      <w:r w:rsidR="007B75A4" w:rsidRPr="002E55DE">
        <w:rPr>
          <w:rFonts w:ascii="Times New Roman" w:eastAsiaTheme="minorEastAsia" w:hAnsi="Times New Roman"/>
          <w:lang w:eastAsia="ko-KR"/>
        </w:rPr>
        <w:t xml:space="preserve">Interestingly, the overall positive effect of employment status on walking frequency, even though weaker than the effect of high income status, </w:t>
      </w:r>
      <w:r w:rsidR="00270008" w:rsidRPr="002E55DE">
        <w:t xml:space="preserve">contrasts with </w:t>
      </w:r>
      <w:r w:rsidR="007B75A4" w:rsidRPr="002E55DE">
        <w:t xml:space="preserve">the negative effect of employment status found in </w:t>
      </w:r>
      <w:r w:rsidR="00270008" w:rsidRPr="002E55DE">
        <w:t xml:space="preserve">earlier studies </w:t>
      </w:r>
      <w:r w:rsidR="007B75A4" w:rsidRPr="002E55DE">
        <w:t xml:space="preserve">such as </w:t>
      </w:r>
      <w:r w:rsidR="00270008" w:rsidRPr="002E55DE">
        <w:t xml:space="preserve">Wu et al. </w:t>
      </w:r>
      <w:r w:rsidR="007B75A4" w:rsidRPr="002E55DE">
        <w:t>(</w:t>
      </w:r>
      <w:r w:rsidR="00270008" w:rsidRPr="002E55DE">
        <w:t>2021</w:t>
      </w:r>
      <w:r w:rsidR="007B75A4" w:rsidRPr="002E55DE">
        <w:t xml:space="preserve">) and Haddad et al. (2025). In particular, </w:t>
      </w:r>
      <w:r w:rsidR="00270008" w:rsidRPr="002E55DE">
        <w:t>our study</w:t>
      </w:r>
      <w:r w:rsidR="007B75A4" w:rsidRPr="002E55DE">
        <w:t xml:space="preserve"> indicates that the</w:t>
      </w:r>
      <w:r w:rsidR="00270008" w:rsidRPr="002E55DE">
        <w:t xml:space="preserve"> direct </w:t>
      </w:r>
      <w:r w:rsidR="008C280D" w:rsidRPr="002E55DE">
        <w:t xml:space="preserve">effect of employment (through possibly increased self-efficacy and confidence) dominates over </w:t>
      </w:r>
      <w:r w:rsidR="00270008" w:rsidRPr="002E55DE">
        <w:t>the negative indirect effect associated with reduced companionship</w:t>
      </w:r>
      <w:r w:rsidR="008C280D" w:rsidRPr="002E55DE">
        <w:t xml:space="preserve">, insights not possible if the partitioning of direct and indirect effects of exogenous variables </w:t>
      </w:r>
      <w:r w:rsidR="006C0B09" w:rsidRPr="002E55DE">
        <w:t>were</w:t>
      </w:r>
      <w:r w:rsidR="008C280D" w:rsidRPr="002E55DE">
        <w:t xml:space="preserve"> not undertaken</w:t>
      </w:r>
      <w:r w:rsidR="00270008" w:rsidRPr="002E55DE">
        <w:t>.</w:t>
      </w:r>
      <w:r w:rsidR="008C280D" w:rsidRPr="002E55DE">
        <w:t xml:space="preserve"> </w:t>
      </w:r>
      <w:r w:rsidR="00D51D1A" w:rsidRPr="002E55DE">
        <w:rPr>
          <w:rFonts w:ascii="Times New Roman" w:eastAsiaTheme="minorEastAsia" w:hAnsi="Times New Roman"/>
          <w:u w:val="single"/>
          <w:lang w:eastAsia="ko-KR"/>
        </w:rPr>
        <w:t>Second</w:t>
      </w:r>
      <w:r w:rsidR="00D51D1A" w:rsidRPr="002E55DE">
        <w:rPr>
          <w:rFonts w:ascii="Times New Roman" w:eastAsiaTheme="minorEastAsia" w:hAnsi="Times New Roman"/>
          <w:lang w:eastAsia="ko-KR"/>
        </w:rPr>
        <w:t>,</w:t>
      </w:r>
      <w:r w:rsidR="00163DC7" w:rsidRPr="002E55DE">
        <w:rPr>
          <w:rFonts w:ascii="Times New Roman" w:hAnsi="Times New Roman"/>
        </w:rPr>
        <w:t xml:space="preserve"> </w:t>
      </w:r>
      <w:r w:rsidR="00163DC7" w:rsidRPr="002E55DE">
        <w:rPr>
          <w:rFonts w:ascii="Times New Roman" w:eastAsiaTheme="minorEastAsia" w:hAnsi="Times New Roman"/>
          <w:lang w:eastAsia="ko-KR"/>
        </w:rPr>
        <w:t>the ATE analysis identifies the indirect effects of variables on the three outcomes, even in the absence of</w:t>
      </w:r>
      <w:r w:rsidR="009F6E58" w:rsidRPr="002E55DE">
        <w:rPr>
          <w:rFonts w:ascii="Times New Roman" w:eastAsiaTheme="minorEastAsia" w:hAnsi="Times New Roman"/>
          <w:lang w:eastAsia="ko-KR"/>
        </w:rPr>
        <w:t xml:space="preserve"> </w:t>
      </w:r>
      <w:r w:rsidR="00163DC7" w:rsidRPr="002E55DE">
        <w:rPr>
          <w:rFonts w:ascii="Times New Roman" w:eastAsiaTheme="minorEastAsia" w:hAnsi="Times New Roman"/>
          <w:lang w:eastAsia="ko-KR"/>
        </w:rPr>
        <w:t>any direct effects.</w:t>
      </w:r>
      <w:r w:rsidR="00163DC7" w:rsidRPr="002E55DE">
        <w:rPr>
          <w:rFonts w:ascii="Times New Roman" w:hAnsi="Times New Roman"/>
        </w:rPr>
        <w:t xml:space="preserve"> </w:t>
      </w:r>
      <w:r w:rsidR="00163DC7" w:rsidRPr="002E55DE">
        <w:rPr>
          <w:rFonts w:ascii="Times New Roman" w:eastAsiaTheme="minorEastAsia" w:hAnsi="Times New Roman"/>
          <w:lang w:eastAsia="ko-KR"/>
        </w:rPr>
        <w:t>For example, living alone significantly reduces walking frequency and duration (ATE of</w:t>
      </w:r>
      <w:r w:rsidR="001B3982" w:rsidRPr="002E55DE">
        <w:rPr>
          <w:rFonts w:ascii="Times New Roman" w:eastAsiaTheme="minorEastAsia" w:hAnsi="Times New Roman"/>
          <w:lang w:eastAsia="ko-KR"/>
        </w:rPr>
        <w:t xml:space="preserve"> </w:t>
      </w:r>
      <w:r w:rsidR="001B3982" w:rsidRPr="002E55DE">
        <w:rPr>
          <w:rFonts w:ascii="Times New Roman" w:hAnsi="Times New Roman"/>
        </w:rPr>
        <w:t>-7.4% for frequency and -</w:t>
      </w:r>
      <w:r w:rsidR="001B3982" w:rsidRPr="002E55DE">
        <w:rPr>
          <w:rFonts w:ascii="Times New Roman" w:eastAsiaTheme="minorEastAsia" w:hAnsi="Times New Roman"/>
          <w:lang w:eastAsia="ko-KR"/>
        </w:rPr>
        <w:t>15.4</w:t>
      </w:r>
      <w:r w:rsidR="001B3982" w:rsidRPr="002E55DE">
        <w:rPr>
          <w:rFonts w:ascii="Times New Roman" w:hAnsi="Times New Roman"/>
        </w:rPr>
        <w:t>%</w:t>
      </w:r>
      <w:r w:rsidR="001E2B6A" w:rsidRPr="002E55DE">
        <w:rPr>
          <w:rFonts w:ascii="Times New Roman" w:hAnsi="Times New Roman"/>
        </w:rPr>
        <w:t xml:space="preserve"> for duration</w:t>
      </w:r>
      <w:r w:rsidR="00163DC7" w:rsidRPr="002E55DE">
        <w:rPr>
          <w:rFonts w:ascii="Times New Roman" w:eastAsiaTheme="minorEastAsia" w:hAnsi="Times New Roman"/>
          <w:lang w:eastAsia="ko-KR"/>
        </w:rPr>
        <w:t>)</w:t>
      </w:r>
      <w:r w:rsidR="00E46B3A" w:rsidRPr="002E55DE">
        <w:rPr>
          <w:rFonts w:ascii="Times New Roman" w:eastAsiaTheme="minorEastAsia" w:hAnsi="Times New Roman"/>
          <w:lang w:eastAsia="ko-KR"/>
        </w:rPr>
        <w:t>, exclusively</w:t>
      </w:r>
      <w:r w:rsidR="00163DC7" w:rsidRPr="002E55DE">
        <w:rPr>
          <w:rFonts w:ascii="Times New Roman" w:eastAsiaTheme="minorEastAsia" w:hAnsi="Times New Roman"/>
          <w:lang w:eastAsia="ko-KR"/>
        </w:rPr>
        <w:t xml:space="preserve"> due to the negative indirect effect </w:t>
      </w:r>
      <w:r w:rsidR="00E46B3A" w:rsidRPr="002E55DE">
        <w:rPr>
          <w:rFonts w:ascii="Times New Roman" w:eastAsiaTheme="minorEastAsia" w:hAnsi="Times New Roman"/>
          <w:lang w:eastAsia="ko-KR"/>
        </w:rPr>
        <w:t xml:space="preserve">through </w:t>
      </w:r>
      <w:r w:rsidR="008C280D" w:rsidRPr="002E55DE">
        <w:rPr>
          <w:rFonts w:ascii="Times New Roman" w:eastAsiaTheme="minorEastAsia" w:hAnsi="Times New Roman"/>
          <w:lang w:eastAsia="ko-KR"/>
        </w:rPr>
        <w:t>social companionship (</w:t>
      </w:r>
      <w:r w:rsidR="00163DC7" w:rsidRPr="002E55DE">
        <w:rPr>
          <w:rFonts w:ascii="Times New Roman" w:eastAsiaTheme="minorEastAsia" w:hAnsi="Times New Roman"/>
          <w:lang w:eastAsia="ko-KR"/>
        </w:rPr>
        <w:t>SC</w:t>
      </w:r>
      <w:r w:rsidR="008C280D" w:rsidRPr="002E55DE">
        <w:rPr>
          <w:rFonts w:ascii="Times New Roman" w:eastAsiaTheme="minorEastAsia" w:hAnsi="Times New Roman"/>
          <w:lang w:eastAsia="ko-KR"/>
        </w:rPr>
        <w:t>)</w:t>
      </w:r>
      <w:r w:rsidR="00163DC7" w:rsidRPr="002E55DE">
        <w:rPr>
          <w:rFonts w:ascii="Times New Roman" w:eastAsiaTheme="minorEastAsia" w:hAnsi="Times New Roman"/>
          <w:lang w:eastAsia="ko-KR"/>
        </w:rPr>
        <w:t xml:space="preserve">. </w:t>
      </w:r>
      <w:r w:rsidR="00497E90" w:rsidRPr="002E55DE">
        <w:rPr>
          <w:rFonts w:ascii="Times New Roman" w:eastAsiaTheme="minorEastAsia" w:hAnsi="Times New Roman"/>
          <w:lang w:eastAsia="ko-KR"/>
        </w:rPr>
        <w:t>Th</w:t>
      </w:r>
      <w:r w:rsidR="00E46B3A" w:rsidRPr="002E55DE">
        <w:rPr>
          <w:rFonts w:ascii="Times New Roman" w:eastAsiaTheme="minorEastAsia" w:hAnsi="Times New Roman"/>
          <w:lang w:eastAsia="ko-KR"/>
        </w:rPr>
        <w:t>e overall negative</w:t>
      </w:r>
      <w:r w:rsidR="00497E90" w:rsidRPr="002E55DE">
        <w:rPr>
          <w:rFonts w:ascii="Times New Roman" w:eastAsiaTheme="minorEastAsia" w:hAnsi="Times New Roman"/>
          <w:lang w:eastAsia="ko-KR"/>
        </w:rPr>
        <w:t xml:space="preserve"> </w:t>
      </w:r>
      <w:r w:rsidR="00E46B3A" w:rsidRPr="002E55DE">
        <w:rPr>
          <w:rFonts w:ascii="Times New Roman" w:eastAsiaTheme="minorEastAsia" w:hAnsi="Times New Roman"/>
          <w:lang w:eastAsia="ko-KR"/>
        </w:rPr>
        <w:t xml:space="preserve">effect of living alone on walking frequency and duration </w:t>
      </w:r>
      <w:r w:rsidR="00497E90" w:rsidRPr="002E55DE">
        <w:t>aligns with previous</w:t>
      </w:r>
      <w:r w:rsidR="00270008" w:rsidRPr="002E55DE">
        <w:t xml:space="preserve"> studies</w:t>
      </w:r>
      <w:r w:rsidR="009F6E58" w:rsidRPr="002E55DE">
        <w:t xml:space="preserve"> (see Paydar and Fard, 202</w:t>
      </w:r>
      <w:r w:rsidR="005110CC" w:rsidRPr="002E55DE">
        <w:t>1</w:t>
      </w:r>
      <w:r w:rsidR="009F6E58" w:rsidRPr="002E55DE">
        <w:t>, and Olsen et al., 2024)</w:t>
      </w:r>
      <w:r w:rsidR="008C280D" w:rsidRPr="002E55DE">
        <w:t xml:space="preserve">, but </w:t>
      </w:r>
      <w:r w:rsidR="009F6E58" w:rsidRPr="002E55DE">
        <w:t xml:space="preserve">these </w:t>
      </w:r>
      <w:r w:rsidR="00E46B3A" w:rsidRPr="002E55DE">
        <w:t xml:space="preserve">earlier </w:t>
      </w:r>
      <w:r w:rsidR="009F6E58" w:rsidRPr="002E55DE">
        <w:t xml:space="preserve">studies </w:t>
      </w:r>
      <w:r w:rsidR="008C280D" w:rsidRPr="002E55DE">
        <w:t>were</w:t>
      </w:r>
      <w:r w:rsidR="00E46B3A" w:rsidRPr="002E55DE">
        <w:t xml:space="preserve"> un</w:t>
      </w:r>
      <w:r w:rsidR="008C280D" w:rsidRPr="002E55DE">
        <w:t xml:space="preserve">able to identify the underlying reason as the challenge of </w:t>
      </w:r>
      <w:r w:rsidR="00E46B3A" w:rsidRPr="002E55DE">
        <w:t>forming</w:t>
      </w:r>
      <w:r w:rsidR="009F6E58" w:rsidRPr="002E55DE">
        <w:t xml:space="preserve"> </w:t>
      </w:r>
      <w:r w:rsidR="008C280D" w:rsidRPr="002E55DE">
        <w:t>social companionship</w:t>
      </w:r>
      <w:r w:rsidR="009F6E58" w:rsidRPr="002E55DE">
        <w:t xml:space="preserve"> groups</w:t>
      </w:r>
      <w:r w:rsidR="008C280D" w:rsidRPr="002E55DE">
        <w:t xml:space="preserve"> for walks</w:t>
      </w:r>
      <w:r w:rsidR="009F6E58" w:rsidRPr="002E55DE">
        <w:t xml:space="preserve">. </w:t>
      </w:r>
      <w:r w:rsidR="00163DC7" w:rsidRPr="002E55DE">
        <w:rPr>
          <w:rFonts w:ascii="Times New Roman" w:eastAsiaTheme="minorEastAsia" w:hAnsi="Times New Roman"/>
          <w:lang w:eastAsia="ko-KR"/>
        </w:rPr>
        <w:t>Black individuals also walk less frequently and for shorter durations, not directly because of their racial and cultural background, but indirectly through low SC.</w:t>
      </w:r>
      <w:r w:rsidR="00497E90" w:rsidRPr="002E55DE">
        <w:rPr>
          <w:rFonts w:ascii="Times New Roman" w:eastAsiaTheme="minorEastAsia" w:hAnsi="Times New Roman"/>
          <w:lang w:eastAsia="ko-KR"/>
        </w:rPr>
        <w:t xml:space="preserve"> This pattern is consistent with Ory et al. (2016)</w:t>
      </w:r>
      <w:r w:rsidR="00426A6E" w:rsidRPr="002E55DE">
        <w:rPr>
          <w:rFonts w:ascii="Times New Roman" w:eastAsiaTheme="minorEastAsia" w:hAnsi="Times New Roman"/>
          <w:lang w:eastAsia="ko-KR"/>
        </w:rPr>
        <w:t>,</w:t>
      </w:r>
      <w:r w:rsidR="00497E90" w:rsidRPr="002E55DE">
        <w:rPr>
          <w:rFonts w:ascii="Times New Roman" w:eastAsiaTheme="minorEastAsia" w:hAnsi="Times New Roman"/>
          <w:lang w:eastAsia="ko-KR"/>
        </w:rPr>
        <w:t xml:space="preserve"> who found no direct racial influence </w:t>
      </w:r>
      <w:r w:rsidR="00426A6E" w:rsidRPr="002E55DE">
        <w:rPr>
          <w:rFonts w:ascii="Times New Roman" w:eastAsiaTheme="minorEastAsia" w:hAnsi="Times New Roman"/>
          <w:lang w:eastAsia="ko-KR"/>
        </w:rPr>
        <w:t>after considering</w:t>
      </w:r>
      <w:r w:rsidR="00497E90" w:rsidRPr="002E55DE">
        <w:rPr>
          <w:rFonts w:ascii="Times New Roman" w:eastAsiaTheme="minorEastAsia" w:hAnsi="Times New Roman"/>
          <w:lang w:eastAsia="ko-KR"/>
        </w:rPr>
        <w:t xml:space="preserve"> social factors. However, our analysis uniquely quantifies this mediation, advancing the understanding of how social contexts shape racial </w:t>
      </w:r>
      <w:r w:rsidR="00934BF6">
        <w:rPr>
          <w:rFonts w:ascii="Times New Roman" w:eastAsiaTheme="minorEastAsia" w:hAnsi="Times New Roman"/>
          <w:lang w:eastAsia="ko-KR"/>
        </w:rPr>
        <w:t>variations</w:t>
      </w:r>
      <w:r w:rsidR="00497E90" w:rsidRPr="002E55DE">
        <w:rPr>
          <w:rFonts w:ascii="Times New Roman" w:eastAsiaTheme="minorEastAsia" w:hAnsi="Times New Roman"/>
          <w:lang w:eastAsia="ko-KR"/>
        </w:rPr>
        <w:t xml:space="preserve"> in walking behavior. </w:t>
      </w:r>
      <w:r w:rsidR="009F6E58" w:rsidRPr="002E55DE">
        <w:rPr>
          <w:rFonts w:ascii="Times New Roman" w:eastAsiaTheme="minorEastAsia" w:hAnsi="Times New Roman"/>
          <w:lang w:eastAsia="ko-KR"/>
        </w:rPr>
        <w:t>Similarly, e</w:t>
      </w:r>
      <w:r w:rsidR="00497E90" w:rsidRPr="002E55DE">
        <w:rPr>
          <w:rFonts w:ascii="Times New Roman" w:eastAsiaTheme="minorEastAsia" w:hAnsi="Times New Roman"/>
          <w:lang w:eastAsia="ko-KR"/>
        </w:rPr>
        <w:t xml:space="preserve">mployment </w:t>
      </w:r>
      <w:r w:rsidR="009F6E58" w:rsidRPr="002E55DE">
        <w:rPr>
          <w:rFonts w:ascii="Times New Roman" w:eastAsiaTheme="minorEastAsia" w:hAnsi="Times New Roman"/>
          <w:lang w:eastAsia="ko-KR"/>
        </w:rPr>
        <w:t>status</w:t>
      </w:r>
      <w:r w:rsidR="00E46B3A" w:rsidRPr="002E55DE">
        <w:rPr>
          <w:rFonts w:ascii="Times New Roman" w:eastAsiaTheme="minorEastAsia" w:hAnsi="Times New Roman"/>
          <w:lang w:eastAsia="ko-KR"/>
        </w:rPr>
        <w:t xml:space="preserve"> </w:t>
      </w:r>
      <w:r w:rsidR="009F6E58" w:rsidRPr="002E55DE">
        <w:rPr>
          <w:rFonts w:ascii="Times New Roman" w:eastAsiaTheme="minorEastAsia" w:hAnsi="Times New Roman"/>
          <w:lang w:eastAsia="ko-KR"/>
        </w:rPr>
        <w:t xml:space="preserve">has no direct influence on walking duration, but exerts an overall </w:t>
      </w:r>
      <w:r w:rsidR="00497E90" w:rsidRPr="002E55DE">
        <w:rPr>
          <w:rFonts w:ascii="Times New Roman" w:eastAsiaTheme="minorEastAsia" w:hAnsi="Times New Roman"/>
          <w:lang w:eastAsia="ko-KR"/>
        </w:rPr>
        <w:t>negative effect on walking duration</w:t>
      </w:r>
      <w:r w:rsidR="00E46B3A" w:rsidRPr="002E55DE">
        <w:rPr>
          <w:rFonts w:ascii="Times New Roman" w:eastAsiaTheme="minorEastAsia" w:hAnsi="Times New Roman"/>
          <w:lang w:eastAsia="ko-KR"/>
        </w:rPr>
        <w:t xml:space="preserve"> through indirect effects</w:t>
      </w:r>
      <w:r w:rsidR="002B1A34" w:rsidRPr="002E55DE">
        <w:rPr>
          <w:rFonts w:ascii="Times New Roman" w:eastAsiaTheme="minorEastAsia" w:hAnsi="Times New Roman"/>
          <w:lang w:eastAsia="ko-KR"/>
        </w:rPr>
        <w:t>. Zhang et al. (2014) also noted a similar overall negative effect of employment status on walking duration, but our study</w:t>
      </w:r>
      <w:r w:rsidR="009F6E58" w:rsidRPr="002E55DE">
        <w:rPr>
          <w:rFonts w:ascii="Times New Roman" w:eastAsiaTheme="minorEastAsia" w:hAnsi="Times New Roman"/>
          <w:lang w:eastAsia="ko-KR"/>
        </w:rPr>
        <w:t xml:space="preserve"> </w:t>
      </w:r>
      <w:r w:rsidR="002B1A34" w:rsidRPr="002E55DE">
        <w:rPr>
          <w:rFonts w:ascii="Times New Roman" w:eastAsiaTheme="minorEastAsia" w:hAnsi="Times New Roman"/>
          <w:lang w:eastAsia="ko-KR"/>
        </w:rPr>
        <w:t xml:space="preserve">specifically identifies this effect as a </w:t>
      </w:r>
      <w:r w:rsidR="009F6E58" w:rsidRPr="002E55DE">
        <w:rPr>
          <w:rFonts w:ascii="Times New Roman" w:eastAsiaTheme="minorEastAsia" w:hAnsi="Times New Roman"/>
          <w:lang w:eastAsia="ko-KR"/>
        </w:rPr>
        <w:t>mediat</w:t>
      </w:r>
      <w:r w:rsidR="002B1A34" w:rsidRPr="002E55DE">
        <w:rPr>
          <w:rFonts w:ascii="Times New Roman" w:eastAsiaTheme="minorEastAsia" w:hAnsi="Times New Roman"/>
          <w:lang w:eastAsia="ko-KR"/>
        </w:rPr>
        <w:t xml:space="preserve">ing influence </w:t>
      </w:r>
      <w:r w:rsidR="009F6E58" w:rsidRPr="002E55DE">
        <w:rPr>
          <w:rFonts w:ascii="Times New Roman" w:eastAsiaTheme="minorEastAsia" w:hAnsi="Times New Roman"/>
          <w:lang w:eastAsia="ko-KR"/>
        </w:rPr>
        <w:t xml:space="preserve">through a positive effect on walking frequency and a negative effect on SC. The latter </w:t>
      </w:r>
      <w:r w:rsidR="002B1A34" w:rsidRPr="002E55DE">
        <w:rPr>
          <w:rFonts w:ascii="Times New Roman" w:eastAsiaTheme="minorEastAsia" w:hAnsi="Times New Roman"/>
          <w:lang w:eastAsia="ko-KR"/>
        </w:rPr>
        <w:t xml:space="preserve">effect </w:t>
      </w:r>
      <w:r w:rsidR="000D5A83" w:rsidRPr="002E55DE">
        <w:rPr>
          <w:rFonts w:ascii="Times New Roman" w:eastAsiaTheme="minorEastAsia" w:hAnsi="Times New Roman"/>
          <w:lang w:eastAsia="ko-KR"/>
        </w:rPr>
        <w:t xml:space="preserve">(-82.1%) </w:t>
      </w:r>
      <w:r w:rsidR="009F6E58" w:rsidRPr="002E55DE">
        <w:rPr>
          <w:rFonts w:ascii="Times New Roman" w:eastAsiaTheme="minorEastAsia" w:hAnsi="Times New Roman"/>
          <w:lang w:eastAsia="ko-KR"/>
        </w:rPr>
        <w:t xml:space="preserve">dominates </w:t>
      </w:r>
      <w:r w:rsidR="002B1A34" w:rsidRPr="002E55DE">
        <w:rPr>
          <w:rFonts w:ascii="Times New Roman" w:eastAsiaTheme="minorEastAsia" w:hAnsi="Times New Roman"/>
          <w:lang w:eastAsia="ko-KR"/>
        </w:rPr>
        <w:t xml:space="preserve">over </w:t>
      </w:r>
      <w:r w:rsidR="000D5A83" w:rsidRPr="002E55DE">
        <w:rPr>
          <w:rFonts w:ascii="Times New Roman" w:eastAsiaTheme="minorEastAsia" w:hAnsi="Times New Roman"/>
          <w:lang w:eastAsia="ko-KR"/>
        </w:rPr>
        <w:t xml:space="preserve">the </w:t>
      </w:r>
      <w:r w:rsidR="002B1A34" w:rsidRPr="002E55DE">
        <w:rPr>
          <w:rFonts w:ascii="Times New Roman" w:eastAsiaTheme="minorEastAsia" w:hAnsi="Times New Roman"/>
          <w:lang w:eastAsia="ko-KR"/>
        </w:rPr>
        <w:t>former</w:t>
      </w:r>
      <w:r w:rsidR="000D5A83" w:rsidRPr="002E55DE">
        <w:rPr>
          <w:rFonts w:ascii="Times New Roman" w:eastAsiaTheme="minorEastAsia" w:hAnsi="Times New Roman"/>
          <w:lang w:eastAsia="ko-KR"/>
        </w:rPr>
        <w:t xml:space="preserve"> (+17.9%)</w:t>
      </w:r>
      <w:r w:rsidR="002B1A34" w:rsidRPr="002E55DE">
        <w:rPr>
          <w:rFonts w:ascii="Times New Roman" w:eastAsiaTheme="minorEastAsia" w:hAnsi="Times New Roman"/>
          <w:lang w:eastAsia="ko-KR"/>
        </w:rPr>
        <w:t>, leading to the overall negative effect.</w:t>
      </w:r>
      <w:r w:rsidR="009F6E58" w:rsidRPr="002E55DE">
        <w:rPr>
          <w:rFonts w:ascii="Times New Roman" w:eastAsiaTheme="minorEastAsia" w:hAnsi="Times New Roman"/>
          <w:lang w:eastAsia="ko-KR"/>
        </w:rPr>
        <w:t xml:space="preserve"> </w:t>
      </w:r>
      <w:r w:rsidR="002B1A34" w:rsidRPr="002E55DE">
        <w:rPr>
          <w:rFonts w:ascii="Times New Roman" w:eastAsiaTheme="minorEastAsia" w:hAnsi="Times New Roman"/>
          <w:lang w:eastAsia="ko-KR"/>
        </w:rPr>
        <w:t>On the other hand, different from the current study and Zhang et al. (20</w:t>
      </w:r>
      <w:r w:rsidR="009533FD">
        <w:rPr>
          <w:rFonts w:ascii="Times New Roman" w:eastAsiaTheme="minorEastAsia" w:hAnsi="Times New Roman"/>
          <w:lang w:eastAsia="ko-KR"/>
        </w:rPr>
        <w:t>1</w:t>
      </w:r>
      <w:r w:rsidR="002B1A34" w:rsidRPr="002E55DE">
        <w:rPr>
          <w:rFonts w:ascii="Times New Roman" w:eastAsiaTheme="minorEastAsia" w:hAnsi="Times New Roman"/>
          <w:lang w:eastAsia="ko-KR"/>
        </w:rPr>
        <w:t xml:space="preserve">4), </w:t>
      </w:r>
      <w:proofErr w:type="spellStart"/>
      <w:r w:rsidR="00497E90" w:rsidRPr="002E55DE">
        <w:t>Paydar</w:t>
      </w:r>
      <w:proofErr w:type="spellEnd"/>
      <w:r w:rsidR="00497E90" w:rsidRPr="002E55DE">
        <w:t xml:space="preserve"> and </w:t>
      </w:r>
      <w:proofErr w:type="spellStart"/>
      <w:r w:rsidR="00497E90" w:rsidRPr="002E55DE">
        <w:t>Fard</w:t>
      </w:r>
      <w:proofErr w:type="spellEnd"/>
      <w:r w:rsidR="00497E90" w:rsidRPr="002E55DE">
        <w:t xml:space="preserve"> (202</w:t>
      </w:r>
      <w:r w:rsidR="00A6044B" w:rsidRPr="002E55DE">
        <w:t>1</w:t>
      </w:r>
      <w:r w:rsidR="00497E90" w:rsidRPr="002E55DE">
        <w:t>)</w:t>
      </w:r>
      <w:r w:rsidR="00497E90" w:rsidRPr="002E55DE">
        <w:rPr>
          <w:rFonts w:ascii="Times New Roman" w:eastAsiaTheme="minorEastAsia" w:hAnsi="Times New Roman"/>
          <w:lang w:eastAsia="ko-KR"/>
        </w:rPr>
        <w:t xml:space="preserve">, </w:t>
      </w:r>
      <w:r w:rsidR="002B1A34" w:rsidRPr="002E55DE">
        <w:rPr>
          <w:rFonts w:ascii="Times New Roman" w:eastAsiaTheme="minorEastAsia" w:hAnsi="Times New Roman"/>
          <w:lang w:eastAsia="ko-KR"/>
        </w:rPr>
        <w:t xml:space="preserve">who, like Zhang et al. (2014) did not consider mediating pathway effects, reported no statistically significant effect of </w:t>
      </w:r>
      <w:r w:rsidR="00497E90" w:rsidRPr="002E55DE">
        <w:rPr>
          <w:rFonts w:ascii="Times New Roman" w:eastAsiaTheme="minorEastAsia" w:hAnsi="Times New Roman"/>
          <w:lang w:eastAsia="ko-KR"/>
        </w:rPr>
        <w:t xml:space="preserve">employment status </w:t>
      </w:r>
      <w:r w:rsidR="002B1A34" w:rsidRPr="002E55DE">
        <w:rPr>
          <w:rFonts w:ascii="Times New Roman" w:eastAsiaTheme="minorEastAsia" w:hAnsi="Times New Roman"/>
          <w:lang w:eastAsia="ko-KR"/>
        </w:rPr>
        <w:t>on walking duration</w:t>
      </w:r>
      <w:r w:rsidR="00497E90" w:rsidRPr="002E55DE">
        <w:rPr>
          <w:rFonts w:ascii="Times New Roman" w:eastAsiaTheme="minorEastAsia" w:hAnsi="Times New Roman"/>
          <w:lang w:eastAsia="ko-KR"/>
        </w:rPr>
        <w:t xml:space="preserve">. </w:t>
      </w:r>
      <w:r w:rsidR="0083295E" w:rsidRPr="002E55DE">
        <w:rPr>
          <w:rFonts w:ascii="Times New Roman" w:hAnsi="Times New Roman"/>
          <w:u w:val="single"/>
        </w:rPr>
        <w:t>Third</w:t>
      </w:r>
      <w:r w:rsidR="0083295E" w:rsidRPr="002E55DE">
        <w:rPr>
          <w:rFonts w:ascii="Times New Roman" w:hAnsi="Times New Roman"/>
        </w:rPr>
        <w:t xml:space="preserve">, </w:t>
      </w:r>
      <w:r w:rsidR="000D5A83" w:rsidRPr="002E55DE">
        <w:rPr>
          <w:rFonts w:ascii="Times New Roman" w:hAnsi="Times New Roman"/>
        </w:rPr>
        <w:t xml:space="preserve">related to the point above, </w:t>
      </w:r>
      <w:r w:rsidR="00426A6E" w:rsidRPr="002E55DE">
        <w:rPr>
          <w:rFonts w:ascii="Times New Roman" w:hAnsi="Times New Roman"/>
        </w:rPr>
        <w:t>our</w:t>
      </w:r>
      <w:r w:rsidR="0083295E" w:rsidRPr="002E55DE">
        <w:rPr>
          <w:rFonts w:ascii="Times New Roman" w:hAnsi="Times New Roman"/>
        </w:rPr>
        <w:t xml:space="preserve"> approach allows for decomposing the contribution of each pathway from </w:t>
      </w:r>
      <w:r w:rsidR="0083295E" w:rsidRPr="002E55DE">
        <w:rPr>
          <w:rFonts w:ascii="Times New Roman" w:hAnsi="Times New Roman"/>
        </w:rPr>
        <w:lastRenderedPageBreak/>
        <w:t xml:space="preserve">exogenous variables to outcome variables. </w:t>
      </w:r>
      <w:r w:rsidR="00925E50" w:rsidRPr="002E55DE">
        <w:rPr>
          <w:rFonts w:ascii="Times New Roman" w:hAnsi="Times New Roman"/>
        </w:rPr>
        <w:t xml:space="preserve">The effect of child presence on walking </w:t>
      </w:r>
      <w:r w:rsidR="000D5A83" w:rsidRPr="002E55DE">
        <w:rPr>
          <w:rFonts w:ascii="Times New Roman" w:hAnsi="Times New Roman"/>
        </w:rPr>
        <w:t xml:space="preserve">duration </w:t>
      </w:r>
      <w:r w:rsidR="00925E50" w:rsidRPr="002E55DE">
        <w:rPr>
          <w:rFonts w:ascii="Times New Roman" w:hAnsi="Times New Roman"/>
        </w:rPr>
        <w:t>illustrates this</w:t>
      </w:r>
      <w:r w:rsidR="00FD0357" w:rsidRPr="002E55DE">
        <w:rPr>
          <w:rFonts w:ascii="Times New Roman" w:hAnsi="Times New Roman"/>
        </w:rPr>
        <w:t xml:space="preserve"> nuanced interplay</w:t>
      </w:r>
      <w:r w:rsidR="00925E50" w:rsidRPr="002E55DE">
        <w:rPr>
          <w:rFonts w:ascii="Times New Roman" w:hAnsi="Times New Roman"/>
        </w:rPr>
        <w:t>. It includes (1) a positive indirect effect mediated through SC</w:t>
      </w:r>
      <w:r w:rsidR="00676A92" w:rsidRPr="002E55DE">
        <w:rPr>
          <w:rFonts w:ascii="Times New Roman" w:eastAsiaTheme="minorEastAsia" w:hAnsi="Times New Roman"/>
          <w:lang w:eastAsia="ko-KR"/>
        </w:rPr>
        <w:t xml:space="preserve"> (+46.6%),</w:t>
      </w:r>
      <w:r w:rsidR="00925E50" w:rsidRPr="002E55DE">
        <w:rPr>
          <w:rFonts w:ascii="Times New Roman" w:hAnsi="Times New Roman"/>
        </w:rPr>
        <w:t xml:space="preserve"> (2) a negative indirect effect through frequency</w:t>
      </w:r>
      <w:r w:rsidR="00A11B74" w:rsidRPr="002E55DE">
        <w:rPr>
          <w:rFonts w:ascii="Times New Roman" w:eastAsiaTheme="minorEastAsia" w:hAnsi="Times New Roman"/>
          <w:lang w:eastAsia="ko-KR"/>
        </w:rPr>
        <w:t xml:space="preserve"> </w:t>
      </w:r>
      <w:r w:rsidR="00676A92" w:rsidRPr="002E55DE">
        <w:rPr>
          <w:rFonts w:ascii="Times New Roman" w:eastAsiaTheme="minorEastAsia" w:hAnsi="Times New Roman"/>
          <w:lang w:eastAsia="ko-KR"/>
        </w:rPr>
        <w:t>(</w:t>
      </w:r>
      <w:r w:rsidR="00006599" w:rsidRPr="002E55DE">
        <w:rPr>
          <w:rFonts w:ascii="Times New Roman" w:eastAsiaTheme="minorEastAsia" w:hAnsi="Times New Roman"/>
          <w:lang w:eastAsia="ko-KR"/>
        </w:rPr>
        <w:t>-10.1%),</w:t>
      </w:r>
      <w:r w:rsidR="00925E50" w:rsidRPr="002E55DE">
        <w:rPr>
          <w:rFonts w:ascii="Times New Roman" w:hAnsi="Times New Roman"/>
        </w:rPr>
        <w:t xml:space="preserve"> and (3) a direct negative effect</w:t>
      </w:r>
      <w:r w:rsidR="00006599" w:rsidRPr="002E55DE">
        <w:rPr>
          <w:rFonts w:ascii="Times New Roman" w:eastAsiaTheme="minorEastAsia" w:hAnsi="Times New Roman"/>
          <w:lang w:eastAsia="ko-KR"/>
        </w:rPr>
        <w:t xml:space="preserve"> (-43.3%).</w:t>
      </w:r>
      <w:r w:rsidR="00925E50" w:rsidRPr="002E55DE">
        <w:rPr>
          <w:rFonts w:ascii="Times New Roman" w:hAnsi="Times New Roman"/>
        </w:rPr>
        <w:t xml:space="preserve"> This decomposition shows that the positive effect of having a child through higher SC </w:t>
      </w:r>
      <w:r w:rsidR="00ED3F01" w:rsidRPr="002E55DE">
        <w:rPr>
          <w:rFonts w:ascii="Times New Roman" w:eastAsiaTheme="minorEastAsia" w:hAnsi="Times New Roman"/>
          <w:lang w:eastAsia="ko-KR"/>
        </w:rPr>
        <w:t xml:space="preserve">is </w:t>
      </w:r>
      <w:r w:rsidR="00426A6E" w:rsidRPr="002E55DE">
        <w:rPr>
          <w:rFonts w:ascii="Times New Roman" w:eastAsiaTheme="minorEastAsia" w:hAnsi="Times New Roman"/>
          <w:lang w:eastAsia="ko-KR"/>
        </w:rPr>
        <w:t>nearly</w:t>
      </w:r>
      <w:r w:rsidR="00FD0357" w:rsidRPr="002E55DE">
        <w:rPr>
          <w:rFonts w:ascii="Times New Roman" w:eastAsiaTheme="minorEastAsia" w:hAnsi="Times New Roman"/>
          <w:lang w:eastAsia="ko-KR"/>
        </w:rPr>
        <w:t xml:space="preserve"> </w:t>
      </w:r>
      <w:r w:rsidR="00925E50" w:rsidRPr="002E55DE">
        <w:rPr>
          <w:rFonts w:ascii="Times New Roman" w:hAnsi="Times New Roman"/>
        </w:rPr>
        <w:t>cancel</w:t>
      </w:r>
      <w:r w:rsidR="00ED3F01" w:rsidRPr="002E55DE">
        <w:rPr>
          <w:rFonts w:ascii="Times New Roman" w:eastAsiaTheme="minorEastAsia" w:hAnsi="Times New Roman"/>
          <w:lang w:eastAsia="ko-KR"/>
        </w:rPr>
        <w:t>ed</w:t>
      </w:r>
      <w:r w:rsidR="00925E50" w:rsidRPr="002E55DE">
        <w:rPr>
          <w:rFonts w:ascii="Times New Roman" w:hAnsi="Times New Roman"/>
        </w:rPr>
        <w:t xml:space="preserve"> out </w:t>
      </w:r>
      <w:r w:rsidR="00FD0357" w:rsidRPr="002E55DE">
        <w:rPr>
          <w:rFonts w:ascii="Times New Roman" w:eastAsiaTheme="minorEastAsia" w:hAnsi="Times New Roman"/>
          <w:lang w:eastAsia="ko-KR"/>
        </w:rPr>
        <w:t xml:space="preserve">by </w:t>
      </w:r>
      <w:r w:rsidR="00925E50" w:rsidRPr="002E55DE">
        <w:rPr>
          <w:rFonts w:ascii="Times New Roman" w:hAnsi="Times New Roman"/>
        </w:rPr>
        <w:t>the negative indirect effect through frequency</w:t>
      </w:r>
      <w:r w:rsidR="005357DD" w:rsidRPr="002E55DE">
        <w:rPr>
          <w:rFonts w:ascii="Times New Roman" w:eastAsiaTheme="minorEastAsia" w:hAnsi="Times New Roman"/>
          <w:lang w:eastAsia="ko-KR"/>
        </w:rPr>
        <w:t xml:space="preserve"> and </w:t>
      </w:r>
      <w:r w:rsidR="00925E50" w:rsidRPr="002E55DE">
        <w:rPr>
          <w:rFonts w:ascii="Times New Roman" w:hAnsi="Times New Roman"/>
        </w:rPr>
        <w:t>the direct negative effect, especially in households with three or more adults, result</w:t>
      </w:r>
      <w:r w:rsidR="00FD0357" w:rsidRPr="002E55DE">
        <w:rPr>
          <w:rFonts w:ascii="Times New Roman" w:hAnsi="Times New Roman"/>
        </w:rPr>
        <w:t>ing</w:t>
      </w:r>
      <w:r w:rsidR="00925E50" w:rsidRPr="002E55DE">
        <w:rPr>
          <w:rFonts w:ascii="Times New Roman" w:hAnsi="Times New Roman"/>
        </w:rPr>
        <w:t xml:space="preserve"> in shorter walk durations </w:t>
      </w:r>
      <w:r w:rsidR="00FD0357" w:rsidRPr="002E55DE">
        <w:rPr>
          <w:rFonts w:ascii="Times New Roman" w:hAnsi="Times New Roman"/>
        </w:rPr>
        <w:t xml:space="preserve">for these households </w:t>
      </w:r>
      <w:r w:rsidR="00925E50" w:rsidRPr="002E55DE">
        <w:rPr>
          <w:rFonts w:ascii="Times New Roman" w:hAnsi="Times New Roman"/>
        </w:rPr>
        <w:t xml:space="preserve">compared to two-adult households without </w:t>
      </w:r>
      <w:r w:rsidR="000D5A83" w:rsidRPr="002E55DE">
        <w:rPr>
          <w:rFonts w:ascii="Times New Roman" w:hAnsi="Times New Roman"/>
        </w:rPr>
        <w:t xml:space="preserve">a </w:t>
      </w:r>
      <w:r w:rsidR="00925E50" w:rsidRPr="002E55DE">
        <w:rPr>
          <w:rFonts w:ascii="Times New Roman" w:hAnsi="Times New Roman"/>
        </w:rPr>
        <w:t>child. Overall, these effects balance out, resulting in a minimal total ATE of</w:t>
      </w:r>
      <w:r w:rsidR="00A11B74" w:rsidRPr="002E55DE">
        <w:rPr>
          <w:rFonts w:ascii="Times New Roman" w:eastAsiaTheme="minorEastAsia" w:hAnsi="Times New Roman"/>
          <w:lang w:eastAsia="ko-KR"/>
        </w:rPr>
        <w:t xml:space="preserve"> </w:t>
      </w:r>
      <w:r w:rsidR="00006599" w:rsidRPr="002E55DE">
        <w:rPr>
          <w:rFonts w:ascii="Times New Roman" w:eastAsiaTheme="minorEastAsia" w:hAnsi="Times New Roman"/>
          <w:lang w:eastAsia="ko-KR"/>
        </w:rPr>
        <w:t>-2.1%.</w:t>
      </w:r>
      <w:r w:rsidR="00497E90" w:rsidRPr="002E55DE">
        <w:t xml:space="preserve"> </w:t>
      </w:r>
      <w:r w:rsidR="000D5A83" w:rsidRPr="002E55DE">
        <w:t xml:space="preserve">This overall small influence of child presence is consistent with </w:t>
      </w:r>
      <w:r w:rsidR="000D5A83" w:rsidRPr="002E55DE">
        <w:rPr>
          <w:rFonts w:ascii="Times New Roman" w:eastAsiaTheme="minorEastAsia" w:hAnsi="Times New Roman"/>
          <w:lang w:eastAsia="ko-KR"/>
        </w:rPr>
        <w:t xml:space="preserve">the statistically insignificant effect of child presence </w:t>
      </w:r>
      <w:r w:rsidR="009A5984" w:rsidRPr="002E55DE">
        <w:rPr>
          <w:rFonts w:ascii="Times New Roman" w:eastAsiaTheme="minorEastAsia" w:hAnsi="Times New Roman"/>
          <w:lang w:eastAsia="ko-KR"/>
        </w:rPr>
        <w:t xml:space="preserve">on walking duration as observed by </w:t>
      </w:r>
      <w:r w:rsidR="00497E90" w:rsidRPr="002E55DE">
        <w:rPr>
          <w:rFonts w:ascii="Times New Roman" w:eastAsiaTheme="minorEastAsia" w:hAnsi="Times New Roman"/>
          <w:lang w:eastAsia="ko-KR"/>
        </w:rPr>
        <w:t>Liu et al. (2020)</w:t>
      </w:r>
      <w:r w:rsidR="009A5984" w:rsidRPr="002E55DE">
        <w:rPr>
          <w:rFonts w:ascii="Times New Roman" w:eastAsiaTheme="minorEastAsia" w:hAnsi="Times New Roman"/>
          <w:lang w:eastAsia="ko-KR"/>
        </w:rPr>
        <w:t xml:space="preserve">. However, </w:t>
      </w:r>
      <w:r w:rsidR="00E46B3A" w:rsidRPr="002E55DE">
        <w:rPr>
          <w:rFonts w:ascii="Times New Roman" w:eastAsiaTheme="minorEastAsia" w:hAnsi="Times New Roman"/>
          <w:lang w:eastAsia="ko-KR"/>
        </w:rPr>
        <w:t xml:space="preserve">again, </w:t>
      </w:r>
      <w:r w:rsidR="009A5984" w:rsidRPr="002E55DE">
        <w:rPr>
          <w:rFonts w:ascii="Times New Roman" w:eastAsiaTheme="minorEastAsia" w:hAnsi="Times New Roman"/>
          <w:lang w:eastAsia="ko-KR"/>
        </w:rPr>
        <w:t xml:space="preserve">our study partitions the different effects leading up to the overall small effect, providing deep insights related to policy interventions to promote walking in this demographic group, as we discuss in the next section. </w:t>
      </w:r>
      <w:r w:rsidR="00497E90" w:rsidRPr="002E55DE">
        <w:rPr>
          <w:rFonts w:ascii="Times New Roman" w:eastAsiaTheme="minorEastAsia" w:hAnsi="Times New Roman"/>
          <w:lang w:eastAsia="ko-KR"/>
        </w:rPr>
        <w:t xml:space="preserve"> </w:t>
      </w:r>
    </w:p>
    <w:p w14:paraId="4112B6A0" w14:textId="0F6AE2DF" w:rsidR="00F45BC9" w:rsidRPr="002E55DE" w:rsidRDefault="00480BF6" w:rsidP="00B147A2">
      <w:pPr>
        <w:ind w:firstLine="720"/>
        <w:jc w:val="both"/>
        <w:rPr>
          <w:rFonts w:eastAsiaTheme="minorEastAsia"/>
          <w:lang w:eastAsia="ko-KR"/>
        </w:rPr>
      </w:pPr>
      <w:r w:rsidRPr="002E55DE">
        <w:rPr>
          <w:rFonts w:ascii="Times New Roman" w:hAnsi="Times New Roman"/>
        </w:rPr>
        <w:t xml:space="preserve">Finally, </w:t>
      </w:r>
      <w:r w:rsidRPr="002E55DE">
        <w:rPr>
          <w:rFonts w:ascii="Times New Roman" w:eastAsiaTheme="minorEastAsia" w:hAnsi="Times New Roman"/>
          <w:lang w:eastAsia="ko-KR"/>
        </w:rPr>
        <w:t>t</w:t>
      </w:r>
      <w:r w:rsidR="00FE4BF5" w:rsidRPr="002E55DE">
        <w:rPr>
          <w:rFonts w:ascii="Times New Roman" w:eastAsiaTheme="minorEastAsia" w:hAnsi="Times New Roman"/>
          <w:lang w:eastAsia="ko-KR"/>
        </w:rPr>
        <w:t>oward the end of the table, we also compute the ATE effects of the endogenous outcomes, even though they are not exogenous variables. While these effects are implicit in the pathway effects for the exogenous variables,</w:t>
      </w:r>
      <w:r w:rsidR="00A26232" w:rsidRPr="002E55DE">
        <w:rPr>
          <w:rFonts w:ascii="Times New Roman" w:eastAsiaTheme="minorEastAsia" w:hAnsi="Times New Roman"/>
          <w:lang w:eastAsia="ko-KR"/>
        </w:rPr>
        <w:t xml:space="preserve"> they</w:t>
      </w:r>
      <w:r w:rsidR="00FE4BF5" w:rsidRPr="002E55DE">
        <w:rPr>
          <w:rFonts w:ascii="Times New Roman" w:eastAsiaTheme="minorEastAsia" w:hAnsi="Times New Roman"/>
          <w:lang w:eastAsia="ko-KR"/>
        </w:rPr>
        <w:t xml:space="preserve"> </w:t>
      </w:r>
      <w:r w:rsidR="00A26232" w:rsidRPr="002E55DE">
        <w:rPr>
          <w:rFonts w:ascii="Times New Roman" w:eastAsiaTheme="minorEastAsia" w:hAnsi="Times New Roman"/>
          <w:lang w:eastAsia="ko-KR"/>
        </w:rPr>
        <w:t xml:space="preserve">provide valuable insights for policy development. </w:t>
      </w:r>
      <w:r w:rsidR="00FE4BF5" w:rsidRPr="002E55DE">
        <w:rPr>
          <w:rFonts w:ascii="Times New Roman" w:eastAsiaTheme="minorEastAsia" w:hAnsi="Times New Roman"/>
          <w:lang w:eastAsia="ko-KR"/>
        </w:rPr>
        <w:t xml:space="preserve">For these </w:t>
      </w:r>
      <w:r w:rsidR="00A26232" w:rsidRPr="002E55DE">
        <w:rPr>
          <w:rFonts w:ascii="Times New Roman" w:eastAsiaTheme="minorEastAsia" w:hAnsi="Times New Roman"/>
          <w:lang w:eastAsia="ko-KR"/>
        </w:rPr>
        <w:t>calculations</w:t>
      </w:r>
      <w:r w:rsidR="00FE4BF5" w:rsidRPr="002E55DE">
        <w:rPr>
          <w:rFonts w:ascii="Times New Roman" w:eastAsiaTheme="minorEastAsia" w:hAnsi="Times New Roman"/>
          <w:lang w:eastAsia="ko-KR"/>
        </w:rPr>
        <w:t xml:space="preserve">, we consider a change from the </w:t>
      </w:r>
      <w:r w:rsidR="00A26232" w:rsidRPr="002E55DE">
        <w:rPr>
          <w:rFonts w:ascii="Times New Roman" w:eastAsiaTheme="minorEastAsia" w:hAnsi="Times New Roman"/>
          <w:lang w:eastAsia="ko-KR"/>
        </w:rPr>
        <w:t>BL</w:t>
      </w:r>
      <w:r w:rsidR="00FE4BF5" w:rsidRPr="002E55DE">
        <w:rPr>
          <w:rFonts w:ascii="Times New Roman" w:eastAsiaTheme="minorEastAsia" w:hAnsi="Times New Roman"/>
          <w:lang w:eastAsia="ko-KR"/>
        </w:rPr>
        <w:t xml:space="preserve"> of “sometimes or less” to the </w:t>
      </w:r>
      <w:r w:rsidR="00A26232" w:rsidRPr="002E55DE">
        <w:rPr>
          <w:rFonts w:ascii="Times New Roman" w:eastAsiaTheme="minorEastAsia" w:hAnsi="Times New Roman"/>
          <w:lang w:eastAsia="ko-KR"/>
        </w:rPr>
        <w:t>TL</w:t>
      </w:r>
      <w:r w:rsidR="00FE4BF5" w:rsidRPr="002E55DE">
        <w:rPr>
          <w:rFonts w:ascii="Times New Roman" w:eastAsiaTheme="minorEastAsia" w:hAnsi="Times New Roman"/>
          <w:lang w:eastAsia="ko-KR"/>
        </w:rPr>
        <w:t xml:space="preserve"> “often or always” for the SC outcome, and from the </w:t>
      </w:r>
      <w:r w:rsidR="00A26232" w:rsidRPr="002E55DE">
        <w:rPr>
          <w:rFonts w:ascii="Times New Roman" w:eastAsiaTheme="minorEastAsia" w:hAnsi="Times New Roman"/>
          <w:lang w:eastAsia="ko-KR"/>
        </w:rPr>
        <w:t>BL</w:t>
      </w:r>
      <w:r w:rsidR="00FE4BF5" w:rsidRPr="002E55DE">
        <w:rPr>
          <w:rFonts w:ascii="Times New Roman" w:eastAsiaTheme="minorEastAsia" w:hAnsi="Times New Roman"/>
          <w:lang w:eastAsia="ko-KR"/>
        </w:rPr>
        <w:t xml:space="preserve"> of “less than 3 times a week” to the </w:t>
      </w:r>
      <w:r w:rsidR="00A26232" w:rsidRPr="002E55DE">
        <w:rPr>
          <w:rFonts w:ascii="Times New Roman" w:eastAsiaTheme="minorEastAsia" w:hAnsi="Times New Roman"/>
          <w:lang w:eastAsia="ko-KR"/>
        </w:rPr>
        <w:t>TL</w:t>
      </w:r>
      <w:r w:rsidR="00FE4BF5" w:rsidRPr="002E55DE">
        <w:rPr>
          <w:rFonts w:ascii="Times New Roman" w:eastAsiaTheme="minorEastAsia" w:hAnsi="Times New Roman"/>
          <w:lang w:eastAsia="ko-KR"/>
        </w:rPr>
        <w:t xml:space="preserve"> of “3 times a week or more” for walk frequency. </w:t>
      </w:r>
      <w:r w:rsidR="00851C48" w:rsidRPr="002E55DE">
        <w:rPr>
          <w:rFonts w:ascii="Times New Roman" w:eastAsiaTheme="minorEastAsia" w:hAnsi="Times New Roman"/>
          <w:lang w:eastAsia="ko-KR"/>
        </w:rPr>
        <w:t>These endogenous outcome effects reveal a substantial impact of SC on walking frequency (ATE of</w:t>
      </w:r>
      <w:r w:rsidR="00B34D1C" w:rsidRPr="002E55DE">
        <w:rPr>
          <w:rFonts w:ascii="Times New Roman" w:eastAsiaTheme="minorEastAsia" w:hAnsi="Times New Roman"/>
          <w:lang w:eastAsia="ko-KR"/>
        </w:rPr>
        <w:t xml:space="preserve"> 96.1%).</w:t>
      </w:r>
      <w:r w:rsidR="00851C48" w:rsidRPr="002E55DE">
        <w:rPr>
          <w:rFonts w:ascii="Times New Roman" w:eastAsiaTheme="minorEastAsia" w:hAnsi="Times New Roman"/>
          <w:lang w:eastAsia="ko-KR"/>
        </w:rPr>
        <w:t xml:space="preserve"> SC also influences walk duration with an ATE</w:t>
      </w:r>
      <w:r w:rsidR="00B34D1C" w:rsidRPr="002E55DE">
        <w:rPr>
          <w:rFonts w:ascii="Times New Roman" w:eastAsiaTheme="minorEastAsia" w:hAnsi="Times New Roman"/>
          <w:lang w:eastAsia="ko-KR"/>
        </w:rPr>
        <w:t xml:space="preserve"> of 272.1%</w:t>
      </w:r>
      <w:r w:rsidR="00851C48" w:rsidRPr="002E55DE">
        <w:rPr>
          <w:rFonts w:ascii="Times New Roman" w:eastAsiaTheme="minorEastAsia" w:hAnsi="Times New Roman"/>
          <w:lang w:eastAsia="ko-KR"/>
        </w:rPr>
        <w:t>, with 8</w:t>
      </w:r>
      <w:r w:rsidR="00B34D1C" w:rsidRPr="002E55DE">
        <w:rPr>
          <w:rFonts w:ascii="Times New Roman" w:eastAsiaTheme="minorEastAsia" w:hAnsi="Times New Roman"/>
          <w:lang w:eastAsia="ko-KR"/>
        </w:rPr>
        <w:t>2.9</w:t>
      </w:r>
      <w:r w:rsidR="00851C48" w:rsidRPr="002E55DE">
        <w:rPr>
          <w:rFonts w:ascii="Times New Roman" w:eastAsiaTheme="minorEastAsia" w:hAnsi="Times New Roman"/>
          <w:lang w:eastAsia="ko-KR"/>
        </w:rPr>
        <w:t>% of this effect coming directly from SC and 1</w:t>
      </w:r>
      <w:r w:rsidR="00B34D1C" w:rsidRPr="002E55DE">
        <w:rPr>
          <w:rFonts w:ascii="Times New Roman" w:eastAsiaTheme="minorEastAsia" w:hAnsi="Times New Roman"/>
          <w:lang w:eastAsia="ko-KR"/>
        </w:rPr>
        <w:t>7.1</w:t>
      </w:r>
      <w:r w:rsidR="00851C48" w:rsidRPr="002E55DE">
        <w:rPr>
          <w:rFonts w:ascii="Times New Roman" w:eastAsiaTheme="minorEastAsia" w:hAnsi="Times New Roman"/>
          <w:lang w:eastAsia="ko-KR"/>
        </w:rPr>
        <w:t>% indirectly through its effect on frequency. Additionally, frequency itself affects</w:t>
      </w:r>
      <w:r w:rsidR="00851C48" w:rsidRPr="002E55DE">
        <w:rPr>
          <w:rFonts w:eastAsiaTheme="minorEastAsia"/>
          <w:lang w:eastAsia="ko-KR"/>
        </w:rPr>
        <w:t xml:space="preserve"> duration with an ATE of 45.4%.</w:t>
      </w:r>
    </w:p>
    <w:p w14:paraId="7437E438" w14:textId="4CCAC740" w:rsidR="007B3554" w:rsidRPr="002E55DE" w:rsidRDefault="004C7C13">
      <w:pPr>
        <w:ind w:firstLine="720"/>
        <w:jc w:val="both"/>
        <w:rPr>
          <w:rFonts w:eastAsiaTheme="minorEastAsia"/>
          <w:lang w:eastAsia="ko-KR"/>
        </w:rPr>
        <w:sectPr w:rsidR="007B3554" w:rsidRPr="002E55DE" w:rsidSect="00005BA7">
          <w:footerReference w:type="default" r:id="rId154"/>
          <w:pgSz w:w="12240" w:h="15840"/>
          <w:pgMar w:top="1440" w:right="1440" w:bottom="1440" w:left="1440" w:header="720" w:footer="720" w:gutter="0"/>
          <w:pgNumType w:start="1"/>
          <w:cols w:space="720"/>
          <w:docGrid w:linePitch="360"/>
        </w:sectPr>
      </w:pPr>
      <w:r w:rsidRPr="002E55DE">
        <w:rPr>
          <w:rFonts w:ascii="Times New Roman" w:eastAsiaTheme="minorEastAsia" w:hAnsi="Times New Roman"/>
          <w:lang w:eastAsia="ko-KR"/>
        </w:rPr>
        <w:t>Two important</w:t>
      </w:r>
      <w:r w:rsidR="00CA4EE3" w:rsidRPr="002E55DE">
        <w:rPr>
          <w:rFonts w:ascii="Times New Roman" w:eastAsiaTheme="minorEastAsia" w:hAnsi="Times New Roman"/>
          <w:lang w:eastAsia="ko-KR"/>
        </w:rPr>
        <w:t xml:space="preserve"> </w:t>
      </w:r>
      <w:r w:rsidRPr="002E55DE">
        <w:rPr>
          <w:rFonts w:ascii="Times New Roman" w:eastAsiaTheme="minorEastAsia" w:hAnsi="Times New Roman"/>
          <w:lang w:eastAsia="ko-KR"/>
        </w:rPr>
        <w:t xml:space="preserve">notes are in order </w:t>
      </w:r>
      <w:r w:rsidR="00CA4EE3" w:rsidRPr="002E55DE">
        <w:rPr>
          <w:rFonts w:ascii="Times New Roman" w:eastAsiaTheme="minorEastAsia" w:hAnsi="Times New Roman"/>
          <w:lang w:eastAsia="ko-KR"/>
        </w:rPr>
        <w:t xml:space="preserve">here. </w:t>
      </w:r>
      <w:r w:rsidRPr="002E55DE">
        <w:rPr>
          <w:rFonts w:ascii="Times New Roman" w:eastAsiaTheme="minorEastAsia" w:hAnsi="Times New Roman"/>
          <w:lang w:eastAsia="ko-KR"/>
        </w:rPr>
        <w:t>First, a</w:t>
      </w:r>
      <w:r w:rsidR="007B3554" w:rsidRPr="002E55DE">
        <w:rPr>
          <w:rFonts w:ascii="Times New Roman" w:eastAsiaTheme="minorEastAsia" w:hAnsi="Times New Roman"/>
          <w:lang w:eastAsia="ko-KR"/>
        </w:rPr>
        <w:t xml:space="preserve">lthough we have compared our findings </w:t>
      </w:r>
      <w:r w:rsidR="00426A6E" w:rsidRPr="002E55DE">
        <w:rPr>
          <w:rFonts w:ascii="Times New Roman" w:eastAsiaTheme="minorEastAsia" w:hAnsi="Times New Roman"/>
          <w:lang w:eastAsia="ko-KR"/>
        </w:rPr>
        <w:t>with those of</w:t>
      </w:r>
      <w:r w:rsidR="007B3554" w:rsidRPr="002E55DE">
        <w:rPr>
          <w:rFonts w:ascii="Times New Roman" w:eastAsiaTheme="minorEastAsia" w:hAnsi="Times New Roman"/>
          <w:lang w:eastAsia="ko-KR"/>
        </w:rPr>
        <w:t xml:space="preserve"> previous studies throughout this discussion, </w:t>
      </w:r>
      <w:r w:rsidR="00CA4EE3" w:rsidRPr="002E55DE">
        <w:rPr>
          <w:rFonts w:ascii="Times New Roman" w:eastAsiaTheme="minorEastAsia" w:hAnsi="Times New Roman"/>
          <w:lang w:eastAsia="ko-KR"/>
        </w:rPr>
        <w:t xml:space="preserve">we are unable to do so from a quantification (of effect) standpoint because earlier studies do not go beyond model coefficients to compute ATEs. In nonlinear models, such as those for modeling walking dimensions, coefficients themselves provide little information about magnitude effects. Further, the effect of any specific exogenous variable will vary across individuals based on the specific combination of the values of all exogenous variables </w:t>
      </w:r>
      <w:r w:rsidRPr="002E55DE">
        <w:rPr>
          <w:rFonts w:ascii="Times New Roman" w:eastAsiaTheme="minorEastAsia" w:hAnsi="Times New Roman"/>
          <w:lang w:eastAsia="ko-KR"/>
        </w:rPr>
        <w:t>for</w:t>
      </w:r>
      <w:r w:rsidR="00CA4EE3" w:rsidRPr="002E55DE">
        <w:rPr>
          <w:rFonts w:ascii="Times New Roman" w:eastAsiaTheme="minorEastAsia" w:hAnsi="Times New Roman"/>
          <w:lang w:eastAsia="ko-KR"/>
        </w:rPr>
        <w:t xml:space="preserve"> that individual. Nevertheless, ATEs provide a good average (across the sample of individuals) magnitude measure of exogenous variable effects and should be computed in future studies</w:t>
      </w:r>
      <w:r w:rsidRPr="002E55DE">
        <w:rPr>
          <w:rFonts w:ascii="Times New Roman" w:eastAsiaTheme="minorEastAsia" w:hAnsi="Times New Roman"/>
          <w:lang w:eastAsia="ko-KR"/>
        </w:rPr>
        <w:t xml:space="preserve"> for better exogenous variable effect comparisons across studies</w:t>
      </w:r>
      <w:r w:rsidR="00CA4EE3" w:rsidRPr="002E55DE">
        <w:rPr>
          <w:rFonts w:ascii="Times New Roman" w:eastAsiaTheme="minorEastAsia" w:hAnsi="Times New Roman"/>
          <w:lang w:eastAsia="ko-KR"/>
        </w:rPr>
        <w:t xml:space="preserve">. </w:t>
      </w:r>
      <w:r w:rsidRPr="002E55DE">
        <w:rPr>
          <w:rFonts w:ascii="Times New Roman" w:eastAsiaTheme="minorEastAsia" w:hAnsi="Times New Roman"/>
          <w:lang w:eastAsia="ko-KR"/>
        </w:rPr>
        <w:t xml:space="preserve">Second, a general caveat here is that comparisons across </w:t>
      </w:r>
      <w:r w:rsidR="00636BF4" w:rsidRPr="002E55DE">
        <w:rPr>
          <w:rFonts w:ascii="Times New Roman" w:eastAsiaTheme="minorEastAsia" w:hAnsi="Times New Roman"/>
          <w:lang w:eastAsia="ko-KR"/>
        </w:rPr>
        <w:t xml:space="preserve">walking-related </w:t>
      </w:r>
      <w:r w:rsidRPr="002E55DE">
        <w:rPr>
          <w:rFonts w:ascii="Times New Roman" w:eastAsiaTheme="minorEastAsia" w:hAnsi="Times New Roman"/>
          <w:lang w:eastAsia="ko-KR"/>
        </w:rPr>
        <w:t>studies (even if ATEs were available) should</w:t>
      </w:r>
      <w:r w:rsidR="00636BF4" w:rsidRPr="002E55DE">
        <w:rPr>
          <w:rFonts w:ascii="Times New Roman" w:eastAsiaTheme="minorEastAsia" w:hAnsi="Times New Roman"/>
          <w:lang w:eastAsia="ko-KR"/>
        </w:rPr>
        <w:t xml:space="preserve"> </w:t>
      </w:r>
      <w:r w:rsidRPr="002E55DE">
        <w:rPr>
          <w:rFonts w:ascii="Times New Roman" w:eastAsiaTheme="minorEastAsia" w:hAnsi="Times New Roman"/>
          <w:lang w:eastAsia="ko-KR"/>
        </w:rPr>
        <w:t>be undertaken with caution</w:t>
      </w:r>
      <w:r w:rsidR="00636BF4" w:rsidRPr="002E55DE">
        <w:rPr>
          <w:rFonts w:ascii="Times New Roman" w:eastAsiaTheme="minorEastAsia" w:hAnsi="Times New Roman"/>
          <w:lang w:eastAsia="ko-KR"/>
        </w:rPr>
        <w:t xml:space="preserve"> because of study area variations in the investigations,</w:t>
      </w:r>
      <w:r w:rsidRPr="002E55DE">
        <w:rPr>
          <w:rFonts w:ascii="Times New Roman" w:eastAsiaTheme="minorEastAsia" w:hAnsi="Times New Roman"/>
          <w:lang w:eastAsia="ko-KR"/>
        </w:rPr>
        <w:t xml:space="preserve"> given that </w:t>
      </w:r>
      <w:r w:rsidR="007B3554" w:rsidRPr="002E55DE">
        <w:t>walking behavior is highly context-specific</w:t>
      </w:r>
      <w:r w:rsidR="00636BF4" w:rsidRPr="002E55DE">
        <w:t xml:space="preserve"> in nature (geographically, temporally, and culturally).</w:t>
      </w:r>
      <w:r w:rsidR="007B3554" w:rsidRPr="002E55DE">
        <w:t xml:space="preserve"> </w:t>
      </w:r>
    </w:p>
    <w:p w14:paraId="4DF35E4E" w14:textId="39EE9CA5" w:rsidR="00DB0802" w:rsidRPr="002E55DE" w:rsidRDefault="00DB0802" w:rsidP="00DB0802">
      <w:pPr>
        <w:spacing w:line="276" w:lineRule="auto"/>
        <w:jc w:val="both"/>
        <w:rPr>
          <w:rFonts w:ascii="Times New Roman" w:eastAsiaTheme="minorEastAsia" w:hAnsi="Times New Roman"/>
          <w:b/>
          <w:bCs/>
          <w:noProof/>
          <w:szCs w:val="24"/>
          <w:lang w:eastAsia="ko-KR"/>
        </w:rPr>
      </w:pPr>
      <w:r w:rsidRPr="002E55DE">
        <w:rPr>
          <w:rFonts w:eastAsiaTheme="minorEastAsia"/>
          <w:b/>
          <w:bCs/>
          <w:lang w:eastAsia="ko-KR"/>
        </w:rPr>
        <w:lastRenderedPageBreak/>
        <w:t>Table</w:t>
      </w:r>
      <w:r w:rsidRPr="002E55DE">
        <w:rPr>
          <w:rFonts w:eastAsiaTheme="minorEastAsia" w:hint="eastAsia"/>
          <w:b/>
          <w:bCs/>
          <w:lang w:eastAsia="ko-KR"/>
        </w:rPr>
        <w:t xml:space="preserve"> </w:t>
      </w:r>
      <w:r w:rsidR="005E2951" w:rsidRPr="002E55DE">
        <w:rPr>
          <w:rFonts w:eastAsiaTheme="minorEastAsia" w:hint="eastAsia"/>
          <w:b/>
          <w:bCs/>
          <w:lang w:eastAsia="ko-KR"/>
        </w:rPr>
        <w:t>6</w:t>
      </w:r>
      <w:r w:rsidRPr="002E55DE">
        <w:rPr>
          <w:rFonts w:eastAsiaTheme="minorEastAsia" w:hint="eastAsia"/>
          <w:b/>
          <w:bCs/>
          <w:lang w:eastAsia="ko-KR"/>
        </w:rPr>
        <w:t>.</w:t>
      </w:r>
      <w:r w:rsidRPr="002E55DE">
        <w:rPr>
          <w:rFonts w:ascii="Times New Roman" w:eastAsiaTheme="minorHAnsi" w:hAnsi="Times New Roman"/>
          <w:b/>
          <w:bCs/>
          <w:noProof/>
          <w:szCs w:val="24"/>
        </w:rPr>
        <w:t xml:space="preserve"> Average Treatment Effect</w:t>
      </w:r>
      <w:r w:rsidR="004957F8" w:rsidRPr="002E55DE">
        <w:rPr>
          <w:rFonts w:ascii="Times New Roman" w:eastAsiaTheme="minorEastAsia" w:hAnsi="Times New Roman" w:hint="eastAsia"/>
          <w:b/>
          <w:bCs/>
          <w:noProof/>
          <w:szCs w:val="24"/>
          <w:lang w:eastAsia="ko-KR"/>
        </w:rPr>
        <w:t>s</w:t>
      </w:r>
      <w:r w:rsidRPr="002E55DE">
        <w:rPr>
          <w:rFonts w:ascii="Times New Roman" w:eastAsiaTheme="minorHAnsi" w:hAnsi="Times New Roman"/>
          <w:b/>
          <w:bCs/>
          <w:noProof/>
          <w:szCs w:val="24"/>
        </w:rPr>
        <w:t xml:space="preserve"> (ATE</w:t>
      </w:r>
      <w:r w:rsidR="004957F8" w:rsidRPr="002E55DE">
        <w:rPr>
          <w:rFonts w:ascii="Times New Roman" w:eastAsiaTheme="minorEastAsia" w:hAnsi="Times New Roman" w:hint="eastAsia"/>
          <w:b/>
          <w:bCs/>
          <w:noProof/>
          <w:szCs w:val="24"/>
          <w:lang w:eastAsia="ko-KR"/>
        </w:rPr>
        <w:t>s</w:t>
      </w:r>
      <w:r w:rsidRPr="002E55DE">
        <w:rPr>
          <w:rFonts w:ascii="Times New Roman" w:eastAsiaTheme="minorHAnsi" w:hAnsi="Times New Roman"/>
          <w:b/>
          <w:bCs/>
          <w:noProof/>
          <w:szCs w:val="24"/>
        </w:rPr>
        <w:t xml:space="preserve">) </w:t>
      </w:r>
    </w:p>
    <w:tbl>
      <w:tblPr>
        <w:tblStyle w:val="TableGrid"/>
        <w:tblW w:w="12855" w:type="dxa"/>
        <w:tblLayout w:type="fixed"/>
        <w:tblCellMar>
          <w:left w:w="14" w:type="dxa"/>
          <w:right w:w="29" w:type="dxa"/>
        </w:tblCellMar>
        <w:tblLook w:val="04A0" w:firstRow="1" w:lastRow="0" w:firstColumn="1" w:lastColumn="0" w:noHBand="0" w:noVBand="1"/>
      </w:tblPr>
      <w:tblGrid>
        <w:gridCol w:w="1425"/>
        <w:gridCol w:w="1350"/>
        <w:gridCol w:w="1530"/>
        <w:gridCol w:w="720"/>
        <w:gridCol w:w="630"/>
        <w:gridCol w:w="630"/>
        <w:gridCol w:w="623"/>
        <w:gridCol w:w="477"/>
        <w:gridCol w:w="520"/>
        <w:gridCol w:w="720"/>
        <w:gridCol w:w="720"/>
        <w:gridCol w:w="630"/>
        <w:gridCol w:w="540"/>
        <w:gridCol w:w="630"/>
        <w:gridCol w:w="540"/>
        <w:gridCol w:w="540"/>
        <w:gridCol w:w="630"/>
      </w:tblGrid>
      <w:tr w:rsidR="002E55DE" w:rsidRPr="002E55DE" w14:paraId="15D35DF7" w14:textId="77777777" w:rsidTr="00D440F8">
        <w:trPr>
          <w:trHeight w:val="599"/>
        </w:trPr>
        <w:tc>
          <w:tcPr>
            <w:tcW w:w="1425" w:type="dxa"/>
            <w:vMerge w:val="restart"/>
            <w:tcBorders>
              <w:top w:val="double" w:sz="4" w:space="0" w:color="auto"/>
              <w:left w:val="double" w:sz="4" w:space="0" w:color="auto"/>
            </w:tcBorders>
            <w:vAlign w:val="center"/>
          </w:tcPr>
          <w:p w14:paraId="5E598C07"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Variables</w:t>
            </w:r>
          </w:p>
        </w:tc>
        <w:tc>
          <w:tcPr>
            <w:tcW w:w="1350" w:type="dxa"/>
            <w:vMerge w:val="restart"/>
            <w:tcBorders>
              <w:top w:val="double" w:sz="4" w:space="0" w:color="auto"/>
            </w:tcBorders>
            <w:vAlign w:val="center"/>
          </w:tcPr>
          <w:p w14:paraId="2C5DD378"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Base Level</w:t>
            </w:r>
          </w:p>
          <w:p w14:paraId="26865DCA"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(BL)</w:t>
            </w:r>
          </w:p>
        </w:tc>
        <w:tc>
          <w:tcPr>
            <w:tcW w:w="1530" w:type="dxa"/>
            <w:vMerge w:val="restart"/>
            <w:tcBorders>
              <w:top w:val="double" w:sz="4" w:space="0" w:color="auto"/>
              <w:right w:val="single" w:sz="8" w:space="0" w:color="auto"/>
            </w:tcBorders>
            <w:vAlign w:val="center"/>
          </w:tcPr>
          <w:p w14:paraId="0BC8D4E5"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Treatment Level</w:t>
            </w:r>
          </w:p>
          <w:p w14:paraId="329C05BF"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(TL)</w:t>
            </w:r>
          </w:p>
        </w:tc>
        <w:tc>
          <w:tcPr>
            <w:tcW w:w="1980" w:type="dxa"/>
            <w:gridSpan w:val="3"/>
            <w:tcBorders>
              <w:top w:val="double" w:sz="4" w:space="0" w:color="auto"/>
              <w:left w:val="single" w:sz="8" w:space="0" w:color="auto"/>
              <w:right w:val="single" w:sz="8" w:space="0" w:color="auto"/>
            </w:tcBorders>
          </w:tcPr>
          <w:p w14:paraId="26953ED7"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Social Companionship</w:t>
            </w:r>
          </w:p>
          <w:p w14:paraId="46987866"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(SC)</w:t>
            </w:r>
          </w:p>
        </w:tc>
        <w:tc>
          <w:tcPr>
            <w:tcW w:w="3060" w:type="dxa"/>
            <w:gridSpan w:val="5"/>
            <w:tcBorders>
              <w:top w:val="double" w:sz="4" w:space="0" w:color="auto"/>
              <w:left w:val="single" w:sz="8" w:space="0" w:color="auto"/>
              <w:right w:val="single" w:sz="8" w:space="0" w:color="auto"/>
            </w:tcBorders>
            <w:vAlign w:val="center"/>
          </w:tcPr>
          <w:p w14:paraId="624FC708"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Frequency</w:t>
            </w:r>
          </w:p>
        </w:tc>
        <w:tc>
          <w:tcPr>
            <w:tcW w:w="3510" w:type="dxa"/>
            <w:gridSpan w:val="6"/>
            <w:tcBorders>
              <w:top w:val="double" w:sz="4" w:space="0" w:color="auto"/>
              <w:left w:val="single" w:sz="8" w:space="0" w:color="auto"/>
              <w:right w:val="double" w:sz="4" w:space="0" w:color="auto"/>
            </w:tcBorders>
            <w:vAlign w:val="center"/>
          </w:tcPr>
          <w:p w14:paraId="29935FEA"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Duration</w:t>
            </w:r>
          </w:p>
        </w:tc>
      </w:tr>
      <w:tr w:rsidR="002E55DE" w:rsidRPr="002E55DE" w14:paraId="6CEE30F5" w14:textId="77777777" w:rsidTr="00D440F8">
        <w:trPr>
          <w:trHeight w:val="152"/>
        </w:trPr>
        <w:tc>
          <w:tcPr>
            <w:tcW w:w="1425" w:type="dxa"/>
            <w:vMerge/>
            <w:tcBorders>
              <w:left w:val="double" w:sz="4" w:space="0" w:color="auto"/>
            </w:tcBorders>
          </w:tcPr>
          <w:p w14:paraId="68C88AEB" w14:textId="77777777" w:rsidR="00610B4F" w:rsidRPr="002E55DE" w:rsidRDefault="00610B4F" w:rsidP="00A11B74">
            <w:pPr>
              <w:jc w:val="both"/>
              <w:rPr>
                <w:rFonts w:ascii="Times New Roman" w:eastAsiaTheme="minorEastAsia" w:hAnsi="Times New Roman"/>
                <w:b/>
                <w:bCs/>
                <w:noProof/>
                <w:sz w:val="20"/>
                <w:lang w:eastAsia="ko-KR"/>
              </w:rPr>
            </w:pPr>
          </w:p>
        </w:tc>
        <w:tc>
          <w:tcPr>
            <w:tcW w:w="1350" w:type="dxa"/>
            <w:vMerge/>
          </w:tcPr>
          <w:p w14:paraId="7086506E" w14:textId="77777777" w:rsidR="00610B4F" w:rsidRPr="002E55DE" w:rsidRDefault="00610B4F" w:rsidP="00A11B74">
            <w:pPr>
              <w:jc w:val="both"/>
              <w:rPr>
                <w:rFonts w:ascii="Times New Roman" w:eastAsiaTheme="minorEastAsia" w:hAnsi="Times New Roman"/>
                <w:b/>
                <w:bCs/>
                <w:noProof/>
                <w:sz w:val="20"/>
                <w:lang w:eastAsia="ko-KR"/>
              </w:rPr>
            </w:pPr>
          </w:p>
        </w:tc>
        <w:tc>
          <w:tcPr>
            <w:tcW w:w="1530" w:type="dxa"/>
            <w:vMerge/>
            <w:tcBorders>
              <w:right w:val="single" w:sz="8" w:space="0" w:color="auto"/>
            </w:tcBorders>
          </w:tcPr>
          <w:p w14:paraId="6BC87DD9" w14:textId="77777777" w:rsidR="00610B4F" w:rsidRPr="002E55DE" w:rsidRDefault="00610B4F" w:rsidP="00A11B74">
            <w:pPr>
              <w:jc w:val="both"/>
              <w:rPr>
                <w:rFonts w:ascii="Times New Roman" w:eastAsiaTheme="minorEastAsia" w:hAnsi="Times New Roman"/>
                <w:b/>
                <w:bCs/>
                <w:noProof/>
                <w:sz w:val="20"/>
                <w:lang w:eastAsia="ko-KR"/>
              </w:rPr>
            </w:pPr>
          </w:p>
        </w:tc>
        <w:tc>
          <w:tcPr>
            <w:tcW w:w="1350" w:type="dxa"/>
            <w:gridSpan w:val="2"/>
            <w:tcBorders>
              <w:left w:val="single" w:sz="8" w:space="0" w:color="auto"/>
              <w:right w:val="single" w:sz="6" w:space="0" w:color="auto"/>
            </w:tcBorders>
          </w:tcPr>
          <w:p w14:paraId="0590F1A3"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Share of SC often/always</w:t>
            </w:r>
          </w:p>
        </w:tc>
        <w:tc>
          <w:tcPr>
            <w:tcW w:w="630" w:type="dxa"/>
            <w:vMerge w:val="restart"/>
            <w:tcBorders>
              <w:left w:val="single" w:sz="6" w:space="0" w:color="auto"/>
              <w:right w:val="single" w:sz="8" w:space="0" w:color="auto"/>
            </w:tcBorders>
            <w:vAlign w:val="center"/>
          </w:tcPr>
          <w:p w14:paraId="24929AD0"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Total ATE</w:t>
            </w:r>
          </w:p>
          <w:p w14:paraId="2749D191"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w:t>
            </w:r>
          </w:p>
        </w:tc>
        <w:tc>
          <w:tcPr>
            <w:tcW w:w="1100" w:type="dxa"/>
            <w:gridSpan w:val="2"/>
            <w:tcBorders>
              <w:left w:val="single" w:sz="8" w:space="0" w:color="auto"/>
            </w:tcBorders>
            <w:vAlign w:val="center"/>
          </w:tcPr>
          <w:p w14:paraId="55F95D66" w14:textId="2D1F3A7B"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Wal</w:t>
            </w:r>
            <w:r w:rsidR="00636BF4" w:rsidRPr="002E55DE">
              <w:rPr>
                <w:rFonts w:ascii="Times New Roman" w:eastAsiaTheme="minorEastAsia" w:hAnsi="Times New Roman"/>
                <w:b/>
                <w:bCs/>
                <w:noProof/>
                <w:sz w:val="20"/>
                <w:lang w:eastAsia="ko-KR"/>
              </w:rPr>
              <w:t>k</w:t>
            </w:r>
            <w:r w:rsidRPr="002E55DE">
              <w:rPr>
                <w:rFonts w:ascii="Times New Roman" w:eastAsiaTheme="minorEastAsia" w:hAnsi="Times New Roman" w:hint="eastAsia"/>
                <w:b/>
                <w:bCs/>
                <w:noProof/>
                <w:sz w:val="20"/>
                <w:lang w:eastAsia="ko-KR"/>
              </w:rPr>
              <w:t>ing Frequency</w:t>
            </w:r>
          </w:p>
          <w:p w14:paraId="5A80F4F5"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(per week)</w:t>
            </w:r>
          </w:p>
        </w:tc>
        <w:tc>
          <w:tcPr>
            <w:tcW w:w="520" w:type="dxa"/>
            <w:vMerge w:val="restart"/>
            <w:vAlign w:val="center"/>
          </w:tcPr>
          <w:p w14:paraId="20425238"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Total ATE</w:t>
            </w:r>
          </w:p>
          <w:p w14:paraId="2B58E172"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w:t>
            </w:r>
          </w:p>
        </w:tc>
        <w:tc>
          <w:tcPr>
            <w:tcW w:w="1440" w:type="dxa"/>
            <w:gridSpan w:val="2"/>
            <w:tcBorders>
              <w:right w:val="single" w:sz="8" w:space="0" w:color="auto"/>
            </w:tcBorders>
            <w:vAlign w:val="center"/>
          </w:tcPr>
          <w:p w14:paraId="0BCDA79C"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hint="eastAsia"/>
                <w:b/>
                <w:bCs/>
                <w:sz w:val="20"/>
              </w:rPr>
              <w:t>% Contribution by sources of effect*</w:t>
            </w:r>
          </w:p>
        </w:tc>
        <w:tc>
          <w:tcPr>
            <w:tcW w:w="1170" w:type="dxa"/>
            <w:gridSpan w:val="2"/>
            <w:tcBorders>
              <w:left w:val="single" w:sz="8" w:space="0" w:color="auto"/>
            </w:tcBorders>
            <w:vAlign w:val="center"/>
          </w:tcPr>
          <w:p w14:paraId="6BA3D34D"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b/>
                <w:bCs/>
                <w:sz w:val="20"/>
              </w:rPr>
              <w:t>Walking Duration per day</w:t>
            </w:r>
            <w:r w:rsidRPr="002E55DE">
              <w:rPr>
                <w:rFonts w:ascii="Times New Roman" w:eastAsiaTheme="minorEastAsia" w:hAnsi="Times New Roman" w:hint="eastAsia"/>
                <w:b/>
                <w:bCs/>
                <w:sz w:val="20"/>
                <w:lang w:eastAsia="ko-KR"/>
              </w:rPr>
              <w:t xml:space="preserve"> (Min)</w:t>
            </w:r>
          </w:p>
        </w:tc>
        <w:tc>
          <w:tcPr>
            <w:tcW w:w="630" w:type="dxa"/>
            <w:vMerge w:val="restart"/>
            <w:vAlign w:val="center"/>
          </w:tcPr>
          <w:p w14:paraId="06EE23B1" w14:textId="77777777" w:rsidR="00610B4F" w:rsidRPr="002E55DE" w:rsidRDefault="00610B4F" w:rsidP="00A11B74">
            <w:pPr>
              <w:jc w:val="center"/>
              <w:rPr>
                <w:rFonts w:ascii="Times New Roman" w:hAnsi="Times New Roman"/>
                <w:b/>
                <w:bCs/>
                <w:sz w:val="20"/>
              </w:rPr>
            </w:pPr>
            <w:r w:rsidRPr="002E55DE">
              <w:rPr>
                <w:rFonts w:ascii="Times New Roman" w:eastAsia="Times New Roman" w:hAnsi="Times New Roman"/>
                <w:b/>
                <w:bCs/>
                <w:sz w:val="20"/>
              </w:rPr>
              <w:t>Total</w:t>
            </w:r>
          </w:p>
          <w:p w14:paraId="78DBF45F" w14:textId="77777777" w:rsidR="00610B4F" w:rsidRPr="002E55DE" w:rsidRDefault="00610B4F" w:rsidP="00A11B74">
            <w:pPr>
              <w:jc w:val="center"/>
              <w:rPr>
                <w:rFonts w:ascii="Times New Roman" w:hAnsi="Times New Roman"/>
                <w:b/>
                <w:bCs/>
                <w:sz w:val="20"/>
              </w:rPr>
            </w:pPr>
            <w:r w:rsidRPr="002E55DE">
              <w:rPr>
                <w:rFonts w:ascii="Times New Roman" w:hAnsi="Times New Roman" w:hint="eastAsia"/>
                <w:b/>
                <w:bCs/>
                <w:sz w:val="20"/>
              </w:rPr>
              <w:t>ATE</w:t>
            </w:r>
          </w:p>
          <w:p w14:paraId="293ACDC2"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hint="eastAsia"/>
                <w:b/>
                <w:bCs/>
                <w:sz w:val="20"/>
              </w:rPr>
              <w:t>(%)</w:t>
            </w:r>
          </w:p>
        </w:tc>
        <w:tc>
          <w:tcPr>
            <w:tcW w:w="1710" w:type="dxa"/>
            <w:gridSpan w:val="3"/>
            <w:tcBorders>
              <w:right w:val="double" w:sz="4" w:space="0" w:color="auto"/>
            </w:tcBorders>
            <w:vAlign w:val="center"/>
          </w:tcPr>
          <w:p w14:paraId="4FF45F05"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hint="eastAsia"/>
                <w:b/>
                <w:bCs/>
                <w:sz w:val="20"/>
              </w:rPr>
              <w:t>% Contribution by sources of effect*</w:t>
            </w:r>
          </w:p>
        </w:tc>
      </w:tr>
      <w:tr w:rsidR="002E55DE" w:rsidRPr="002E55DE" w14:paraId="710955C8" w14:textId="77777777" w:rsidTr="00D440F8">
        <w:trPr>
          <w:trHeight w:val="628"/>
        </w:trPr>
        <w:tc>
          <w:tcPr>
            <w:tcW w:w="1425" w:type="dxa"/>
            <w:vMerge/>
            <w:tcBorders>
              <w:left w:val="double" w:sz="4" w:space="0" w:color="auto"/>
            </w:tcBorders>
          </w:tcPr>
          <w:p w14:paraId="08D927A9" w14:textId="77777777" w:rsidR="00610B4F" w:rsidRPr="002E55DE" w:rsidRDefault="00610B4F" w:rsidP="00A11B74">
            <w:pPr>
              <w:jc w:val="both"/>
              <w:rPr>
                <w:rFonts w:ascii="Times New Roman" w:eastAsiaTheme="minorEastAsia" w:hAnsi="Times New Roman"/>
                <w:b/>
                <w:bCs/>
                <w:noProof/>
                <w:sz w:val="20"/>
                <w:lang w:eastAsia="ko-KR"/>
              </w:rPr>
            </w:pPr>
          </w:p>
        </w:tc>
        <w:tc>
          <w:tcPr>
            <w:tcW w:w="1350" w:type="dxa"/>
            <w:vMerge/>
          </w:tcPr>
          <w:p w14:paraId="0DD32D3A" w14:textId="77777777" w:rsidR="00610B4F" w:rsidRPr="002E55DE" w:rsidRDefault="00610B4F" w:rsidP="00A11B74">
            <w:pPr>
              <w:jc w:val="both"/>
              <w:rPr>
                <w:rFonts w:ascii="Times New Roman" w:eastAsiaTheme="minorEastAsia" w:hAnsi="Times New Roman"/>
                <w:b/>
                <w:bCs/>
                <w:noProof/>
                <w:sz w:val="20"/>
                <w:lang w:eastAsia="ko-KR"/>
              </w:rPr>
            </w:pPr>
          </w:p>
        </w:tc>
        <w:tc>
          <w:tcPr>
            <w:tcW w:w="1530" w:type="dxa"/>
            <w:vMerge/>
            <w:tcBorders>
              <w:right w:val="single" w:sz="8" w:space="0" w:color="auto"/>
            </w:tcBorders>
          </w:tcPr>
          <w:p w14:paraId="797AD1B3" w14:textId="77777777" w:rsidR="00610B4F" w:rsidRPr="002E55DE" w:rsidRDefault="00610B4F" w:rsidP="00A11B74">
            <w:pPr>
              <w:jc w:val="both"/>
              <w:rPr>
                <w:rFonts w:ascii="Times New Roman" w:eastAsiaTheme="minorEastAsia" w:hAnsi="Times New Roman"/>
                <w:b/>
                <w:bCs/>
                <w:noProof/>
                <w:sz w:val="20"/>
                <w:lang w:eastAsia="ko-KR"/>
              </w:rPr>
            </w:pPr>
          </w:p>
        </w:tc>
        <w:tc>
          <w:tcPr>
            <w:tcW w:w="720" w:type="dxa"/>
            <w:tcBorders>
              <w:left w:val="single" w:sz="8" w:space="0" w:color="auto"/>
            </w:tcBorders>
            <w:vAlign w:val="bottom"/>
          </w:tcPr>
          <w:p w14:paraId="77CBB2BD"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BL</w:t>
            </w:r>
          </w:p>
        </w:tc>
        <w:tc>
          <w:tcPr>
            <w:tcW w:w="630" w:type="dxa"/>
            <w:tcBorders>
              <w:right w:val="single" w:sz="6" w:space="0" w:color="auto"/>
            </w:tcBorders>
            <w:vAlign w:val="bottom"/>
          </w:tcPr>
          <w:p w14:paraId="5C950075"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TL</w:t>
            </w:r>
          </w:p>
        </w:tc>
        <w:tc>
          <w:tcPr>
            <w:tcW w:w="630" w:type="dxa"/>
            <w:vMerge/>
            <w:tcBorders>
              <w:left w:val="single" w:sz="6" w:space="0" w:color="auto"/>
              <w:right w:val="single" w:sz="8" w:space="0" w:color="auto"/>
            </w:tcBorders>
          </w:tcPr>
          <w:p w14:paraId="5B3F75D3" w14:textId="77777777" w:rsidR="00610B4F" w:rsidRPr="002E55DE" w:rsidRDefault="00610B4F" w:rsidP="00A11B74">
            <w:pPr>
              <w:jc w:val="both"/>
              <w:rPr>
                <w:rFonts w:ascii="Times New Roman" w:eastAsiaTheme="minorEastAsia" w:hAnsi="Times New Roman"/>
                <w:b/>
                <w:bCs/>
                <w:noProof/>
                <w:sz w:val="20"/>
                <w:lang w:eastAsia="ko-KR"/>
              </w:rPr>
            </w:pPr>
          </w:p>
        </w:tc>
        <w:tc>
          <w:tcPr>
            <w:tcW w:w="623" w:type="dxa"/>
            <w:tcBorders>
              <w:left w:val="single" w:sz="8" w:space="0" w:color="auto"/>
            </w:tcBorders>
            <w:vAlign w:val="bottom"/>
          </w:tcPr>
          <w:p w14:paraId="2C97FA04"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b/>
                <w:bCs/>
                <w:sz w:val="20"/>
              </w:rPr>
              <w:t>B</w:t>
            </w:r>
            <w:r w:rsidRPr="002E55DE">
              <w:rPr>
                <w:rFonts w:ascii="Times New Roman" w:eastAsiaTheme="minorEastAsia" w:hAnsi="Times New Roman" w:hint="eastAsia"/>
                <w:b/>
                <w:bCs/>
                <w:sz w:val="20"/>
                <w:lang w:eastAsia="ko-KR"/>
              </w:rPr>
              <w:t>L</w:t>
            </w:r>
          </w:p>
        </w:tc>
        <w:tc>
          <w:tcPr>
            <w:tcW w:w="477" w:type="dxa"/>
            <w:vAlign w:val="bottom"/>
          </w:tcPr>
          <w:p w14:paraId="5D5F478A"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b/>
                <w:bCs/>
                <w:sz w:val="20"/>
              </w:rPr>
              <w:t>T</w:t>
            </w:r>
            <w:r w:rsidRPr="002E55DE">
              <w:rPr>
                <w:rFonts w:ascii="Times New Roman" w:eastAsiaTheme="minorEastAsia" w:hAnsi="Times New Roman" w:hint="eastAsia"/>
                <w:b/>
                <w:bCs/>
                <w:sz w:val="20"/>
                <w:lang w:eastAsia="ko-KR"/>
              </w:rPr>
              <w:t>L</w:t>
            </w:r>
          </w:p>
        </w:tc>
        <w:tc>
          <w:tcPr>
            <w:tcW w:w="520" w:type="dxa"/>
            <w:vMerge/>
          </w:tcPr>
          <w:p w14:paraId="2B485C0A" w14:textId="77777777" w:rsidR="00610B4F" w:rsidRPr="002E55DE" w:rsidRDefault="00610B4F" w:rsidP="00A11B74">
            <w:pPr>
              <w:jc w:val="both"/>
              <w:rPr>
                <w:rFonts w:ascii="Times New Roman" w:eastAsiaTheme="minorEastAsia" w:hAnsi="Times New Roman"/>
                <w:b/>
                <w:bCs/>
                <w:noProof/>
                <w:sz w:val="20"/>
                <w:lang w:eastAsia="ko-KR"/>
              </w:rPr>
            </w:pPr>
          </w:p>
        </w:tc>
        <w:tc>
          <w:tcPr>
            <w:tcW w:w="720" w:type="dxa"/>
            <w:vAlign w:val="bottom"/>
          </w:tcPr>
          <w:p w14:paraId="11FFBC7C" w14:textId="77777777" w:rsidR="00610B4F" w:rsidRPr="002E55DE" w:rsidRDefault="00610B4F" w:rsidP="00A11B74">
            <w:pPr>
              <w:jc w:val="center"/>
              <w:rPr>
                <w:rFonts w:ascii="Times New Roman" w:eastAsiaTheme="minorEastAsia" w:hAnsi="Times New Roman"/>
                <w:b/>
                <w:bCs/>
                <w:sz w:val="20"/>
                <w:lang w:eastAsia="ko-KR"/>
              </w:rPr>
            </w:pPr>
            <w:r w:rsidRPr="002E55DE">
              <w:rPr>
                <w:rFonts w:ascii="Times New Roman" w:eastAsiaTheme="minorEastAsia" w:hAnsi="Times New Roman" w:hint="eastAsia"/>
                <w:b/>
                <w:bCs/>
                <w:sz w:val="20"/>
                <w:lang w:eastAsia="ko-KR"/>
              </w:rPr>
              <w:t>SC</w:t>
            </w:r>
          </w:p>
        </w:tc>
        <w:tc>
          <w:tcPr>
            <w:tcW w:w="720" w:type="dxa"/>
            <w:tcBorders>
              <w:right w:val="single" w:sz="8" w:space="0" w:color="auto"/>
            </w:tcBorders>
            <w:vAlign w:val="bottom"/>
          </w:tcPr>
          <w:p w14:paraId="1AEE9427"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imes New Roman" w:hAnsi="Times New Roman"/>
                <w:b/>
                <w:bCs/>
                <w:sz w:val="20"/>
              </w:rPr>
              <w:t>Direct</w:t>
            </w:r>
          </w:p>
        </w:tc>
        <w:tc>
          <w:tcPr>
            <w:tcW w:w="630" w:type="dxa"/>
            <w:tcBorders>
              <w:left w:val="single" w:sz="8" w:space="0" w:color="auto"/>
            </w:tcBorders>
            <w:vAlign w:val="bottom"/>
          </w:tcPr>
          <w:p w14:paraId="4DB64AFF" w14:textId="77777777" w:rsidR="00610B4F" w:rsidRPr="002E55DE" w:rsidRDefault="00610B4F" w:rsidP="00A11B74">
            <w:pPr>
              <w:jc w:val="center"/>
              <w:rPr>
                <w:rFonts w:ascii="Times New Roman" w:eastAsiaTheme="minorEastAsia" w:hAnsi="Times New Roman"/>
                <w:b/>
                <w:bCs/>
                <w:sz w:val="20"/>
                <w:lang w:eastAsia="ko-KR"/>
              </w:rPr>
            </w:pPr>
            <w:r w:rsidRPr="002E55DE">
              <w:rPr>
                <w:rFonts w:ascii="Times New Roman" w:hAnsi="Times New Roman"/>
                <w:b/>
                <w:bCs/>
                <w:sz w:val="20"/>
              </w:rPr>
              <w:t>B</w:t>
            </w:r>
            <w:r w:rsidRPr="002E55DE">
              <w:rPr>
                <w:rFonts w:ascii="Times New Roman" w:eastAsiaTheme="minorEastAsia" w:hAnsi="Times New Roman" w:hint="eastAsia"/>
                <w:b/>
                <w:bCs/>
                <w:sz w:val="20"/>
                <w:lang w:eastAsia="ko-KR"/>
              </w:rPr>
              <w:t>L</w:t>
            </w:r>
          </w:p>
        </w:tc>
        <w:tc>
          <w:tcPr>
            <w:tcW w:w="540" w:type="dxa"/>
            <w:vAlign w:val="bottom"/>
          </w:tcPr>
          <w:p w14:paraId="656806A1"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b/>
                <w:bCs/>
                <w:sz w:val="20"/>
              </w:rPr>
              <w:t>T</w:t>
            </w:r>
            <w:r w:rsidRPr="002E55DE">
              <w:rPr>
                <w:rFonts w:ascii="Times New Roman" w:eastAsiaTheme="minorEastAsia" w:hAnsi="Times New Roman" w:hint="eastAsia"/>
                <w:b/>
                <w:bCs/>
                <w:sz w:val="20"/>
                <w:lang w:eastAsia="ko-KR"/>
              </w:rPr>
              <w:t>L</w:t>
            </w:r>
          </w:p>
        </w:tc>
        <w:tc>
          <w:tcPr>
            <w:tcW w:w="630" w:type="dxa"/>
            <w:vMerge/>
          </w:tcPr>
          <w:p w14:paraId="62D34134" w14:textId="77777777" w:rsidR="00610B4F" w:rsidRPr="002E55DE" w:rsidRDefault="00610B4F" w:rsidP="00A11B74">
            <w:pPr>
              <w:jc w:val="center"/>
              <w:rPr>
                <w:rFonts w:ascii="Times New Roman" w:eastAsia="Times New Roman" w:hAnsi="Times New Roman"/>
                <w:b/>
                <w:bCs/>
                <w:sz w:val="20"/>
              </w:rPr>
            </w:pPr>
          </w:p>
        </w:tc>
        <w:tc>
          <w:tcPr>
            <w:tcW w:w="540" w:type="dxa"/>
            <w:vAlign w:val="bottom"/>
          </w:tcPr>
          <w:p w14:paraId="5D794540" w14:textId="77777777" w:rsidR="00610B4F" w:rsidRPr="002E55DE" w:rsidRDefault="00610B4F" w:rsidP="00A11B74">
            <w:pPr>
              <w:jc w:val="center"/>
              <w:rPr>
                <w:rFonts w:ascii="Times New Roman" w:hAnsi="Times New Roman"/>
                <w:b/>
                <w:bCs/>
                <w:sz w:val="20"/>
              </w:rPr>
            </w:pPr>
            <w:r w:rsidRPr="002E55DE">
              <w:rPr>
                <w:rFonts w:ascii="Times New Roman" w:hAnsi="Times New Roman"/>
                <w:b/>
                <w:bCs/>
                <w:sz w:val="20"/>
              </w:rPr>
              <w:t>Freq.</w:t>
            </w:r>
          </w:p>
        </w:tc>
        <w:tc>
          <w:tcPr>
            <w:tcW w:w="540" w:type="dxa"/>
            <w:vAlign w:val="bottom"/>
          </w:tcPr>
          <w:p w14:paraId="10628E88"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eastAsiaTheme="minorEastAsia" w:hAnsi="Times New Roman" w:hint="eastAsia"/>
                <w:b/>
                <w:bCs/>
                <w:sz w:val="20"/>
                <w:lang w:eastAsia="ko-KR"/>
              </w:rPr>
              <w:t>SC</w:t>
            </w:r>
          </w:p>
        </w:tc>
        <w:tc>
          <w:tcPr>
            <w:tcW w:w="630" w:type="dxa"/>
            <w:tcBorders>
              <w:right w:val="double" w:sz="4" w:space="0" w:color="auto"/>
            </w:tcBorders>
            <w:vAlign w:val="bottom"/>
          </w:tcPr>
          <w:p w14:paraId="3002A88F" w14:textId="77777777" w:rsidR="00610B4F" w:rsidRPr="002E55DE" w:rsidRDefault="00610B4F" w:rsidP="00A11B74">
            <w:pPr>
              <w:jc w:val="center"/>
              <w:rPr>
                <w:rFonts w:ascii="Times New Roman" w:eastAsiaTheme="minorEastAsia" w:hAnsi="Times New Roman"/>
                <w:b/>
                <w:bCs/>
                <w:noProof/>
                <w:sz w:val="20"/>
                <w:lang w:eastAsia="ko-KR"/>
              </w:rPr>
            </w:pPr>
            <w:r w:rsidRPr="002E55DE">
              <w:rPr>
                <w:rFonts w:ascii="Times New Roman" w:hAnsi="Times New Roman"/>
                <w:b/>
                <w:bCs/>
                <w:sz w:val="20"/>
              </w:rPr>
              <w:t>Direct</w:t>
            </w:r>
          </w:p>
        </w:tc>
      </w:tr>
      <w:tr w:rsidR="002E55DE" w:rsidRPr="002E55DE" w14:paraId="65C36BE0" w14:textId="77777777" w:rsidTr="001A3D79">
        <w:trPr>
          <w:trHeight w:val="280"/>
        </w:trPr>
        <w:tc>
          <w:tcPr>
            <w:tcW w:w="12855" w:type="dxa"/>
            <w:gridSpan w:val="17"/>
            <w:tcBorders>
              <w:left w:val="double" w:sz="4" w:space="0" w:color="auto"/>
              <w:right w:val="double" w:sz="4" w:space="0" w:color="auto"/>
            </w:tcBorders>
          </w:tcPr>
          <w:p w14:paraId="0E2CBFB6" w14:textId="77777777" w:rsidR="00610B4F" w:rsidRPr="002E55DE" w:rsidRDefault="00610B4F" w:rsidP="00A11B74">
            <w:pPr>
              <w:jc w:val="both"/>
              <w:rPr>
                <w:rFonts w:ascii="Times New Roman" w:eastAsiaTheme="minorEastAsia" w:hAnsi="Times New Roman"/>
                <w:b/>
                <w:bCs/>
                <w:noProof/>
                <w:sz w:val="20"/>
                <w:lang w:eastAsia="ko-KR"/>
              </w:rPr>
            </w:pPr>
            <w:r w:rsidRPr="002E55DE">
              <w:rPr>
                <w:rFonts w:ascii="Times New Roman" w:eastAsiaTheme="minorEastAsia" w:hAnsi="Times New Roman" w:hint="eastAsia"/>
                <w:b/>
                <w:bCs/>
                <w:noProof/>
                <w:sz w:val="20"/>
                <w:lang w:eastAsia="ko-KR"/>
              </w:rPr>
              <w:t>Individual Characteristics</w:t>
            </w:r>
          </w:p>
        </w:tc>
      </w:tr>
      <w:tr w:rsidR="002E55DE" w:rsidRPr="002E55DE" w14:paraId="6619B2A1" w14:textId="77777777" w:rsidTr="003958E9">
        <w:trPr>
          <w:trHeight w:val="267"/>
        </w:trPr>
        <w:tc>
          <w:tcPr>
            <w:tcW w:w="1425" w:type="dxa"/>
            <w:tcBorders>
              <w:left w:val="double" w:sz="4" w:space="0" w:color="auto"/>
              <w:bottom w:val="dotted" w:sz="4" w:space="0" w:color="auto"/>
              <w:right w:val="dotted" w:sz="4" w:space="0" w:color="auto"/>
            </w:tcBorders>
            <w:vAlign w:val="center"/>
          </w:tcPr>
          <w:p w14:paraId="150E6A83"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Age</w:t>
            </w:r>
          </w:p>
        </w:tc>
        <w:tc>
          <w:tcPr>
            <w:tcW w:w="1350" w:type="dxa"/>
            <w:tcBorders>
              <w:left w:val="dotted" w:sz="4" w:space="0" w:color="auto"/>
              <w:bottom w:val="dotted" w:sz="4" w:space="0" w:color="auto"/>
              <w:right w:val="dotted" w:sz="4" w:space="0" w:color="auto"/>
            </w:tcBorders>
            <w:vAlign w:val="center"/>
          </w:tcPr>
          <w:p w14:paraId="6518D9E9"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50-64</w:t>
            </w:r>
          </w:p>
        </w:tc>
        <w:tc>
          <w:tcPr>
            <w:tcW w:w="1530" w:type="dxa"/>
            <w:tcBorders>
              <w:left w:val="dotted" w:sz="4" w:space="0" w:color="auto"/>
              <w:bottom w:val="dotted" w:sz="4" w:space="0" w:color="auto"/>
              <w:right w:val="single" w:sz="8" w:space="0" w:color="auto"/>
            </w:tcBorders>
            <w:vAlign w:val="center"/>
          </w:tcPr>
          <w:p w14:paraId="056CB3F0"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65 or more</w:t>
            </w:r>
          </w:p>
        </w:tc>
        <w:tc>
          <w:tcPr>
            <w:tcW w:w="720" w:type="dxa"/>
            <w:tcBorders>
              <w:left w:val="single" w:sz="8" w:space="0" w:color="auto"/>
              <w:bottom w:val="dotted" w:sz="4" w:space="0" w:color="auto"/>
              <w:right w:val="dotted" w:sz="4" w:space="0" w:color="auto"/>
            </w:tcBorders>
            <w:vAlign w:val="center"/>
          </w:tcPr>
          <w:p w14:paraId="363FAE11"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0.30</w:t>
            </w:r>
          </w:p>
        </w:tc>
        <w:tc>
          <w:tcPr>
            <w:tcW w:w="630" w:type="dxa"/>
            <w:tcBorders>
              <w:left w:val="dotted" w:sz="4" w:space="0" w:color="auto"/>
              <w:bottom w:val="dotted" w:sz="4" w:space="0" w:color="auto"/>
              <w:right w:val="single" w:sz="6" w:space="0" w:color="auto"/>
            </w:tcBorders>
            <w:vAlign w:val="center"/>
          </w:tcPr>
          <w:p w14:paraId="44059EA3"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0.30</w:t>
            </w:r>
          </w:p>
        </w:tc>
        <w:tc>
          <w:tcPr>
            <w:tcW w:w="630" w:type="dxa"/>
            <w:tcBorders>
              <w:left w:val="single" w:sz="6" w:space="0" w:color="auto"/>
              <w:bottom w:val="dotted" w:sz="4" w:space="0" w:color="auto"/>
              <w:right w:val="single" w:sz="8" w:space="0" w:color="auto"/>
            </w:tcBorders>
            <w:vAlign w:val="center"/>
          </w:tcPr>
          <w:p w14:paraId="26A3B29A" w14:textId="77777777" w:rsidR="00610B4F" w:rsidRPr="002E55DE" w:rsidRDefault="00610B4F" w:rsidP="00A11B74">
            <w:pPr>
              <w:jc w:val="right"/>
              <w:rPr>
                <w:rFonts w:ascii="Times New Roman" w:hAnsi="Times New Roman"/>
                <w:sz w:val="18"/>
                <w:szCs w:val="18"/>
              </w:rPr>
            </w:pPr>
            <w:r w:rsidRPr="002E55DE">
              <w:rPr>
                <w:rFonts w:ascii="Times New Roman" w:hAnsi="Times New Roman" w:hint="eastAsia"/>
                <w:sz w:val="18"/>
                <w:szCs w:val="18"/>
              </w:rPr>
              <w:t>0.0</w:t>
            </w:r>
          </w:p>
        </w:tc>
        <w:tc>
          <w:tcPr>
            <w:tcW w:w="623" w:type="dxa"/>
            <w:tcBorders>
              <w:left w:val="single" w:sz="8" w:space="0" w:color="auto"/>
              <w:bottom w:val="dotted" w:sz="4" w:space="0" w:color="auto"/>
              <w:right w:val="dotted" w:sz="4" w:space="0" w:color="auto"/>
            </w:tcBorders>
            <w:vAlign w:val="center"/>
          </w:tcPr>
          <w:p w14:paraId="71077A2F"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3.77</w:t>
            </w:r>
          </w:p>
        </w:tc>
        <w:tc>
          <w:tcPr>
            <w:tcW w:w="477" w:type="dxa"/>
            <w:tcBorders>
              <w:left w:val="dotted" w:sz="4" w:space="0" w:color="auto"/>
              <w:bottom w:val="dotted" w:sz="4" w:space="0" w:color="auto"/>
            </w:tcBorders>
            <w:vAlign w:val="center"/>
          </w:tcPr>
          <w:p w14:paraId="46E75EC6"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3.50</w:t>
            </w:r>
          </w:p>
        </w:tc>
        <w:tc>
          <w:tcPr>
            <w:tcW w:w="520" w:type="dxa"/>
            <w:tcBorders>
              <w:bottom w:val="dotted" w:sz="4" w:space="0" w:color="auto"/>
            </w:tcBorders>
            <w:vAlign w:val="center"/>
          </w:tcPr>
          <w:p w14:paraId="352BBBF4"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-7.</w:t>
            </w:r>
            <w:r w:rsidRPr="002E55DE">
              <w:rPr>
                <w:rFonts w:ascii="Times New Roman" w:eastAsiaTheme="minorEastAsia" w:hAnsi="Times New Roman" w:hint="eastAsia"/>
                <w:sz w:val="18"/>
                <w:szCs w:val="18"/>
                <w:lang w:eastAsia="ko-KR"/>
              </w:rPr>
              <w:t>2</w:t>
            </w:r>
          </w:p>
        </w:tc>
        <w:tc>
          <w:tcPr>
            <w:tcW w:w="720" w:type="dxa"/>
            <w:tcBorders>
              <w:bottom w:val="dotted" w:sz="4" w:space="0" w:color="auto"/>
              <w:right w:val="dotted" w:sz="4" w:space="0" w:color="auto"/>
            </w:tcBorders>
            <w:vAlign w:val="center"/>
          </w:tcPr>
          <w:p w14:paraId="69D65A4D"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720" w:type="dxa"/>
            <w:tcBorders>
              <w:left w:val="dotted" w:sz="4" w:space="0" w:color="auto"/>
              <w:bottom w:val="dotted" w:sz="4" w:space="0" w:color="auto"/>
              <w:right w:val="single" w:sz="8" w:space="0" w:color="auto"/>
            </w:tcBorders>
            <w:vAlign w:val="center"/>
          </w:tcPr>
          <w:p w14:paraId="5F5333EE"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c>
          <w:tcPr>
            <w:tcW w:w="630" w:type="dxa"/>
            <w:tcBorders>
              <w:left w:val="single" w:sz="8" w:space="0" w:color="auto"/>
              <w:bottom w:val="dotted" w:sz="4" w:space="0" w:color="auto"/>
              <w:right w:val="dotted" w:sz="4" w:space="0" w:color="auto"/>
            </w:tcBorders>
            <w:vAlign w:val="center"/>
          </w:tcPr>
          <w:p w14:paraId="15FC2A40"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46.12</w:t>
            </w:r>
          </w:p>
        </w:tc>
        <w:tc>
          <w:tcPr>
            <w:tcW w:w="540" w:type="dxa"/>
            <w:tcBorders>
              <w:left w:val="dotted" w:sz="4" w:space="0" w:color="auto"/>
              <w:bottom w:val="dotted" w:sz="4" w:space="0" w:color="auto"/>
            </w:tcBorders>
            <w:vAlign w:val="center"/>
          </w:tcPr>
          <w:p w14:paraId="05ED853D"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39.22</w:t>
            </w:r>
          </w:p>
        </w:tc>
        <w:tc>
          <w:tcPr>
            <w:tcW w:w="630" w:type="dxa"/>
            <w:tcBorders>
              <w:bottom w:val="dotted" w:sz="4" w:space="0" w:color="auto"/>
            </w:tcBorders>
            <w:vAlign w:val="center"/>
          </w:tcPr>
          <w:p w14:paraId="041D1A2E"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-15.0</w:t>
            </w:r>
          </w:p>
        </w:tc>
        <w:tc>
          <w:tcPr>
            <w:tcW w:w="540" w:type="dxa"/>
            <w:tcBorders>
              <w:bottom w:val="dotted" w:sz="4" w:space="0" w:color="auto"/>
              <w:right w:val="dotted" w:sz="4" w:space="0" w:color="auto"/>
            </w:tcBorders>
            <w:vAlign w:val="center"/>
          </w:tcPr>
          <w:p w14:paraId="6B81FFD8"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-8.2</w:t>
            </w:r>
          </w:p>
        </w:tc>
        <w:tc>
          <w:tcPr>
            <w:tcW w:w="540" w:type="dxa"/>
            <w:tcBorders>
              <w:left w:val="dotted" w:sz="4" w:space="0" w:color="auto"/>
              <w:bottom w:val="dotted" w:sz="4" w:space="0" w:color="auto"/>
              <w:right w:val="dotted" w:sz="4" w:space="0" w:color="auto"/>
            </w:tcBorders>
            <w:vAlign w:val="center"/>
          </w:tcPr>
          <w:p w14:paraId="7540F6F4"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0.0</w:t>
            </w:r>
          </w:p>
        </w:tc>
        <w:tc>
          <w:tcPr>
            <w:tcW w:w="630" w:type="dxa"/>
            <w:tcBorders>
              <w:left w:val="dotted" w:sz="4" w:space="0" w:color="auto"/>
              <w:bottom w:val="dotted" w:sz="4" w:space="0" w:color="auto"/>
              <w:right w:val="double" w:sz="4" w:space="0" w:color="auto"/>
            </w:tcBorders>
            <w:vAlign w:val="center"/>
          </w:tcPr>
          <w:p w14:paraId="584EE7A6"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-91.8</w:t>
            </w:r>
          </w:p>
        </w:tc>
      </w:tr>
      <w:tr w:rsidR="002E55DE" w:rsidRPr="002E55DE" w14:paraId="73713763" w14:textId="77777777" w:rsidTr="003958E9">
        <w:trPr>
          <w:trHeight w:val="280"/>
        </w:trPr>
        <w:tc>
          <w:tcPr>
            <w:tcW w:w="1425" w:type="dxa"/>
            <w:tcBorders>
              <w:top w:val="dotted" w:sz="4" w:space="0" w:color="auto"/>
              <w:left w:val="double" w:sz="4" w:space="0" w:color="auto"/>
              <w:bottom w:val="dotted" w:sz="4" w:space="0" w:color="auto"/>
              <w:right w:val="dotted" w:sz="4" w:space="0" w:color="auto"/>
            </w:tcBorders>
            <w:vAlign w:val="center"/>
          </w:tcPr>
          <w:p w14:paraId="02E6B6D7"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Gender</w:t>
            </w:r>
          </w:p>
        </w:tc>
        <w:tc>
          <w:tcPr>
            <w:tcW w:w="1350" w:type="dxa"/>
            <w:tcBorders>
              <w:top w:val="dotted" w:sz="4" w:space="0" w:color="auto"/>
              <w:left w:val="dotted" w:sz="4" w:space="0" w:color="auto"/>
              <w:bottom w:val="dotted" w:sz="4" w:space="0" w:color="auto"/>
              <w:right w:val="dotted" w:sz="4" w:space="0" w:color="auto"/>
            </w:tcBorders>
            <w:vAlign w:val="center"/>
          </w:tcPr>
          <w:p w14:paraId="6800FC3E"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Man</w:t>
            </w:r>
          </w:p>
        </w:tc>
        <w:tc>
          <w:tcPr>
            <w:tcW w:w="1530" w:type="dxa"/>
            <w:tcBorders>
              <w:top w:val="dotted" w:sz="4" w:space="0" w:color="auto"/>
              <w:left w:val="dotted" w:sz="4" w:space="0" w:color="auto"/>
              <w:bottom w:val="dotted" w:sz="4" w:space="0" w:color="auto"/>
              <w:right w:val="single" w:sz="8" w:space="0" w:color="auto"/>
            </w:tcBorders>
            <w:vAlign w:val="center"/>
          </w:tcPr>
          <w:p w14:paraId="08D9C1D4"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Woman</w:t>
            </w:r>
          </w:p>
        </w:tc>
        <w:tc>
          <w:tcPr>
            <w:tcW w:w="720" w:type="dxa"/>
            <w:tcBorders>
              <w:top w:val="dotted" w:sz="4" w:space="0" w:color="auto"/>
              <w:left w:val="single" w:sz="8" w:space="0" w:color="auto"/>
              <w:bottom w:val="dotted" w:sz="4" w:space="0" w:color="auto"/>
              <w:right w:val="dotted" w:sz="4" w:space="0" w:color="auto"/>
            </w:tcBorders>
            <w:vAlign w:val="center"/>
          </w:tcPr>
          <w:p w14:paraId="24ED8A54"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0.30</w:t>
            </w:r>
          </w:p>
        </w:tc>
        <w:tc>
          <w:tcPr>
            <w:tcW w:w="630" w:type="dxa"/>
            <w:tcBorders>
              <w:top w:val="dotted" w:sz="4" w:space="0" w:color="auto"/>
              <w:left w:val="dotted" w:sz="4" w:space="0" w:color="auto"/>
              <w:bottom w:val="dotted" w:sz="4" w:space="0" w:color="auto"/>
              <w:right w:val="single" w:sz="6" w:space="0" w:color="auto"/>
            </w:tcBorders>
            <w:vAlign w:val="center"/>
          </w:tcPr>
          <w:p w14:paraId="47E087B7"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0.30</w:t>
            </w:r>
          </w:p>
        </w:tc>
        <w:tc>
          <w:tcPr>
            <w:tcW w:w="630" w:type="dxa"/>
            <w:tcBorders>
              <w:top w:val="dotted" w:sz="4" w:space="0" w:color="auto"/>
              <w:left w:val="single" w:sz="6" w:space="0" w:color="auto"/>
              <w:bottom w:val="dotted" w:sz="4" w:space="0" w:color="auto"/>
              <w:right w:val="single" w:sz="8" w:space="0" w:color="auto"/>
            </w:tcBorders>
            <w:vAlign w:val="center"/>
          </w:tcPr>
          <w:p w14:paraId="0BC35119" w14:textId="77777777" w:rsidR="00610B4F" w:rsidRPr="002E55DE" w:rsidRDefault="00610B4F" w:rsidP="00A11B74">
            <w:pPr>
              <w:jc w:val="right"/>
              <w:rPr>
                <w:rFonts w:ascii="Times New Roman" w:hAnsi="Times New Roman"/>
                <w:sz w:val="18"/>
                <w:szCs w:val="18"/>
              </w:rPr>
            </w:pPr>
            <w:r w:rsidRPr="002E55DE">
              <w:rPr>
                <w:rFonts w:ascii="Times New Roman" w:hAnsi="Times New Roman" w:hint="eastAsia"/>
                <w:sz w:val="18"/>
                <w:szCs w:val="18"/>
              </w:rPr>
              <w:t>0.0</w:t>
            </w:r>
          </w:p>
        </w:tc>
        <w:tc>
          <w:tcPr>
            <w:tcW w:w="623" w:type="dxa"/>
            <w:tcBorders>
              <w:top w:val="dotted" w:sz="4" w:space="0" w:color="auto"/>
              <w:left w:val="single" w:sz="8" w:space="0" w:color="auto"/>
              <w:bottom w:val="dotted" w:sz="4" w:space="0" w:color="auto"/>
              <w:right w:val="dotted" w:sz="4" w:space="0" w:color="auto"/>
            </w:tcBorders>
            <w:vAlign w:val="center"/>
          </w:tcPr>
          <w:p w14:paraId="5F0AE8D9"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3.82</w:t>
            </w:r>
          </w:p>
        </w:tc>
        <w:tc>
          <w:tcPr>
            <w:tcW w:w="477" w:type="dxa"/>
            <w:tcBorders>
              <w:top w:val="dotted" w:sz="4" w:space="0" w:color="auto"/>
              <w:left w:val="dotted" w:sz="4" w:space="0" w:color="auto"/>
              <w:bottom w:val="dotted" w:sz="4" w:space="0" w:color="auto"/>
            </w:tcBorders>
            <w:vAlign w:val="center"/>
          </w:tcPr>
          <w:p w14:paraId="4093B296"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3.47</w:t>
            </w:r>
          </w:p>
        </w:tc>
        <w:tc>
          <w:tcPr>
            <w:tcW w:w="520" w:type="dxa"/>
            <w:tcBorders>
              <w:top w:val="dotted" w:sz="4" w:space="0" w:color="auto"/>
              <w:bottom w:val="dotted" w:sz="4" w:space="0" w:color="auto"/>
            </w:tcBorders>
            <w:vAlign w:val="center"/>
          </w:tcPr>
          <w:p w14:paraId="7D36F197"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-9.</w:t>
            </w:r>
            <w:r w:rsidRPr="002E55DE">
              <w:rPr>
                <w:rFonts w:ascii="Times New Roman" w:eastAsiaTheme="minorEastAsia" w:hAnsi="Times New Roman" w:hint="eastAsia"/>
                <w:sz w:val="18"/>
                <w:szCs w:val="18"/>
                <w:lang w:eastAsia="ko-KR"/>
              </w:rPr>
              <w:t>2</w:t>
            </w:r>
          </w:p>
        </w:tc>
        <w:tc>
          <w:tcPr>
            <w:tcW w:w="720" w:type="dxa"/>
            <w:tcBorders>
              <w:top w:val="dotted" w:sz="4" w:space="0" w:color="auto"/>
              <w:bottom w:val="dotted" w:sz="4" w:space="0" w:color="auto"/>
              <w:right w:val="dotted" w:sz="4" w:space="0" w:color="auto"/>
            </w:tcBorders>
            <w:vAlign w:val="center"/>
          </w:tcPr>
          <w:p w14:paraId="3FDF2A89"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720" w:type="dxa"/>
            <w:tcBorders>
              <w:top w:val="dotted" w:sz="4" w:space="0" w:color="auto"/>
              <w:left w:val="dotted" w:sz="4" w:space="0" w:color="auto"/>
              <w:bottom w:val="dotted" w:sz="4" w:space="0" w:color="auto"/>
              <w:right w:val="single" w:sz="8" w:space="0" w:color="auto"/>
            </w:tcBorders>
            <w:vAlign w:val="center"/>
          </w:tcPr>
          <w:p w14:paraId="6F6FAD32"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c>
          <w:tcPr>
            <w:tcW w:w="630" w:type="dxa"/>
            <w:tcBorders>
              <w:top w:val="dotted" w:sz="4" w:space="0" w:color="auto"/>
              <w:left w:val="single" w:sz="8" w:space="0" w:color="auto"/>
              <w:bottom w:val="dotted" w:sz="4" w:space="0" w:color="auto"/>
              <w:right w:val="dotted" w:sz="4" w:space="0" w:color="auto"/>
            </w:tcBorders>
            <w:vAlign w:val="center"/>
          </w:tcPr>
          <w:p w14:paraId="2A5458CB"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46.75</w:t>
            </w:r>
          </w:p>
        </w:tc>
        <w:tc>
          <w:tcPr>
            <w:tcW w:w="540" w:type="dxa"/>
            <w:tcBorders>
              <w:top w:val="dotted" w:sz="4" w:space="0" w:color="auto"/>
              <w:left w:val="dotted" w:sz="4" w:space="0" w:color="auto"/>
              <w:bottom w:val="dotted" w:sz="4" w:space="0" w:color="auto"/>
            </w:tcBorders>
            <w:vAlign w:val="center"/>
          </w:tcPr>
          <w:p w14:paraId="00DF2084"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39.09</w:t>
            </w:r>
          </w:p>
        </w:tc>
        <w:tc>
          <w:tcPr>
            <w:tcW w:w="630" w:type="dxa"/>
            <w:tcBorders>
              <w:top w:val="dotted" w:sz="4" w:space="0" w:color="auto"/>
              <w:bottom w:val="dotted" w:sz="4" w:space="0" w:color="auto"/>
            </w:tcBorders>
            <w:vAlign w:val="center"/>
          </w:tcPr>
          <w:p w14:paraId="0AEF2759"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-16.4</w:t>
            </w:r>
          </w:p>
        </w:tc>
        <w:tc>
          <w:tcPr>
            <w:tcW w:w="540" w:type="dxa"/>
            <w:tcBorders>
              <w:top w:val="dotted" w:sz="4" w:space="0" w:color="auto"/>
              <w:bottom w:val="dotted" w:sz="4" w:space="0" w:color="auto"/>
              <w:right w:val="dotted" w:sz="4" w:space="0" w:color="auto"/>
            </w:tcBorders>
            <w:vAlign w:val="center"/>
          </w:tcPr>
          <w:p w14:paraId="13C52813"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-11.1</w:t>
            </w:r>
          </w:p>
        </w:tc>
        <w:tc>
          <w:tcPr>
            <w:tcW w:w="540" w:type="dxa"/>
            <w:tcBorders>
              <w:top w:val="dotted" w:sz="4" w:space="0" w:color="auto"/>
              <w:left w:val="dotted" w:sz="4" w:space="0" w:color="auto"/>
              <w:bottom w:val="dotted" w:sz="4" w:space="0" w:color="auto"/>
              <w:right w:val="dotted" w:sz="4" w:space="0" w:color="auto"/>
            </w:tcBorders>
            <w:vAlign w:val="center"/>
          </w:tcPr>
          <w:p w14:paraId="0D9F1C5D"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0.0</w:t>
            </w:r>
          </w:p>
        </w:tc>
        <w:tc>
          <w:tcPr>
            <w:tcW w:w="630" w:type="dxa"/>
            <w:tcBorders>
              <w:top w:val="dotted" w:sz="4" w:space="0" w:color="auto"/>
              <w:left w:val="dotted" w:sz="4" w:space="0" w:color="auto"/>
              <w:bottom w:val="dotted" w:sz="4" w:space="0" w:color="auto"/>
              <w:right w:val="double" w:sz="4" w:space="0" w:color="auto"/>
            </w:tcBorders>
            <w:vAlign w:val="center"/>
          </w:tcPr>
          <w:p w14:paraId="2C0FC123"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-88.9</w:t>
            </w:r>
          </w:p>
        </w:tc>
      </w:tr>
      <w:tr w:rsidR="002E55DE" w:rsidRPr="002E55DE" w14:paraId="44AFC30A" w14:textId="77777777" w:rsidTr="003958E9">
        <w:trPr>
          <w:trHeight w:val="280"/>
        </w:trPr>
        <w:tc>
          <w:tcPr>
            <w:tcW w:w="1425" w:type="dxa"/>
            <w:tcBorders>
              <w:top w:val="dotted" w:sz="4" w:space="0" w:color="auto"/>
              <w:left w:val="double" w:sz="4" w:space="0" w:color="auto"/>
              <w:bottom w:val="dotted" w:sz="4" w:space="0" w:color="auto"/>
              <w:right w:val="dotted" w:sz="4" w:space="0" w:color="auto"/>
            </w:tcBorders>
            <w:vAlign w:val="center"/>
          </w:tcPr>
          <w:p w14:paraId="5966C717" w14:textId="77777777" w:rsidR="00610B4F" w:rsidRPr="002E55DE" w:rsidRDefault="00610B4F" w:rsidP="00A11B74">
            <w:pPr>
              <w:rPr>
                <w:rFonts w:ascii="Times New Roman" w:eastAsia="Times New Roman" w:hAnsi="Times New Roman"/>
                <w:sz w:val="18"/>
                <w:szCs w:val="18"/>
              </w:rPr>
            </w:pPr>
            <w:r w:rsidRPr="002E55DE">
              <w:rPr>
                <w:rFonts w:ascii="Times New Roman" w:eastAsia="Times New Roman" w:hAnsi="Times New Roman"/>
                <w:sz w:val="18"/>
                <w:szCs w:val="18"/>
              </w:rPr>
              <w:t>Race</w:t>
            </w:r>
          </w:p>
        </w:tc>
        <w:tc>
          <w:tcPr>
            <w:tcW w:w="1350" w:type="dxa"/>
            <w:tcBorders>
              <w:top w:val="dotted" w:sz="4" w:space="0" w:color="auto"/>
              <w:left w:val="dotted" w:sz="4" w:space="0" w:color="auto"/>
              <w:bottom w:val="dotted" w:sz="4" w:space="0" w:color="auto"/>
              <w:right w:val="dotted" w:sz="4" w:space="0" w:color="auto"/>
            </w:tcBorders>
            <w:vAlign w:val="center"/>
          </w:tcPr>
          <w:p w14:paraId="56F091CC" w14:textId="22FD61F0" w:rsidR="00610B4F" w:rsidRPr="002E55DE" w:rsidRDefault="00610B4F" w:rsidP="00A11B74">
            <w:pPr>
              <w:rPr>
                <w:rFonts w:ascii="Times New Roman" w:eastAsia="Times New Roman" w:hAnsi="Times New Roman"/>
                <w:sz w:val="18"/>
                <w:szCs w:val="18"/>
              </w:rPr>
            </w:pPr>
            <w:r w:rsidRPr="002E55DE">
              <w:rPr>
                <w:rFonts w:ascii="Times New Roman" w:eastAsia="Times New Roman" w:hAnsi="Times New Roman"/>
                <w:sz w:val="18"/>
                <w:szCs w:val="18"/>
              </w:rPr>
              <w:t>Non-</w:t>
            </w:r>
            <w:r w:rsidR="00A11B74" w:rsidRPr="002E55DE">
              <w:rPr>
                <w:rFonts w:ascii="Times New Roman" w:eastAsia="Times New Roman" w:hAnsi="Times New Roman"/>
                <w:sz w:val="18"/>
                <w:szCs w:val="18"/>
              </w:rPr>
              <w:t>B</w:t>
            </w:r>
            <w:r w:rsidRPr="002E55DE">
              <w:rPr>
                <w:rFonts w:ascii="Times New Roman" w:eastAsia="Times New Roman" w:hAnsi="Times New Roman"/>
                <w:sz w:val="18"/>
                <w:szCs w:val="18"/>
              </w:rPr>
              <w:t>lack</w:t>
            </w:r>
          </w:p>
        </w:tc>
        <w:tc>
          <w:tcPr>
            <w:tcW w:w="1530" w:type="dxa"/>
            <w:tcBorders>
              <w:top w:val="dotted" w:sz="4" w:space="0" w:color="auto"/>
              <w:left w:val="dotted" w:sz="4" w:space="0" w:color="auto"/>
              <w:bottom w:val="dotted" w:sz="4" w:space="0" w:color="auto"/>
              <w:right w:val="single" w:sz="8" w:space="0" w:color="auto"/>
            </w:tcBorders>
            <w:vAlign w:val="center"/>
          </w:tcPr>
          <w:p w14:paraId="66163425" w14:textId="1E1CB0BE" w:rsidR="00610B4F" w:rsidRPr="002E55DE" w:rsidRDefault="00A11B74" w:rsidP="00A11B74">
            <w:pPr>
              <w:rPr>
                <w:rFonts w:ascii="Times New Roman" w:eastAsia="Times New Roman" w:hAnsi="Times New Roman"/>
                <w:sz w:val="18"/>
                <w:szCs w:val="18"/>
              </w:rPr>
            </w:pPr>
            <w:r w:rsidRPr="002E55DE">
              <w:rPr>
                <w:rFonts w:ascii="Times New Roman" w:eastAsia="Times New Roman" w:hAnsi="Times New Roman"/>
                <w:sz w:val="18"/>
                <w:szCs w:val="18"/>
              </w:rPr>
              <w:t>B</w:t>
            </w:r>
            <w:r w:rsidR="00610B4F" w:rsidRPr="002E55DE">
              <w:rPr>
                <w:rFonts w:ascii="Times New Roman" w:eastAsia="Times New Roman" w:hAnsi="Times New Roman"/>
                <w:sz w:val="18"/>
                <w:szCs w:val="18"/>
              </w:rPr>
              <w:t>lack</w:t>
            </w:r>
          </w:p>
        </w:tc>
        <w:tc>
          <w:tcPr>
            <w:tcW w:w="720" w:type="dxa"/>
            <w:tcBorders>
              <w:top w:val="dotted" w:sz="4" w:space="0" w:color="auto"/>
              <w:left w:val="single" w:sz="8" w:space="0" w:color="auto"/>
              <w:bottom w:val="dotted" w:sz="4" w:space="0" w:color="auto"/>
              <w:right w:val="dotted" w:sz="4" w:space="0" w:color="auto"/>
            </w:tcBorders>
            <w:vAlign w:val="center"/>
          </w:tcPr>
          <w:p w14:paraId="7CDB6500"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0.31</w:t>
            </w:r>
          </w:p>
        </w:tc>
        <w:tc>
          <w:tcPr>
            <w:tcW w:w="630" w:type="dxa"/>
            <w:tcBorders>
              <w:top w:val="dotted" w:sz="4" w:space="0" w:color="auto"/>
              <w:left w:val="dotted" w:sz="4" w:space="0" w:color="auto"/>
              <w:bottom w:val="dotted" w:sz="4" w:space="0" w:color="auto"/>
              <w:right w:val="single" w:sz="6" w:space="0" w:color="auto"/>
            </w:tcBorders>
            <w:vAlign w:val="center"/>
          </w:tcPr>
          <w:p w14:paraId="07BEB0FB"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0.26</w:t>
            </w:r>
          </w:p>
        </w:tc>
        <w:tc>
          <w:tcPr>
            <w:tcW w:w="630" w:type="dxa"/>
            <w:tcBorders>
              <w:top w:val="dotted" w:sz="4" w:space="0" w:color="auto"/>
              <w:left w:val="single" w:sz="6" w:space="0" w:color="auto"/>
              <w:bottom w:val="dotted" w:sz="4" w:space="0" w:color="auto"/>
              <w:right w:val="single" w:sz="8" w:space="0" w:color="auto"/>
            </w:tcBorders>
            <w:vAlign w:val="center"/>
          </w:tcPr>
          <w:p w14:paraId="399849F3"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hint="eastAsia"/>
                <w:sz w:val="18"/>
                <w:szCs w:val="18"/>
              </w:rPr>
              <w:t>-</w:t>
            </w:r>
            <w:r w:rsidRPr="002E55DE">
              <w:rPr>
                <w:rFonts w:ascii="Times New Roman" w:eastAsiaTheme="minorEastAsia" w:hAnsi="Times New Roman" w:hint="eastAsia"/>
                <w:sz w:val="18"/>
                <w:szCs w:val="18"/>
                <w:lang w:eastAsia="ko-KR"/>
              </w:rPr>
              <w:t>16.1</w:t>
            </w:r>
          </w:p>
        </w:tc>
        <w:tc>
          <w:tcPr>
            <w:tcW w:w="623" w:type="dxa"/>
            <w:tcBorders>
              <w:top w:val="dotted" w:sz="4" w:space="0" w:color="auto"/>
              <w:left w:val="single" w:sz="8" w:space="0" w:color="auto"/>
              <w:bottom w:val="dotted" w:sz="4" w:space="0" w:color="auto"/>
              <w:right w:val="dotted" w:sz="4" w:space="0" w:color="auto"/>
            </w:tcBorders>
            <w:vAlign w:val="center"/>
          </w:tcPr>
          <w:p w14:paraId="2259D508"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3.69</w:t>
            </w:r>
          </w:p>
        </w:tc>
        <w:tc>
          <w:tcPr>
            <w:tcW w:w="477" w:type="dxa"/>
            <w:tcBorders>
              <w:top w:val="dotted" w:sz="4" w:space="0" w:color="auto"/>
              <w:left w:val="dotted" w:sz="4" w:space="0" w:color="auto"/>
              <w:bottom w:val="dotted" w:sz="4" w:space="0" w:color="auto"/>
            </w:tcBorders>
            <w:vAlign w:val="center"/>
          </w:tcPr>
          <w:p w14:paraId="6B4E6101"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3.52</w:t>
            </w:r>
          </w:p>
        </w:tc>
        <w:tc>
          <w:tcPr>
            <w:tcW w:w="520" w:type="dxa"/>
            <w:tcBorders>
              <w:top w:val="dotted" w:sz="4" w:space="0" w:color="auto"/>
              <w:bottom w:val="dotted" w:sz="4" w:space="0" w:color="auto"/>
            </w:tcBorders>
            <w:vAlign w:val="center"/>
          </w:tcPr>
          <w:p w14:paraId="38EC600B"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-4.</w:t>
            </w:r>
            <w:r w:rsidRPr="002E55DE">
              <w:rPr>
                <w:rFonts w:ascii="Times New Roman" w:eastAsiaTheme="minorEastAsia" w:hAnsi="Times New Roman" w:hint="eastAsia"/>
                <w:sz w:val="18"/>
                <w:szCs w:val="18"/>
                <w:lang w:eastAsia="ko-KR"/>
              </w:rPr>
              <w:t>6</w:t>
            </w:r>
          </w:p>
        </w:tc>
        <w:tc>
          <w:tcPr>
            <w:tcW w:w="720" w:type="dxa"/>
            <w:tcBorders>
              <w:top w:val="dotted" w:sz="4" w:space="0" w:color="auto"/>
              <w:bottom w:val="dotted" w:sz="4" w:space="0" w:color="auto"/>
              <w:right w:val="dotted" w:sz="4" w:space="0" w:color="auto"/>
            </w:tcBorders>
            <w:vAlign w:val="center"/>
          </w:tcPr>
          <w:p w14:paraId="5F2D696D"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c>
          <w:tcPr>
            <w:tcW w:w="720" w:type="dxa"/>
            <w:tcBorders>
              <w:top w:val="dotted" w:sz="4" w:space="0" w:color="auto"/>
              <w:left w:val="dotted" w:sz="4" w:space="0" w:color="auto"/>
              <w:bottom w:val="dotted" w:sz="4" w:space="0" w:color="auto"/>
              <w:right w:val="single" w:sz="8" w:space="0" w:color="auto"/>
            </w:tcBorders>
            <w:vAlign w:val="center"/>
          </w:tcPr>
          <w:p w14:paraId="6C3255DC"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0.0</w:t>
            </w:r>
          </w:p>
        </w:tc>
        <w:tc>
          <w:tcPr>
            <w:tcW w:w="630" w:type="dxa"/>
            <w:tcBorders>
              <w:top w:val="dotted" w:sz="4" w:space="0" w:color="auto"/>
              <w:left w:val="single" w:sz="8" w:space="0" w:color="auto"/>
              <w:bottom w:val="dotted" w:sz="4" w:space="0" w:color="auto"/>
              <w:right w:val="dotted" w:sz="4" w:space="0" w:color="auto"/>
            </w:tcBorders>
            <w:vAlign w:val="center"/>
          </w:tcPr>
          <w:p w14:paraId="6214BBE7"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43.91</w:t>
            </w:r>
          </w:p>
        </w:tc>
        <w:tc>
          <w:tcPr>
            <w:tcW w:w="540" w:type="dxa"/>
            <w:tcBorders>
              <w:top w:val="dotted" w:sz="4" w:space="0" w:color="auto"/>
              <w:left w:val="dotted" w:sz="4" w:space="0" w:color="auto"/>
              <w:bottom w:val="dotted" w:sz="4" w:space="0" w:color="auto"/>
            </w:tcBorders>
            <w:vAlign w:val="center"/>
          </w:tcPr>
          <w:p w14:paraId="507964CF"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40.16</w:t>
            </w:r>
          </w:p>
        </w:tc>
        <w:tc>
          <w:tcPr>
            <w:tcW w:w="630" w:type="dxa"/>
            <w:tcBorders>
              <w:top w:val="dotted" w:sz="4" w:space="0" w:color="auto"/>
              <w:bottom w:val="dotted" w:sz="4" w:space="0" w:color="auto"/>
            </w:tcBorders>
            <w:vAlign w:val="center"/>
          </w:tcPr>
          <w:p w14:paraId="5C1D3582"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-8.5</w:t>
            </w:r>
          </w:p>
        </w:tc>
        <w:tc>
          <w:tcPr>
            <w:tcW w:w="540" w:type="dxa"/>
            <w:tcBorders>
              <w:top w:val="dotted" w:sz="4" w:space="0" w:color="auto"/>
              <w:bottom w:val="dotted" w:sz="4" w:space="0" w:color="auto"/>
              <w:right w:val="dotted" w:sz="4" w:space="0" w:color="auto"/>
            </w:tcBorders>
            <w:vAlign w:val="center"/>
          </w:tcPr>
          <w:p w14:paraId="679AB409"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540" w:type="dxa"/>
            <w:tcBorders>
              <w:top w:val="dotted" w:sz="4" w:space="0" w:color="auto"/>
              <w:left w:val="dotted" w:sz="4" w:space="0" w:color="auto"/>
              <w:bottom w:val="dotted" w:sz="4" w:space="0" w:color="auto"/>
              <w:right w:val="dotted" w:sz="4" w:space="0" w:color="auto"/>
            </w:tcBorders>
            <w:vAlign w:val="center"/>
          </w:tcPr>
          <w:p w14:paraId="34F9A81E"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c>
          <w:tcPr>
            <w:tcW w:w="630" w:type="dxa"/>
            <w:tcBorders>
              <w:top w:val="dotted" w:sz="4" w:space="0" w:color="auto"/>
              <w:left w:val="dotted" w:sz="4" w:space="0" w:color="auto"/>
              <w:bottom w:val="dotted" w:sz="4" w:space="0" w:color="auto"/>
              <w:right w:val="double" w:sz="4" w:space="0" w:color="auto"/>
            </w:tcBorders>
            <w:vAlign w:val="center"/>
          </w:tcPr>
          <w:p w14:paraId="68B3617C"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r>
      <w:tr w:rsidR="002E55DE" w:rsidRPr="002E55DE" w14:paraId="732FD4F4" w14:textId="77777777" w:rsidTr="00A11B74">
        <w:trPr>
          <w:trHeight w:val="432"/>
        </w:trPr>
        <w:tc>
          <w:tcPr>
            <w:tcW w:w="1425" w:type="dxa"/>
            <w:tcBorders>
              <w:top w:val="dotted" w:sz="4" w:space="0" w:color="auto"/>
              <w:left w:val="double" w:sz="4" w:space="0" w:color="auto"/>
              <w:right w:val="dotted" w:sz="4" w:space="0" w:color="auto"/>
            </w:tcBorders>
            <w:vAlign w:val="center"/>
          </w:tcPr>
          <w:p w14:paraId="25DA2D2D"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Employment status</w:t>
            </w:r>
          </w:p>
        </w:tc>
        <w:tc>
          <w:tcPr>
            <w:tcW w:w="1350" w:type="dxa"/>
            <w:tcBorders>
              <w:top w:val="dotted" w:sz="4" w:space="0" w:color="auto"/>
              <w:left w:val="dotted" w:sz="4" w:space="0" w:color="auto"/>
              <w:right w:val="dotted" w:sz="4" w:space="0" w:color="auto"/>
            </w:tcBorders>
            <w:vAlign w:val="center"/>
          </w:tcPr>
          <w:p w14:paraId="3E03E952"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Retired or not employed</w:t>
            </w:r>
          </w:p>
        </w:tc>
        <w:tc>
          <w:tcPr>
            <w:tcW w:w="1530" w:type="dxa"/>
            <w:tcBorders>
              <w:top w:val="dotted" w:sz="4" w:space="0" w:color="auto"/>
              <w:left w:val="dotted" w:sz="4" w:space="0" w:color="auto"/>
              <w:right w:val="single" w:sz="8" w:space="0" w:color="auto"/>
            </w:tcBorders>
            <w:vAlign w:val="center"/>
          </w:tcPr>
          <w:p w14:paraId="371ABDB0"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Employed</w:t>
            </w:r>
          </w:p>
        </w:tc>
        <w:tc>
          <w:tcPr>
            <w:tcW w:w="720" w:type="dxa"/>
            <w:tcBorders>
              <w:top w:val="dotted" w:sz="4" w:space="0" w:color="auto"/>
              <w:left w:val="single" w:sz="8" w:space="0" w:color="auto"/>
              <w:right w:val="dotted" w:sz="4" w:space="0" w:color="auto"/>
            </w:tcBorders>
            <w:vAlign w:val="center"/>
          </w:tcPr>
          <w:p w14:paraId="17EBED0B"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0.33</w:t>
            </w:r>
          </w:p>
        </w:tc>
        <w:tc>
          <w:tcPr>
            <w:tcW w:w="630" w:type="dxa"/>
            <w:tcBorders>
              <w:top w:val="dotted" w:sz="4" w:space="0" w:color="auto"/>
              <w:left w:val="dotted" w:sz="4" w:space="0" w:color="auto"/>
              <w:right w:val="single" w:sz="6" w:space="0" w:color="auto"/>
            </w:tcBorders>
            <w:vAlign w:val="center"/>
          </w:tcPr>
          <w:p w14:paraId="50F18C3F"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0.27</w:t>
            </w:r>
          </w:p>
        </w:tc>
        <w:tc>
          <w:tcPr>
            <w:tcW w:w="630" w:type="dxa"/>
            <w:tcBorders>
              <w:top w:val="dotted" w:sz="4" w:space="0" w:color="auto"/>
              <w:left w:val="single" w:sz="6" w:space="0" w:color="auto"/>
              <w:right w:val="single" w:sz="8" w:space="0" w:color="auto"/>
            </w:tcBorders>
            <w:vAlign w:val="center"/>
          </w:tcPr>
          <w:p w14:paraId="5D9E3124"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-18.2</w:t>
            </w:r>
          </w:p>
        </w:tc>
        <w:tc>
          <w:tcPr>
            <w:tcW w:w="623" w:type="dxa"/>
            <w:tcBorders>
              <w:top w:val="dotted" w:sz="4" w:space="0" w:color="auto"/>
              <w:left w:val="single" w:sz="8" w:space="0" w:color="auto"/>
              <w:right w:val="dotted" w:sz="4" w:space="0" w:color="auto"/>
            </w:tcBorders>
            <w:vAlign w:val="center"/>
          </w:tcPr>
          <w:p w14:paraId="18D00D45"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3.58</w:t>
            </w:r>
          </w:p>
        </w:tc>
        <w:tc>
          <w:tcPr>
            <w:tcW w:w="477" w:type="dxa"/>
            <w:tcBorders>
              <w:top w:val="dotted" w:sz="4" w:space="0" w:color="auto"/>
              <w:left w:val="dotted" w:sz="4" w:space="0" w:color="auto"/>
            </w:tcBorders>
            <w:vAlign w:val="center"/>
          </w:tcPr>
          <w:p w14:paraId="0099C5B8"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3.73</w:t>
            </w:r>
          </w:p>
        </w:tc>
        <w:tc>
          <w:tcPr>
            <w:tcW w:w="520" w:type="dxa"/>
            <w:tcBorders>
              <w:top w:val="dotted" w:sz="4" w:space="0" w:color="auto"/>
            </w:tcBorders>
            <w:vAlign w:val="center"/>
          </w:tcPr>
          <w:p w14:paraId="2642D96B"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4.</w:t>
            </w:r>
            <w:r w:rsidRPr="002E55DE">
              <w:rPr>
                <w:rFonts w:ascii="Times New Roman" w:eastAsiaTheme="minorEastAsia" w:hAnsi="Times New Roman" w:hint="eastAsia"/>
                <w:sz w:val="18"/>
                <w:szCs w:val="18"/>
                <w:lang w:eastAsia="ko-KR"/>
              </w:rPr>
              <w:t>2</w:t>
            </w:r>
          </w:p>
        </w:tc>
        <w:tc>
          <w:tcPr>
            <w:tcW w:w="720" w:type="dxa"/>
            <w:tcBorders>
              <w:top w:val="dotted" w:sz="4" w:space="0" w:color="auto"/>
              <w:right w:val="dotted" w:sz="4" w:space="0" w:color="auto"/>
            </w:tcBorders>
            <w:vAlign w:val="center"/>
          </w:tcPr>
          <w:p w14:paraId="6D9BB2D7"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34.5</w:t>
            </w:r>
          </w:p>
        </w:tc>
        <w:tc>
          <w:tcPr>
            <w:tcW w:w="720" w:type="dxa"/>
            <w:tcBorders>
              <w:top w:val="dotted" w:sz="4" w:space="0" w:color="auto"/>
              <w:left w:val="dotted" w:sz="4" w:space="0" w:color="auto"/>
              <w:right w:val="single" w:sz="8" w:space="0" w:color="auto"/>
            </w:tcBorders>
            <w:vAlign w:val="center"/>
          </w:tcPr>
          <w:p w14:paraId="0928C6B3"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65.5</w:t>
            </w:r>
          </w:p>
        </w:tc>
        <w:tc>
          <w:tcPr>
            <w:tcW w:w="630" w:type="dxa"/>
            <w:tcBorders>
              <w:top w:val="dotted" w:sz="4" w:space="0" w:color="auto"/>
              <w:left w:val="single" w:sz="8" w:space="0" w:color="auto"/>
              <w:right w:val="dotted" w:sz="4" w:space="0" w:color="auto"/>
            </w:tcBorders>
            <w:vAlign w:val="center"/>
          </w:tcPr>
          <w:p w14:paraId="7C5B8223"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44.43</w:t>
            </w:r>
          </w:p>
        </w:tc>
        <w:tc>
          <w:tcPr>
            <w:tcW w:w="540" w:type="dxa"/>
            <w:tcBorders>
              <w:top w:val="dotted" w:sz="4" w:space="0" w:color="auto"/>
              <w:left w:val="dotted" w:sz="4" w:space="0" w:color="auto"/>
            </w:tcBorders>
            <w:vAlign w:val="center"/>
          </w:tcPr>
          <w:p w14:paraId="5D9C72FF"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41.77</w:t>
            </w:r>
          </w:p>
        </w:tc>
        <w:tc>
          <w:tcPr>
            <w:tcW w:w="630" w:type="dxa"/>
            <w:tcBorders>
              <w:top w:val="dotted" w:sz="4" w:space="0" w:color="auto"/>
            </w:tcBorders>
            <w:vAlign w:val="center"/>
          </w:tcPr>
          <w:p w14:paraId="55F48B42"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-6.0</w:t>
            </w:r>
          </w:p>
        </w:tc>
        <w:tc>
          <w:tcPr>
            <w:tcW w:w="540" w:type="dxa"/>
            <w:tcBorders>
              <w:top w:val="dotted" w:sz="4" w:space="0" w:color="auto"/>
              <w:right w:val="dotted" w:sz="4" w:space="0" w:color="auto"/>
            </w:tcBorders>
            <w:vAlign w:val="center"/>
          </w:tcPr>
          <w:p w14:paraId="218F4F06"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+17.9</w:t>
            </w:r>
          </w:p>
        </w:tc>
        <w:tc>
          <w:tcPr>
            <w:tcW w:w="540" w:type="dxa"/>
            <w:tcBorders>
              <w:top w:val="dotted" w:sz="4" w:space="0" w:color="auto"/>
              <w:left w:val="dotted" w:sz="4" w:space="0" w:color="auto"/>
              <w:right w:val="dotted" w:sz="4" w:space="0" w:color="auto"/>
            </w:tcBorders>
            <w:vAlign w:val="center"/>
          </w:tcPr>
          <w:p w14:paraId="11D7702D"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-82.1</w:t>
            </w:r>
          </w:p>
        </w:tc>
        <w:tc>
          <w:tcPr>
            <w:tcW w:w="630" w:type="dxa"/>
            <w:tcBorders>
              <w:top w:val="dotted" w:sz="4" w:space="0" w:color="auto"/>
              <w:left w:val="dotted" w:sz="4" w:space="0" w:color="auto"/>
              <w:right w:val="double" w:sz="4" w:space="0" w:color="auto"/>
            </w:tcBorders>
            <w:vAlign w:val="center"/>
          </w:tcPr>
          <w:p w14:paraId="10F71D68"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r>
      <w:tr w:rsidR="002E55DE" w:rsidRPr="002E55DE" w14:paraId="3FC040E9" w14:textId="77777777" w:rsidTr="001A3D79">
        <w:trPr>
          <w:trHeight w:val="243"/>
        </w:trPr>
        <w:tc>
          <w:tcPr>
            <w:tcW w:w="12855" w:type="dxa"/>
            <w:gridSpan w:val="17"/>
            <w:tcBorders>
              <w:left w:val="double" w:sz="4" w:space="0" w:color="auto"/>
              <w:right w:val="double" w:sz="4" w:space="0" w:color="auto"/>
            </w:tcBorders>
          </w:tcPr>
          <w:p w14:paraId="0D097AFF" w14:textId="77777777" w:rsidR="00610B4F" w:rsidRPr="002E55DE" w:rsidRDefault="00610B4F" w:rsidP="00A11B74">
            <w:pPr>
              <w:rPr>
                <w:rFonts w:ascii="Times New Roman" w:hAnsi="Times New Roman"/>
                <w:sz w:val="18"/>
                <w:szCs w:val="18"/>
              </w:rPr>
            </w:pPr>
            <w:r w:rsidRPr="002E55DE">
              <w:rPr>
                <w:rFonts w:ascii="Times New Roman" w:eastAsiaTheme="minorEastAsia" w:hAnsi="Times New Roman" w:hint="eastAsia"/>
                <w:b/>
                <w:bCs/>
                <w:noProof/>
                <w:sz w:val="20"/>
                <w:lang w:eastAsia="ko-KR"/>
              </w:rPr>
              <w:t>Household Characteristics</w:t>
            </w:r>
          </w:p>
        </w:tc>
      </w:tr>
      <w:tr w:rsidR="002E55DE" w:rsidRPr="002E55DE" w14:paraId="2A8954E4" w14:textId="77777777" w:rsidTr="003958E9">
        <w:trPr>
          <w:trHeight w:val="280"/>
        </w:trPr>
        <w:tc>
          <w:tcPr>
            <w:tcW w:w="1425" w:type="dxa"/>
            <w:vMerge w:val="restart"/>
            <w:tcBorders>
              <w:left w:val="double" w:sz="4" w:space="0" w:color="auto"/>
              <w:bottom w:val="dotted" w:sz="4" w:space="0" w:color="auto"/>
              <w:right w:val="dotted" w:sz="4" w:space="0" w:color="auto"/>
            </w:tcBorders>
            <w:vAlign w:val="center"/>
          </w:tcPr>
          <w:p w14:paraId="4D86EDEE"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Household composition</w:t>
            </w:r>
          </w:p>
        </w:tc>
        <w:tc>
          <w:tcPr>
            <w:tcW w:w="1350" w:type="dxa"/>
            <w:vMerge w:val="restart"/>
            <w:tcBorders>
              <w:left w:val="dotted" w:sz="4" w:space="0" w:color="auto"/>
              <w:bottom w:val="dotted" w:sz="4" w:space="0" w:color="auto"/>
              <w:right w:val="dotted" w:sz="4" w:space="0" w:color="auto"/>
            </w:tcBorders>
            <w:vAlign w:val="center"/>
          </w:tcPr>
          <w:p w14:paraId="4C62A1A5" w14:textId="63D50722"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Two</w:t>
            </w:r>
            <w:r w:rsidR="000E2265" w:rsidRPr="002E55DE">
              <w:rPr>
                <w:rFonts w:ascii="Times New Roman" w:eastAsiaTheme="minorEastAsia" w:hAnsi="Times New Roman" w:hint="eastAsia"/>
                <w:sz w:val="18"/>
                <w:szCs w:val="18"/>
                <w:lang w:eastAsia="ko-KR"/>
              </w:rPr>
              <w:t xml:space="preserve"> </w:t>
            </w:r>
            <w:r w:rsidRPr="002E55DE">
              <w:rPr>
                <w:rFonts w:ascii="Times New Roman" w:eastAsia="Times New Roman" w:hAnsi="Times New Roman"/>
                <w:sz w:val="18"/>
                <w:szCs w:val="18"/>
              </w:rPr>
              <w:t>adult</w:t>
            </w:r>
            <w:r w:rsidR="000E2265" w:rsidRPr="002E55DE">
              <w:rPr>
                <w:rFonts w:ascii="Times New Roman" w:eastAsiaTheme="minorEastAsia" w:hAnsi="Times New Roman" w:hint="eastAsia"/>
                <w:sz w:val="18"/>
                <w:szCs w:val="18"/>
                <w:lang w:eastAsia="ko-KR"/>
              </w:rPr>
              <w:t>s</w:t>
            </w:r>
            <w:r w:rsidRPr="002E55DE">
              <w:rPr>
                <w:rFonts w:ascii="Times New Roman" w:hAnsi="Times New Roman" w:hint="eastAsia"/>
                <w:sz w:val="18"/>
                <w:szCs w:val="18"/>
              </w:rPr>
              <w:t xml:space="preserve"> without child</w:t>
            </w:r>
          </w:p>
        </w:tc>
        <w:tc>
          <w:tcPr>
            <w:tcW w:w="1530" w:type="dxa"/>
            <w:tcBorders>
              <w:left w:val="dotted" w:sz="4" w:space="0" w:color="auto"/>
              <w:bottom w:val="dotted" w:sz="4" w:space="0" w:color="auto"/>
              <w:right w:val="single" w:sz="8" w:space="0" w:color="auto"/>
            </w:tcBorders>
            <w:vAlign w:val="center"/>
          </w:tcPr>
          <w:p w14:paraId="7EE01D24" w14:textId="009DC899"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Single</w:t>
            </w:r>
            <w:r w:rsidRPr="002E55DE">
              <w:rPr>
                <w:rFonts w:ascii="Times New Roman" w:hAnsi="Times New Roman" w:hint="eastAsia"/>
                <w:sz w:val="18"/>
                <w:szCs w:val="18"/>
              </w:rPr>
              <w:t xml:space="preserve"> adult</w:t>
            </w:r>
            <w:r w:rsidR="005C2CAF" w:rsidRPr="002E55DE">
              <w:rPr>
                <w:rFonts w:ascii="Times New Roman" w:eastAsiaTheme="minorEastAsia" w:hAnsi="Times New Roman" w:hint="eastAsia"/>
                <w:sz w:val="18"/>
                <w:szCs w:val="18"/>
                <w:lang w:eastAsia="ko-KR"/>
              </w:rPr>
              <w:t xml:space="preserve"> without child</w:t>
            </w:r>
          </w:p>
        </w:tc>
        <w:tc>
          <w:tcPr>
            <w:tcW w:w="720" w:type="dxa"/>
            <w:tcBorders>
              <w:left w:val="single" w:sz="8" w:space="0" w:color="auto"/>
              <w:bottom w:val="dotted" w:sz="4" w:space="0" w:color="auto"/>
              <w:right w:val="dotted" w:sz="4" w:space="0" w:color="auto"/>
            </w:tcBorders>
            <w:vAlign w:val="center"/>
          </w:tcPr>
          <w:p w14:paraId="76CAE4FC"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0.31</w:t>
            </w:r>
          </w:p>
        </w:tc>
        <w:tc>
          <w:tcPr>
            <w:tcW w:w="630" w:type="dxa"/>
            <w:tcBorders>
              <w:left w:val="dotted" w:sz="4" w:space="0" w:color="auto"/>
              <w:bottom w:val="dotted" w:sz="4" w:space="0" w:color="auto"/>
              <w:right w:val="single" w:sz="6" w:space="0" w:color="auto"/>
            </w:tcBorders>
            <w:vAlign w:val="center"/>
          </w:tcPr>
          <w:p w14:paraId="60BFA1F0"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0.22</w:t>
            </w:r>
          </w:p>
        </w:tc>
        <w:tc>
          <w:tcPr>
            <w:tcW w:w="630" w:type="dxa"/>
            <w:tcBorders>
              <w:left w:val="single" w:sz="6" w:space="0" w:color="auto"/>
              <w:bottom w:val="dotted" w:sz="4" w:space="0" w:color="auto"/>
              <w:right w:val="single" w:sz="8" w:space="0" w:color="auto"/>
            </w:tcBorders>
            <w:vAlign w:val="center"/>
          </w:tcPr>
          <w:p w14:paraId="32B460E9"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hint="eastAsia"/>
                <w:sz w:val="18"/>
                <w:szCs w:val="18"/>
              </w:rPr>
              <w:t>-</w:t>
            </w:r>
            <w:r w:rsidRPr="002E55DE">
              <w:rPr>
                <w:rFonts w:ascii="Times New Roman" w:eastAsiaTheme="minorEastAsia" w:hAnsi="Times New Roman" w:hint="eastAsia"/>
                <w:sz w:val="18"/>
                <w:szCs w:val="18"/>
                <w:lang w:eastAsia="ko-KR"/>
              </w:rPr>
              <w:t>29.0</w:t>
            </w:r>
          </w:p>
        </w:tc>
        <w:tc>
          <w:tcPr>
            <w:tcW w:w="623" w:type="dxa"/>
            <w:tcBorders>
              <w:left w:val="single" w:sz="8" w:space="0" w:color="auto"/>
              <w:bottom w:val="dotted" w:sz="4" w:space="0" w:color="auto"/>
              <w:right w:val="dotted" w:sz="4" w:space="0" w:color="auto"/>
            </w:tcBorders>
            <w:vAlign w:val="center"/>
          </w:tcPr>
          <w:p w14:paraId="4CF693A0"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3.77</w:t>
            </w:r>
          </w:p>
        </w:tc>
        <w:tc>
          <w:tcPr>
            <w:tcW w:w="477" w:type="dxa"/>
            <w:tcBorders>
              <w:left w:val="dotted" w:sz="4" w:space="0" w:color="auto"/>
              <w:bottom w:val="dotted" w:sz="4" w:space="0" w:color="auto"/>
            </w:tcBorders>
            <w:vAlign w:val="center"/>
          </w:tcPr>
          <w:p w14:paraId="2A8A37D2"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3.49</w:t>
            </w:r>
          </w:p>
        </w:tc>
        <w:tc>
          <w:tcPr>
            <w:tcW w:w="520" w:type="dxa"/>
            <w:tcBorders>
              <w:bottom w:val="dotted" w:sz="4" w:space="0" w:color="auto"/>
            </w:tcBorders>
            <w:vAlign w:val="center"/>
          </w:tcPr>
          <w:p w14:paraId="138C2CD6"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-7.4</w:t>
            </w:r>
          </w:p>
        </w:tc>
        <w:tc>
          <w:tcPr>
            <w:tcW w:w="720" w:type="dxa"/>
            <w:tcBorders>
              <w:bottom w:val="dotted" w:sz="4" w:space="0" w:color="auto"/>
              <w:right w:val="dotted" w:sz="4" w:space="0" w:color="auto"/>
            </w:tcBorders>
            <w:vAlign w:val="center"/>
          </w:tcPr>
          <w:p w14:paraId="03A0D467"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c>
          <w:tcPr>
            <w:tcW w:w="720" w:type="dxa"/>
            <w:tcBorders>
              <w:left w:val="dotted" w:sz="4" w:space="0" w:color="auto"/>
              <w:bottom w:val="dotted" w:sz="4" w:space="0" w:color="auto"/>
              <w:right w:val="single" w:sz="8" w:space="0" w:color="auto"/>
            </w:tcBorders>
            <w:vAlign w:val="center"/>
          </w:tcPr>
          <w:p w14:paraId="4C0131E8"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630" w:type="dxa"/>
            <w:tcBorders>
              <w:left w:val="single" w:sz="8" w:space="0" w:color="auto"/>
              <w:bottom w:val="dotted" w:sz="4" w:space="0" w:color="auto"/>
              <w:right w:val="dotted" w:sz="4" w:space="0" w:color="auto"/>
            </w:tcBorders>
            <w:vAlign w:val="center"/>
          </w:tcPr>
          <w:p w14:paraId="64E47DDA"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44.74</w:t>
            </w:r>
          </w:p>
        </w:tc>
        <w:tc>
          <w:tcPr>
            <w:tcW w:w="540" w:type="dxa"/>
            <w:tcBorders>
              <w:left w:val="dotted" w:sz="4" w:space="0" w:color="auto"/>
              <w:bottom w:val="dotted" w:sz="4" w:space="0" w:color="auto"/>
            </w:tcBorders>
            <w:vAlign w:val="center"/>
          </w:tcPr>
          <w:p w14:paraId="2CBCF59B"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37.87</w:t>
            </w:r>
          </w:p>
        </w:tc>
        <w:tc>
          <w:tcPr>
            <w:tcW w:w="630" w:type="dxa"/>
            <w:tcBorders>
              <w:bottom w:val="dotted" w:sz="4" w:space="0" w:color="auto"/>
            </w:tcBorders>
            <w:vAlign w:val="center"/>
          </w:tcPr>
          <w:p w14:paraId="6826F3E1"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-15.4</w:t>
            </w:r>
          </w:p>
        </w:tc>
        <w:tc>
          <w:tcPr>
            <w:tcW w:w="540" w:type="dxa"/>
            <w:tcBorders>
              <w:bottom w:val="dotted" w:sz="4" w:space="0" w:color="auto"/>
              <w:right w:val="dotted" w:sz="4" w:space="0" w:color="auto"/>
            </w:tcBorders>
            <w:vAlign w:val="center"/>
          </w:tcPr>
          <w:p w14:paraId="3966DDE6"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0.0</w:t>
            </w:r>
          </w:p>
        </w:tc>
        <w:tc>
          <w:tcPr>
            <w:tcW w:w="540" w:type="dxa"/>
            <w:tcBorders>
              <w:left w:val="dotted" w:sz="4" w:space="0" w:color="auto"/>
              <w:bottom w:val="dotted" w:sz="4" w:space="0" w:color="auto"/>
              <w:right w:val="dotted" w:sz="4" w:space="0" w:color="auto"/>
            </w:tcBorders>
            <w:vAlign w:val="center"/>
          </w:tcPr>
          <w:p w14:paraId="3A5B8E42"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c>
          <w:tcPr>
            <w:tcW w:w="630" w:type="dxa"/>
            <w:tcBorders>
              <w:left w:val="dotted" w:sz="4" w:space="0" w:color="auto"/>
              <w:bottom w:val="dotted" w:sz="4" w:space="0" w:color="auto"/>
              <w:right w:val="double" w:sz="4" w:space="0" w:color="auto"/>
            </w:tcBorders>
            <w:vAlign w:val="center"/>
          </w:tcPr>
          <w:p w14:paraId="656D3B50"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r>
      <w:tr w:rsidR="002E55DE" w:rsidRPr="002E55DE" w14:paraId="16928684" w14:textId="77777777" w:rsidTr="003958E9">
        <w:trPr>
          <w:trHeight w:val="152"/>
        </w:trPr>
        <w:tc>
          <w:tcPr>
            <w:tcW w:w="1425" w:type="dxa"/>
            <w:vMerge/>
            <w:tcBorders>
              <w:top w:val="dotted" w:sz="4" w:space="0" w:color="auto"/>
              <w:left w:val="double" w:sz="4" w:space="0" w:color="auto"/>
              <w:bottom w:val="dotted" w:sz="4" w:space="0" w:color="auto"/>
              <w:right w:val="dotted" w:sz="4" w:space="0" w:color="auto"/>
            </w:tcBorders>
            <w:vAlign w:val="center"/>
          </w:tcPr>
          <w:p w14:paraId="718A66B9" w14:textId="77777777" w:rsidR="00610B4F" w:rsidRPr="002E55DE" w:rsidRDefault="00610B4F" w:rsidP="00A11B74">
            <w:pPr>
              <w:rPr>
                <w:rFonts w:ascii="Times New Roman" w:eastAsiaTheme="minorEastAsia" w:hAnsi="Times New Roman"/>
                <w:b/>
                <w:bCs/>
                <w:noProof/>
                <w:sz w:val="18"/>
                <w:szCs w:val="18"/>
                <w:lang w:eastAsia="ko-KR"/>
              </w:rPr>
            </w:pPr>
          </w:p>
        </w:tc>
        <w:tc>
          <w:tcPr>
            <w:tcW w:w="1350" w:type="dxa"/>
            <w:vMerge/>
            <w:tcBorders>
              <w:top w:val="dotted" w:sz="4" w:space="0" w:color="auto"/>
              <w:left w:val="dotted" w:sz="4" w:space="0" w:color="auto"/>
              <w:bottom w:val="dotted" w:sz="4" w:space="0" w:color="auto"/>
              <w:right w:val="dotted" w:sz="4" w:space="0" w:color="auto"/>
            </w:tcBorders>
            <w:vAlign w:val="center"/>
          </w:tcPr>
          <w:p w14:paraId="6593B460" w14:textId="77777777" w:rsidR="00610B4F" w:rsidRPr="002E55DE" w:rsidRDefault="00610B4F" w:rsidP="00A11B74">
            <w:pPr>
              <w:rPr>
                <w:rFonts w:ascii="Times New Roman" w:eastAsiaTheme="minorEastAsia" w:hAnsi="Times New Roman"/>
                <w:b/>
                <w:bCs/>
                <w:noProof/>
                <w:sz w:val="18"/>
                <w:szCs w:val="18"/>
                <w:lang w:eastAsia="ko-KR"/>
              </w:rPr>
            </w:pPr>
          </w:p>
        </w:tc>
        <w:tc>
          <w:tcPr>
            <w:tcW w:w="1530" w:type="dxa"/>
            <w:tcBorders>
              <w:top w:val="dotted" w:sz="4" w:space="0" w:color="auto"/>
              <w:left w:val="dotted" w:sz="4" w:space="0" w:color="auto"/>
              <w:bottom w:val="dotted" w:sz="4" w:space="0" w:color="auto"/>
              <w:right w:val="single" w:sz="8" w:space="0" w:color="auto"/>
            </w:tcBorders>
            <w:vAlign w:val="center"/>
          </w:tcPr>
          <w:p w14:paraId="6E7BB9BD" w14:textId="4C0F0157" w:rsidR="00610B4F" w:rsidRPr="002E55DE" w:rsidRDefault="005C1D19" w:rsidP="00A11B74">
            <w:pPr>
              <w:rPr>
                <w:rFonts w:ascii="Times New Roman" w:eastAsia="Times New Roman" w:hAnsi="Times New Roman"/>
                <w:sz w:val="18"/>
                <w:szCs w:val="18"/>
              </w:rPr>
            </w:pPr>
            <w:r w:rsidRPr="002E55DE">
              <w:rPr>
                <w:rFonts w:ascii="Times New Roman" w:hAnsi="Times New Roman"/>
                <w:sz w:val="18"/>
                <w:szCs w:val="18"/>
              </w:rPr>
              <w:t>Single/Two adults</w:t>
            </w:r>
            <w:r w:rsidR="00610B4F" w:rsidRPr="002E55DE">
              <w:rPr>
                <w:rFonts w:ascii="Times New Roman" w:hAnsi="Times New Roman" w:hint="eastAsia"/>
                <w:sz w:val="18"/>
                <w:szCs w:val="18"/>
              </w:rPr>
              <w:t xml:space="preserve"> with </w:t>
            </w:r>
            <w:r w:rsidR="00610B4F" w:rsidRPr="002E55DE">
              <w:rPr>
                <w:rFonts w:ascii="Times New Roman" w:hAnsi="Times New Roman"/>
                <w:sz w:val="18"/>
                <w:szCs w:val="18"/>
              </w:rPr>
              <w:t>a child</w:t>
            </w:r>
          </w:p>
        </w:tc>
        <w:tc>
          <w:tcPr>
            <w:tcW w:w="720" w:type="dxa"/>
            <w:tcBorders>
              <w:top w:val="dotted" w:sz="4" w:space="0" w:color="auto"/>
              <w:left w:val="single" w:sz="8" w:space="0" w:color="auto"/>
              <w:bottom w:val="dotted" w:sz="4" w:space="0" w:color="auto"/>
              <w:right w:val="dotted" w:sz="4" w:space="0" w:color="auto"/>
            </w:tcBorders>
            <w:vAlign w:val="center"/>
          </w:tcPr>
          <w:p w14:paraId="1B9172F6"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0.31</w:t>
            </w:r>
          </w:p>
        </w:tc>
        <w:tc>
          <w:tcPr>
            <w:tcW w:w="630" w:type="dxa"/>
            <w:tcBorders>
              <w:top w:val="dotted" w:sz="4" w:space="0" w:color="auto"/>
              <w:left w:val="dotted" w:sz="4" w:space="0" w:color="auto"/>
              <w:bottom w:val="dotted" w:sz="4" w:space="0" w:color="auto"/>
              <w:right w:val="single" w:sz="6" w:space="0" w:color="auto"/>
            </w:tcBorders>
            <w:vAlign w:val="center"/>
          </w:tcPr>
          <w:p w14:paraId="35F3FF0A"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0.40</w:t>
            </w:r>
          </w:p>
        </w:tc>
        <w:tc>
          <w:tcPr>
            <w:tcW w:w="630" w:type="dxa"/>
            <w:tcBorders>
              <w:top w:val="dotted" w:sz="4" w:space="0" w:color="auto"/>
              <w:left w:val="single" w:sz="6" w:space="0" w:color="auto"/>
              <w:bottom w:val="dotted" w:sz="4" w:space="0" w:color="auto"/>
              <w:right w:val="single" w:sz="8" w:space="0" w:color="auto"/>
            </w:tcBorders>
            <w:vAlign w:val="center"/>
          </w:tcPr>
          <w:p w14:paraId="6C8BFAE5"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29.0</w:t>
            </w:r>
          </w:p>
        </w:tc>
        <w:tc>
          <w:tcPr>
            <w:tcW w:w="623" w:type="dxa"/>
            <w:tcBorders>
              <w:top w:val="dotted" w:sz="4" w:space="0" w:color="auto"/>
              <w:left w:val="single" w:sz="8" w:space="0" w:color="auto"/>
              <w:bottom w:val="dotted" w:sz="4" w:space="0" w:color="auto"/>
              <w:right w:val="dotted" w:sz="4" w:space="0" w:color="auto"/>
            </w:tcBorders>
            <w:vAlign w:val="center"/>
          </w:tcPr>
          <w:p w14:paraId="51252258"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3.77</w:t>
            </w:r>
          </w:p>
        </w:tc>
        <w:tc>
          <w:tcPr>
            <w:tcW w:w="477" w:type="dxa"/>
            <w:tcBorders>
              <w:top w:val="dotted" w:sz="4" w:space="0" w:color="auto"/>
              <w:left w:val="dotted" w:sz="4" w:space="0" w:color="auto"/>
              <w:bottom w:val="dotted" w:sz="4" w:space="0" w:color="auto"/>
            </w:tcBorders>
            <w:vAlign w:val="center"/>
          </w:tcPr>
          <w:p w14:paraId="18A36D40"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3.57</w:t>
            </w:r>
          </w:p>
        </w:tc>
        <w:tc>
          <w:tcPr>
            <w:tcW w:w="520" w:type="dxa"/>
            <w:tcBorders>
              <w:top w:val="dotted" w:sz="4" w:space="0" w:color="auto"/>
              <w:bottom w:val="dotted" w:sz="4" w:space="0" w:color="auto"/>
            </w:tcBorders>
            <w:vAlign w:val="center"/>
          </w:tcPr>
          <w:p w14:paraId="50A2FD93"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-5.</w:t>
            </w:r>
            <w:r w:rsidRPr="002E55DE">
              <w:rPr>
                <w:rFonts w:ascii="Times New Roman" w:eastAsiaTheme="minorEastAsia" w:hAnsi="Times New Roman" w:hint="eastAsia"/>
                <w:sz w:val="18"/>
                <w:szCs w:val="18"/>
                <w:lang w:eastAsia="ko-KR"/>
              </w:rPr>
              <w:t>3</w:t>
            </w:r>
          </w:p>
        </w:tc>
        <w:tc>
          <w:tcPr>
            <w:tcW w:w="720" w:type="dxa"/>
            <w:tcBorders>
              <w:top w:val="dotted" w:sz="4" w:space="0" w:color="auto"/>
              <w:bottom w:val="dotted" w:sz="4" w:space="0" w:color="auto"/>
              <w:right w:val="dotted" w:sz="4" w:space="0" w:color="auto"/>
            </w:tcBorders>
            <w:vAlign w:val="center"/>
          </w:tcPr>
          <w:p w14:paraId="17E6DBA1"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37.1</w:t>
            </w:r>
          </w:p>
        </w:tc>
        <w:tc>
          <w:tcPr>
            <w:tcW w:w="720" w:type="dxa"/>
            <w:tcBorders>
              <w:top w:val="dotted" w:sz="4" w:space="0" w:color="auto"/>
              <w:left w:val="dotted" w:sz="4" w:space="0" w:color="auto"/>
              <w:bottom w:val="dotted" w:sz="4" w:space="0" w:color="auto"/>
              <w:right w:val="single" w:sz="8" w:space="0" w:color="auto"/>
            </w:tcBorders>
            <w:vAlign w:val="center"/>
          </w:tcPr>
          <w:p w14:paraId="0E846032"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62.9</w:t>
            </w:r>
          </w:p>
        </w:tc>
        <w:tc>
          <w:tcPr>
            <w:tcW w:w="630" w:type="dxa"/>
            <w:tcBorders>
              <w:top w:val="dotted" w:sz="4" w:space="0" w:color="auto"/>
              <w:left w:val="single" w:sz="8" w:space="0" w:color="auto"/>
              <w:bottom w:val="dotted" w:sz="4" w:space="0" w:color="auto"/>
              <w:right w:val="dotted" w:sz="4" w:space="0" w:color="auto"/>
            </w:tcBorders>
            <w:vAlign w:val="center"/>
          </w:tcPr>
          <w:p w14:paraId="076B1431"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44.74</w:t>
            </w:r>
          </w:p>
        </w:tc>
        <w:tc>
          <w:tcPr>
            <w:tcW w:w="540" w:type="dxa"/>
            <w:tcBorders>
              <w:top w:val="dotted" w:sz="4" w:space="0" w:color="auto"/>
              <w:left w:val="dotted" w:sz="4" w:space="0" w:color="auto"/>
              <w:bottom w:val="dotted" w:sz="4" w:space="0" w:color="auto"/>
            </w:tcBorders>
            <w:vAlign w:val="center"/>
          </w:tcPr>
          <w:p w14:paraId="31F24DDB" w14:textId="3B5E590C"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4</w:t>
            </w:r>
            <w:r w:rsidR="00241E62" w:rsidRPr="002E55DE">
              <w:rPr>
                <w:rFonts w:ascii="Times New Roman" w:eastAsiaTheme="minorEastAsia" w:hAnsi="Times New Roman" w:hint="eastAsia"/>
                <w:sz w:val="18"/>
                <w:szCs w:val="18"/>
                <w:lang w:eastAsia="ko-KR"/>
              </w:rPr>
              <w:t>3.82</w:t>
            </w:r>
          </w:p>
        </w:tc>
        <w:tc>
          <w:tcPr>
            <w:tcW w:w="630" w:type="dxa"/>
            <w:tcBorders>
              <w:top w:val="dotted" w:sz="4" w:space="0" w:color="auto"/>
              <w:bottom w:val="dotted" w:sz="4" w:space="0" w:color="auto"/>
            </w:tcBorders>
            <w:vAlign w:val="center"/>
          </w:tcPr>
          <w:p w14:paraId="37A18AEC" w14:textId="3AA87237" w:rsidR="00610B4F" w:rsidRPr="002E55DE" w:rsidRDefault="00676A92"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-2.1</w:t>
            </w:r>
          </w:p>
        </w:tc>
        <w:tc>
          <w:tcPr>
            <w:tcW w:w="540" w:type="dxa"/>
            <w:tcBorders>
              <w:top w:val="dotted" w:sz="4" w:space="0" w:color="auto"/>
              <w:bottom w:val="dotted" w:sz="4" w:space="0" w:color="auto"/>
              <w:right w:val="dotted" w:sz="4" w:space="0" w:color="auto"/>
            </w:tcBorders>
            <w:vAlign w:val="center"/>
          </w:tcPr>
          <w:p w14:paraId="4B5B5AB2" w14:textId="2979F48B"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-1</w:t>
            </w:r>
            <w:r w:rsidR="00002864" w:rsidRPr="002E55DE">
              <w:rPr>
                <w:rFonts w:ascii="Times New Roman" w:eastAsiaTheme="minorEastAsia" w:hAnsi="Times New Roman" w:hint="eastAsia"/>
                <w:sz w:val="18"/>
                <w:szCs w:val="18"/>
                <w:lang w:eastAsia="ko-KR"/>
              </w:rPr>
              <w:t>0.1</w:t>
            </w:r>
          </w:p>
        </w:tc>
        <w:tc>
          <w:tcPr>
            <w:tcW w:w="540" w:type="dxa"/>
            <w:tcBorders>
              <w:top w:val="dotted" w:sz="4" w:space="0" w:color="auto"/>
              <w:left w:val="dotted" w:sz="4" w:space="0" w:color="auto"/>
              <w:bottom w:val="dotted" w:sz="4" w:space="0" w:color="auto"/>
              <w:right w:val="dotted" w:sz="4" w:space="0" w:color="auto"/>
            </w:tcBorders>
            <w:vAlign w:val="center"/>
          </w:tcPr>
          <w:p w14:paraId="0AB34C23" w14:textId="0049A6BD"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r w:rsidR="00002864" w:rsidRPr="002E55DE">
              <w:rPr>
                <w:rFonts w:ascii="Times New Roman" w:eastAsiaTheme="minorEastAsia" w:hAnsi="Times New Roman" w:hint="eastAsia"/>
                <w:sz w:val="18"/>
                <w:szCs w:val="18"/>
                <w:lang w:eastAsia="ko-KR"/>
              </w:rPr>
              <w:t>46.6</w:t>
            </w:r>
          </w:p>
        </w:tc>
        <w:tc>
          <w:tcPr>
            <w:tcW w:w="630" w:type="dxa"/>
            <w:tcBorders>
              <w:top w:val="dotted" w:sz="4" w:space="0" w:color="auto"/>
              <w:left w:val="dotted" w:sz="4" w:space="0" w:color="auto"/>
              <w:bottom w:val="dotted" w:sz="4" w:space="0" w:color="auto"/>
              <w:right w:val="double" w:sz="4" w:space="0" w:color="auto"/>
            </w:tcBorders>
            <w:vAlign w:val="center"/>
          </w:tcPr>
          <w:p w14:paraId="1B7C9CA8" w14:textId="0A87C08E"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00002864" w:rsidRPr="002E55DE">
              <w:rPr>
                <w:rFonts w:ascii="Times New Roman" w:eastAsiaTheme="minorEastAsia" w:hAnsi="Times New Roman" w:hint="eastAsia"/>
                <w:sz w:val="18"/>
                <w:szCs w:val="18"/>
                <w:lang w:eastAsia="ko-KR"/>
              </w:rPr>
              <w:t>43.3</w:t>
            </w:r>
          </w:p>
        </w:tc>
      </w:tr>
      <w:tr w:rsidR="002E55DE" w:rsidRPr="002E55DE" w14:paraId="514E70EF" w14:textId="77777777" w:rsidTr="003958E9">
        <w:trPr>
          <w:trHeight w:val="152"/>
        </w:trPr>
        <w:tc>
          <w:tcPr>
            <w:tcW w:w="1425" w:type="dxa"/>
            <w:vMerge/>
            <w:tcBorders>
              <w:top w:val="dotted" w:sz="4" w:space="0" w:color="auto"/>
              <w:left w:val="double" w:sz="4" w:space="0" w:color="auto"/>
              <w:bottom w:val="dotted" w:sz="4" w:space="0" w:color="auto"/>
              <w:right w:val="dotted" w:sz="4" w:space="0" w:color="auto"/>
            </w:tcBorders>
            <w:vAlign w:val="center"/>
          </w:tcPr>
          <w:p w14:paraId="0E3F333F" w14:textId="77777777" w:rsidR="00610B4F" w:rsidRPr="002E55DE" w:rsidRDefault="00610B4F" w:rsidP="00A11B74">
            <w:pPr>
              <w:rPr>
                <w:rFonts w:ascii="Times New Roman" w:eastAsiaTheme="minorEastAsia" w:hAnsi="Times New Roman"/>
                <w:b/>
                <w:bCs/>
                <w:noProof/>
                <w:sz w:val="18"/>
                <w:szCs w:val="18"/>
                <w:lang w:eastAsia="ko-KR"/>
              </w:rPr>
            </w:pPr>
          </w:p>
        </w:tc>
        <w:tc>
          <w:tcPr>
            <w:tcW w:w="1350" w:type="dxa"/>
            <w:vMerge/>
            <w:tcBorders>
              <w:top w:val="dotted" w:sz="4" w:space="0" w:color="auto"/>
              <w:left w:val="dotted" w:sz="4" w:space="0" w:color="auto"/>
              <w:bottom w:val="dotted" w:sz="4" w:space="0" w:color="auto"/>
              <w:right w:val="dotted" w:sz="4" w:space="0" w:color="auto"/>
            </w:tcBorders>
            <w:vAlign w:val="center"/>
          </w:tcPr>
          <w:p w14:paraId="299DC1B1" w14:textId="77777777" w:rsidR="00610B4F" w:rsidRPr="002E55DE" w:rsidRDefault="00610B4F" w:rsidP="00A11B74">
            <w:pPr>
              <w:rPr>
                <w:rFonts w:ascii="Times New Roman" w:eastAsiaTheme="minorEastAsia" w:hAnsi="Times New Roman"/>
                <w:b/>
                <w:bCs/>
                <w:noProof/>
                <w:sz w:val="18"/>
                <w:szCs w:val="18"/>
                <w:lang w:eastAsia="ko-KR"/>
              </w:rPr>
            </w:pPr>
          </w:p>
        </w:tc>
        <w:tc>
          <w:tcPr>
            <w:tcW w:w="1530" w:type="dxa"/>
            <w:tcBorders>
              <w:top w:val="dotted" w:sz="4" w:space="0" w:color="auto"/>
              <w:left w:val="dotted" w:sz="4" w:space="0" w:color="auto"/>
              <w:bottom w:val="dotted" w:sz="4" w:space="0" w:color="auto"/>
              <w:right w:val="single" w:sz="8" w:space="0" w:color="auto"/>
            </w:tcBorders>
            <w:vAlign w:val="center"/>
          </w:tcPr>
          <w:p w14:paraId="241C79EB"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Three or more adults</w:t>
            </w:r>
            <w:r w:rsidRPr="002E55DE">
              <w:rPr>
                <w:rFonts w:ascii="Times New Roman" w:hAnsi="Times New Roman" w:hint="eastAsia"/>
                <w:sz w:val="18"/>
                <w:szCs w:val="18"/>
              </w:rPr>
              <w:t xml:space="preserve"> </w:t>
            </w:r>
            <w:r w:rsidRPr="002E55DE">
              <w:rPr>
                <w:rFonts w:ascii="Times New Roman" w:eastAsia="Times New Roman" w:hAnsi="Times New Roman"/>
                <w:sz w:val="18"/>
                <w:szCs w:val="18"/>
              </w:rPr>
              <w:br/>
              <w:t xml:space="preserve">without </w:t>
            </w:r>
            <w:r w:rsidRPr="002E55DE">
              <w:rPr>
                <w:rFonts w:ascii="Times New Roman" w:hAnsi="Times New Roman" w:hint="eastAsia"/>
                <w:sz w:val="18"/>
                <w:szCs w:val="18"/>
              </w:rPr>
              <w:t>child</w:t>
            </w:r>
          </w:p>
        </w:tc>
        <w:tc>
          <w:tcPr>
            <w:tcW w:w="720" w:type="dxa"/>
            <w:tcBorders>
              <w:top w:val="dotted" w:sz="4" w:space="0" w:color="auto"/>
              <w:left w:val="single" w:sz="8" w:space="0" w:color="auto"/>
              <w:bottom w:val="dotted" w:sz="4" w:space="0" w:color="auto"/>
              <w:right w:val="dotted" w:sz="4" w:space="0" w:color="auto"/>
            </w:tcBorders>
            <w:vAlign w:val="center"/>
          </w:tcPr>
          <w:p w14:paraId="737E054F"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0.31</w:t>
            </w:r>
          </w:p>
        </w:tc>
        <w:tc>
          <w:tcPr>
            <w:tcW w:w="630" w:type="dxa"/>
            <w:tcBorders>
              <w:top w:val="dotted" w:sz="4" w:space="0" w:color="auto"/>
              <w:left w:val="dotted" w:sz="4" w:space="0" w:color="auto"/>
              <w:bottom w:val="dotted" w:sz="4" w:space="0" w:color="auto"/>
              <w:right w:val="single" w:sz="6" w:space="0" w:color="auto"/>
            </w:tcBorders>
            <w:vAlign w:val="center"/>
          </w:tcPr>
          <w:p w14:paraId="449E98D7"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0.31</w:t>
            </w:r>
          </w:p>
        </w:tc>
        <w:tc>
          <w:tcPr>
            <w:tcW w:w="630" w:type="dxa"/>
            <w:tcBorders>
              <w:top w:val="dotted" w:sz="4" w:space="0" w:color="auto"/>
              <w:left w:val="single" w:sz="6" w:space="0" w:color="auto"/>
              <w:bottom w:val="dotted" w:sz="4" w:space="0" w:color="auto"/>
              <w:right w:val="single" w:sz="8" w:space="0" w:color="auto"/>
            </w:tcBorders>
            <w:vAlign w:val="center"/>
          </w:tcPr>
          <w:p w14:paraId="135A54BD" w14:textId="77777777" w:rsidR="00610B4F" w:rsidRPr="002E55DE" w:rsidRDefault="00610B4F" w:rsidP="00A11B74">
            <w:pPr>
              <w:jc w:val="right"/>
              <w:rPr>
                <w:rFonts w:ascii="Times New Roman" w:hAnsi="Times New Roman"/>
                <w:sz w:val="18"/>
                <w:szCs w:val="18"/>
              </w:rPr>
            </w:pPr>
            <w:r w:rsidRPr="002E55DE">
              <w:rPr>
                <w:rFonts w:ascii="Times New Roman" w:hAnsi="Times New Roman" w:hint="eastAsia"/>
                <w:sz w:val="18"/>
                <w:szCs w:val="18"/>
              </w:rPr>
              <w:t>0.0</w:t>
            </w:r>
          </w:p>
        </w:tc>
        <w:tc>
          <w:tcPr>
            <w:tcW w:w="623" w:type="dxa"/>
            <w:tcBorders>
              <w:top w:val="dotted" w:sz="4" w:space="0" w:color="auto"/>
              <w:left w:val="single" w:sz="8" w:space="0" w:color="auto"/>
              <w:bottom w:val="dotted" w:sz="4" w:space="0" w:color="auto"/>
              <w:right w:val="dotted" w:sz="4" w:space="0" w:color="auto"/>
            </w:tcBorders>
            <w:vAlign w:val="center"/>
          </w:tcPr>
          <w:p w14:paraId="0B7187F7"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3.77</w:t>
            </w:r>
          </w:p>
        </w:tc>
        <w:tc>
          <w:tcPr>
            <w:tcW w:w="477" w:type="dxa"/>
            <w:tcBorders>
              <w:top w:val="dotted" w:sz="4" w:space="0" w:color="auto"/>
              <w:left w:val="dotted" w:sz="4" w:space="0" w:color="auto"/>
              <w:bottom w:val="dotted" w:sz="4" w:space="0" w:color="auto"/>
            </w:tcBorders>
            <w:vAlign w:val="center"/>
          </w:tcPr>
          <w:p w14:paraId="1D79D624"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3.77</w:t>
            </w:r>
          </w:p>
        </w:tc>
        <w:tc>
          <w:tcPr>
            <w:tcW w:w="520" w:type="dxa"/>
            <w:tcBorders>
              <w:top w:val="dotted" w:sz="4" w:space="0" w:color="auto"/>
              <w:bottom w:val="dotted" w:sz="4" w:space="0" w:color="auto"/>
            </w:tcBorders>
            <w:vAlign w:val="center"/>
          </w:tcPr>
          <w:p w14:paraId="6618DA86"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720" w:type="dxa"/>
            <w:tcBorders>
              <w:top w:val="dotted" w:sz="4" w:space="0" w:color="auto"/>
              <w:bottom w:val="dotted" w:sz="4" w:space="0" w:color="auto"/>
              <w:right w:val="dotted" w:sz="4" w:space="0" w:color="auto"/>
            </w:tcBorders>
            <w:vAlign w:val="center"/>
          </w:tcPr>
          <w:p w14:paraId="62843067"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720" w:type="dxa"/>
            <w:tcBorders>
              <w:top w:val="dotted" w:sz="4" w:space="0" w:color="auto"/>
              <w:left w:val="dotted" w:sz="4" w:space="0" w:color="auto"/>
              <w:bottom w:val="dotted" w:sz="4" w:space="0" w:color="auto"/>
              <w:right w:val="single" w:sz="8" w:space="0" w:color="auto"/>
            </w:tcBorders>
            <w:vAlign w:val="center"/>
          </w:tcPr>
          <w:p w14:paraId="0441C493"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630" w:type="dxa"/>
            <w:tcBorders>
              <w:top w:val="dotted" w:sz="4" w:space="0" w:color="auto"/>
              <w:left w:val="single" w:sz="8" w:space="0" w:color="auto"/>
              <w:bottom w:val="dotted" w:sz="4" w:space="0" w:color="auto"/>
              <w:right w:val="dotted" w:sz="4" w:space="0" w:color="auto"/>
            </w:tcBorders>
            <w:vAlign w:val="center"/>
          </w:tcPr>
          <w:p w14:paraId="6A1EF71E"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44.74</w:t>
            </w:r>
          </w:p>
        </w:tc>
        <w:tc>
          <w:tcPr>
            <w:tcW w:w="540" w:type="dxa"/>
            <w:tcBorders>
              <w:top w:val="dotted" w:sz="4" w:space="0" w:color="auto"/>
              <w:left w:val="dotted" w:sz="4" w:space="0" w:color="auto"/>
              <w:bottom w:val="dotted" w:sz="4" w:space="0" w:color="auto"/>
            </w:tcBorders>
            <w:vAlign w:val="center"/>
          </w:tcPr>
          <w:p w14:paraId="40FB312F"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39.73</w:t>
            </w:r>
          </w:p>
        </w:tc>
        <w:tc>
          <w:tcPr>
            <w:tcW w:w="630" w:type="dxa"/>
            <w:tcBorders>
              <w:top w:val="dotted" w:sz="4" w:space="0" w:color="auto"/>
              <w:bottom w:val="dotted" w:sz="4" w:space="0" w:color="auto"/>
            </w:tcBorders>
            <w:vAlign w:val="center"/>
          </w:tcPr>
          <w:p w14:paraId="7F9AB881"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-11.2</w:t>
            </w:r>
          </w:p>
        </w:tc>
        <w:tc>
          <w:tcPr>
            <w:tcW w:w="540" w:type="dxa"/>
            <w:tcBorders>
              <w:top w:val="dotted" w:sz="4" w:space="0" w:color="auto"/>
              <w:bottom w:val="dotted" w:sz="4" w:space="0" w:color="auto"/>
              <w:right w:val="dotted" w:sz="4" w:space="0" w:color="auto"/>
            </w:tcBorders>
            <w:vAlign w:val="center"/>
          </w:tcPr>
          <w:p w14:paraId="6DA5244C"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540" w:type="dxa"/>
            <w:tcBorders>
              <w:top w:val="dotted" w:sz="4" w:space="0" w:color="auto"/>
              <w:left w:val="dotted" w:sz="4" w:space="0" w:color="auto"/>
              <w:bottom w:val="dotted" w:sz="4" w:space="0" w:color="auto"/>
              <w:right w:val="dotted" w:sz="4" w:space="0" w:color="auto"/>
            </w:tcBorders>
            <w:vAlign w:val="center"/>
          </w:tcPr>
          <w:p w14:paraId="736E6620"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630" w:type="dxa"/>
            <w:tcBorders>
              <w:top w:val="dotted" w:sz="4" w:space="0" w:color="auto"/>
              <w:left w:val="dotted" w:sz="4" w:space="0" w:color="auto"/>
              <w:bottom w:val="dotted" w:sz="4" w:space="0" w:color="auto"/>
              <w:right w:val="double" w:sz="4" w:space="0" w:color="auto"/>
            </w:tcBorders>
            <w:vAlign w:val="center"/>
          </w:tcPr>
          <w:p w14:paraId="6D50D6D4"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100.0</w:t>
            </w:r>
          </w:p>
        </w:tc>
      </w:tr>
      <w:tr w:rsidR="002E55DE" w:rsidRPr="002E55DE" w14:paraId="6397B8ED" w14:textId="77777777" w:rsidTr="003958E9">
        <w:trPr>
          <w:trHeight w:val="152"/>
        </w:trPr>
        <w:tc>
          <w:tcPr>
            <w:tcW w:w="1425" w:type="dxa"/>
            <w:vMerge/>
            <w:tcBorders>
              <w:top w:val="dotted" w:sz="4" w:space="0" w:color="auto"/>
              <w:left w:val="double" w:sz="4" w:space="0" w:color="auto"/>
              <w:bottom w:val="dotted" w:sz="4" w:space="0" w:color="auto"/>
              <w:right w:val="dotted" w:sz="4" w:space="0" w:color="auto"/>
            </w:tcBorders>
            <w:vAlign w:val="center"/>
          </w:tcPr>
          <w:p w14:paraId="494F6CA5" w14:textId="77777777" w:rsidR="00610B4F" w:rsidRPr="002E55DE" w:rsidRDefault="00610B4F" w:rsidP="00A11B74">
            <w:pPr>
              <w:rPr>
                <w:rFonts w:ascii="Times New Roman" w:eastAsiaTheme="minorEastAsia" w:hAnsi="Times New Roman"/>
                <w:b/>
                <w:bCs/>
                <w:noProof/>
                <w:sz w:val="18"/>
                <w:szCs w:val="18"/>
                <w:lang w:eastAsia="ko-KR"/>
              </w:rPr>
            </w:pPr>
          </w:p>
        </w:tc>
        <w:tc>
          <w:tcPr>
            <w:tcW w:w="1350" w:type="dxa"/>
            <w:vMerge/>
            <w:tcBorders>
              <w:top w:val="dotted" w:sz="4" w:space="0" w:color="auto"/>
              <w:left w:val="dotted" w:sz="4" w:space="0" w:color="auto"/>
              <w:bottom w:val="dotted" w:sz="4" w:space="0" w:color="auto"/>
              <w:right w:val="dotted" w:sz="4" w:space="0" w:color="auto"/>
            </w:tcBorders>
            <w:vAlign w:val="center"/>
          </w:tcPr>
          <w:p w14:paraId="0707DE65" w14:textId="77777777" w:rsidR="00610B4F" w:rsidRPr="002E55DE" w:rsidRDefault="00610B4F" w:rsidP="00A11B74">
            <w:pPr>
              <w:rPr>
                <w:rFonts w:ascii="Times New Roman" w:eastAsiaTheme="minorEastAsia" w:hAnsi="Times New Roman"/>
                <w:b/>
                <w:bCs/>
                <w:noProof/>
                <w:sz w:val="18"/>
                <w:szCs w:val="18"/>
                <w:lang w:eastAsia="ko-KR"/>
              </w:rPr>
            </w:pPr>
          </w:p>
        </w:tc>
        <w:tc>
          <w:tcPr>
            <w:tcW w:w="1530" w:type="dxa"/>
            <w:tcBorders>
              <w:top w:val="dotted" w:sz="4" w:space="0" w:color="auto"/>
              <w:left w:val="dotted" w:sz="4" w:space="0" w:color="auto"/>
              <w:bottom w:val="dotted" w:sz="4" w:space="0" w:color="auto"/>
              <w:right w:val="single" w:sz="8" w:space="0" w:color="auto"/>
            </w:tcBorders>
            <w:vAlign w:val="center"/>
          </w:tcPr>
          <w:p w14:paraId="53EB841C"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Three or more</w:t>
            </w:r>
            <w:r w:rsidRPr="002E55DE">
              <w:rPr>
                <w:rFonts w:ascii="Times New Roman" w:hAnsi="Times New Roman" w:hint="eastAsia"/>
                <w:sz w:val="18"/>
                <w:szCs w:val="18"/>
              </w:rPr>
              <w:t xml:space="preserve"> </w:t>
            </w:r>
            <w:r w:rsidRPr="002E55DE">
              <w:rPr>
                <w:rFonts w:ascii="Times New Roman" w:eastAsia="Times New Roman" w:hAnsi="Times New Roman"/>
                <w:sz w:val="18"/>
                <w:szCs w:val="18"/>
              </w:rPr>
              <w:t>adults</w:t>
            </w:r>
            <w:r w:rsidRPr="002E55DE">
              <w:rPr>
                <w:rFonts w:ascii="Times New Roman" w:hAnsi="Times New Roman" w:hint="eastAsia"/>
                <w:sz w:val="18"/>
                <w:szCs w:val="18"/>
              </w:rPr>
              <w:t xml:space="preserve"> </w:t>
            </w:r>
            <w:r w:rsidRPr="002E55DE">
              <w:rPr>
                <w:rFonts w:ascii="Times New Roman" w:eastAsia="Times New Roman" w:hAnsi="Times New Roman"/>
                <w:sz w:val="18"/>
                <w:szCs w:val="18"/>
              </w:rPr>
              <w:t xml:space="preserve">with </w:t>
            </w:r>
            <w:r w:rsidRPr="002E55DE">
              <w:rPr>
                <w:rFonts w:ascii="Times New Roman" w:hAnsi="Times New Roman" w:hint="eastAsia"/>
                <w:sz w:val="18"/>
                <w:szCs w:val="18"/>
              </w:rPr>
              <w:t>child</w:t>
            </w:r>
          </w:p>
        </w:tc>
        <w:tc>
          <w:tcPr>
            <w:tcW w:w="720" w:type="dxa"/>
            <w:tcBorders>
              <w:top w:val="dotted" w:sz="4" w:space="0" w:color="auto"/>
              <w:left w:val="single" w:sz="8" w:space="0" w:color="auto"/>
              <w:bottom w:val="dotted" w:sz="4" w:space="0" w:color="auto"/>
              <w:right w:val="dotted" w:sz="4" w:space="0" w:color="auto"/>
            </w:tcBorders>
            <w:vAlign w:val="center"/>
          </w:tcPr>
          <w:p w14:paraId="0D380196"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0.31</w:t>
            </w:r>
          </w:p>
        </w:tc>
        <w:tc>
          <w:tcPr>
            <w:tcW w:w="630" w:type="dxa"/>
            <w:tcBorders>
              <w:top w:val="dotted" w:sz="4" w:space="0" w:color="auto"/>
              <w:left w:val="dotted" w:sz="4" w:space="0" w:color="auto"/>
              <w:bottom w:val="dotted" w:sz="4" w:space="0" w:color="auto"/>
              <w:right w:val="single" w:sz="6" w:space="0" w:color="auto"/>
            </w:tcBorders>
            <w:vAlign w:val="center"/>
          </w:tcPr>
          <w:p w14:paraId="38A1A20C"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0.40</w:t>
            </w:r>
          </w:p>
        </w:tc>
        <w:tc>
          <w:tcPr>
            <w:tcW w:w="630" w:type="dxa"/>
            <w:tcBorders>
              <w:top w:val="dotted" w:sz="4" w:space="0" w:color="auto"/>
              <w:left w:val="single" w:sz="6" w:space="0" w:color="auto"/>
              <w:bottom w:val="dotted" w:sz="4" w:space="0" w:color="auto"/>
              <w:right w:val="single" w:sz="8" w:space="0" w:color="auto"/>
            </w:tcBorders>
            <w:vAlign w:val="center"/>
          </w:tcPr>
          <w:p w14:paraId="2BD275EF"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29.0</w:t>
            </w:r>
          </w:p>
        </w:tc>
        <w:tc>
          <w:tcPr>
            <w:tcW w:w="623" w:type="dxa"/>
            <w:tcBorders>
              <w:top w:val="dotted" w:sz="4" w:space="0" w:color="auto"/>
              <w:left w:val="single" w:sz="8" w:space="0" w:color="auto"/>
              <w:bottom w:val="dotted" w:sz="4" w:space="0" w:color="auto"/>
              <w:right w:val="dotted" w:sz="4" w:space="0" w:color="auto"/>
            </w:tcBorders>
            <w:vAlign w:val="center"/>
          </w:tcPr>
          <w:p w14:paraId="440327EB"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3.77</w:t>
            </w:r>
          </w:p>
        </w:tc>
        <w:tc>
          <w:tcPr>
            <w:tcW w:w="477" w:type="dxa"/>
            <w:tcBorders>
              <w:top w:val="dotted" w:sz="4" w:space="0" w:color="auto"/>
              <w:left w:val="dotted" w:sz="4" w:space="0" w:color="auto"/>
              <w:bottom w:val="dotted" w:sz="4" w:space="0" w:color="auto"/>
            </w:tcBorders>
            <w:vAlign w:val="center"/>
          </w:tcPr>
          <w:p w14:paraId="481F30E5"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3.57</w:t>
            </w:r>
          </w:p>
        </w:tc>
        <w:tc>
          <w:tcPr>
            <w:tcW w:w="520" w:type="dxa"/>
            <w:tcBorders>
              <w:top w:val="dotted" w:sz="4" w:space="0" w:color="auto"/>
              <w:bottom w:val="dotted" w:sz="4" w:space="0" w:color="auto"/>
            </w:tcBorders>
            <w:vAlign w:val="center"/>
          </w:tcPr>
          <w:p w14:paraId="6FA3A8D1"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-5.</w:t>
            </w:r>
            <w:r w:rsidRPr="002E55DE">
              <w:rPr>
                <w:rFonts w:ascii="Times New Roman" w:eastAsiaTheme="minorEastAsia" w:hAnsi="Times New Roman" w:hint="eastAsia"/>
                <w:sz w:val="18"/>
                <w:szCs w:val="18"/>
                <w:lang w:eastAsia="ko-KR"/>
              </w:rPr>
              <w:t>3</w:t>
            </w:r>
          </w:p>
        </w:tc>
        <w:tc>
          <w:tcPr>
            <w:tcW w:w="720" w:type="dxa"/>
            <w:tcBorders>
              <w:top w:val="dotted" w:sz="4" w:space="0" w:color="auto"/>
              <w:bottom w:val="dotted" w:sz="4" w:space="0" w:color="auto"/>
              <w:right w:val="dotted" w:sz="4" w:space="0" w:color="auto"/>
            </w:tcBorders>
            <w:vAlign w:val="center"/>
          </w:tcPr>
          <w:p w14:paraId="74903BC7"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37.1</w:t>
            </w:r>
          </w:p>
        </w:tc>
        <w:tc>
          <w:tcPr>
            <w:tcW w:w="720" w:type="dxa"/>
            <w:tcBorders>
              <w:top w:val="dotted" w:sz="4" w:space="0" w:color="auto"/>
              <w:left w:val="dotted" w:sz="4" w:space="0" w:color="auto"/>
              <w:bottom w:val="dotted" w:sz="4" w:space="0" w:color="auto"/>
              <w:right w:val="single" w:sz="8" w:space="0" w:color="auto"/>
            </w:tcBorders>
            <w:vAlign w:val="center"/>
          </w:tcPr>
          <w:p w14:paraId="5C524A30" w14:textId="77777777" w:rsidR="00610B4F" w:rsidRPr="002E55DE" w:rsidRDefault="00610B4F" w:rsidP="00A11B74">
            <w:pPr>
              <w:jc w:val="right"/>
              <w:rPr>
                <w:rFonts w:ascii="Times New Roman" w:hAnsi="Times New Roman"/>
                <w:sz w:val="18"/>
                <w:szCs w:val="18"/>
              </w:rPr>
            </w:pPr>
            <w:r w:rsidRPr="002E55DE">
              <w:rPr>
                <w:rFonts w:ascii="Times New Roman" w:eastAsiaTheme="minorEastAsia" w:hAnsi="Times New Roman" w:hint="eastAsia"/>
                <w:sz w:val="18"/>
                <w:szCs w:val="18"/>
                <w:lang w:eastAsia="ko-KR"/>
              </w:rPr>
              <w:t>-</w:t>
            </w:r>
            <w:r w:rsidRPr="002E55DE">
              <w:rPr>
                <w:rFonts w:ascii="Times New Roman" w:hAnsi="Times New Roman"/>
                <w:sz w:val="18"/>
                <w:szCs w:val="18"/>
              </w:rPr>
              <w:t>62.9</w:t>
            </w:r>
          </w:p>
        </w:tc>
        <w:tc>
          <w:tcPr>
            <w:tcW w:w="630" w:type="dxa"/>
            <w:tcBorders>
              <w:top w:val="dotted" w:sz="4" w:space="0" w:color="auto"/>
              <w:left w:val="single" w:sz="8" w:space="0" w:color="auto"/>
              <w:bottom w:val="dotted" w:sz="4" w:space="0" w:color="auto"/>
              <w:right w:val="dotted" w:sz="4" w:space="0" w:color="auto"/>
            </w:tcBorders>
            <w:vAlign w:val="center"/>
          </w:tcPr>
          <w:p w14:paraId="5BF4E7E1" w14:textId="77777777"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44.74</w:t>
            </w:r>
          </w:p>
        </w:tc>
        <w:tc>
          <w:tcPr>
            <w:tcW w:w="540" w:type="dxa"/>
            <w:tcBorders>
              <w:top w:val="dotted" w:sz="4" w:space="0" w:color="auto"/>
              <w:left w:val="dotted" w:sz="4" w:space="0" w:color="auto"/>
              <w:bottom w:val="dotted" w:sz="4" w:space="0" w:color="auto"/>
            </w:tcBorders>
            <w:vAlign w:val="center"/>
          </w:tcPr>
          <w:p w14:paraId="5D7097C6" w14:textId="75022B1E"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w:t>
            </w:r>
            <w:r w:rsidR="00241E62" w:rsidRPr="002E55DE">
              <w:rPr>
                <w:rFonts w:ascii="Times New Roman" w:eastAsiaTheme="minorEastAsia" w:hAnsi="Times New Roman" w:hint="eastAsia"/>
                <w:sz w:val="18"/>
                <w:szCs w:val="18"/>
                <w:lang w:eastAsia="ko-KR"/>
              </w:rPr>
              <w:t>1.58</w:t>
            </w:r>
          </w:p>
        </w:tc>
        <w:tc>
          <w:tcPr>
            <w:tcW w:w="630" w:type="dxa"/>
            <w:tcBorders>
              <w:top w:val="dotted" w:sz="4" w:space="0" w:color="auto"/>
              <w:bottom w:val="dotted" w:sz="4" w:space="0" w:color="auto"/>
            </w:tcBorders>
            <w:vAlign w:val="center"/>
          </w:tcPr>
          <w:p w14:paraId="437B7C7E" w14:textId="6809158D"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r w:rsidR="00241E62" w:rsidRPr="002E55DE">
              <w:rPr>
                <w:rFonts w:ascii="Times New Roman" w:eastAsiaTheme="minorEastAsia" w:hAnsi="Times New Roman" w:hint="eastAsia"/>
                <w:sz w:val="18"/>
                <w:szCs w:val="18"/>
                <w:lang w:eastAsia="ko-KR"/>
              </w:rPr>
              <w:t>7.1</w:t>
            </w:r>
          </w:p>
        </w:tc>
        <w:tc>
          <w:tcPr>
            <w:tcW w:w="540" w:type="dxa"/>
            <w:tcBorders>
              <w:top w:val="dotted" w:sz="4" w:space="0" w:color="auto"/>
              <w:bottom w:val="dotted" w:sz="4" w:space="0" w:color="auto"/>
              <w:right w:val="dotted" w:sz="4" w:space="0" w:color="auto"/>
            </w:tcBorders>
            <w:vAlign w:val="center"/>
          </w:tcPr>
          <w:p w14:paraId="7363C763" w14:textId="4BA138EA" w:rsidR="00610B4F" w:rsidRPr="002E55DE" w:rsidRDefault="00241E62"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sz w:val="18"/>
                <w:szCs w:val="18"/>
                <w:lang w:eastAsia="ko-KR"/>
              </w:rPr>
              <w:t>-8.</w:t>
            </w:r>
            <w:r w:rsidR="0099234B" w:rsidRPr="002E55DE">
              <w:rPr>
                <w:rFonts w:ascii="Times New Roman" w:eastAsiaTheme="minorEastAsia" w:hAnsi="Times New Roman"/>
                <w:sz w:val="18"/>
                <w:szCs w:val="18"/>
                <w:lang w:eastAsia="ko-KR"/>
              </w:rPr>
              <w:t>7</w:t>
            </w:r>
          </w:p>
        </w:tc>
        <w:tc>
          <w:tcPr>
            <w:tcW w:w="540" w:type="dxa"/>
            <w:tcBorders>
              <w:top w:val="dotted" w:sz="4" w:space="0" w:color="auto"/>
              <w:left w:val="dotted" w:sz="4" w:space="0" w:color="auto"/>
              <w:bottom w:val="dotted" w:sz="4" w:space="0" w:color="auto"/>
              <w:right w:val="dotted" w:sz="4" w:space="0" w:color="auto"/>
            </w:tcBorders>
            <w:vAlign w:val="center"/>
          </w:tcPr>
          <w:p w14:paraId="55E50418" w14:textId="05707191" w:rsidR="00610B4F" w:rsidRPr="002E55DE" w:rsidRDefault="00241E62"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sz w:val="18"/>
                <w:szCs w:val="18"/>
                <w:lang w:eastAsia="ko-KR"/>
              </w:rPr>
              <w:t>+39.</w:t>
            </w:r>
            <w:r w:rsidR="009D1272" w:rsidRPr="002E55DE">
              <w:rPr>
                <w:rFonts w:ascii="Times New Roman" w:eastAsiaTheme="minorEastAsia" w:hAnsi="Times New Roman"/>
                <w:sz w:val="18"/>
                <w:szCs w:val="18"/>
                <w:lang w:eastAsia="ko-KR"/>
              </w:rPr>
              <w:t>9</w:t>
            </w:r>
          </w:p>
        </w:tc>
        <w:tc>
          <w:tcPr>
            <w:tcW w:w="630" w:type="dxa"/>
            <w:tcBorders>
              <w:top w:val="dotted" w:sz="4" w:space="0" w:color="auto"/>
              <w:left w:val="dotted" w:sz="4" w:space="0" w:color="auto"/>
              <w:bottom w:val="dotted" w:sz="4" w:space="0" w:color="auto"/>
              <w:right w:val="double" w:sz="4" w:space="0" w:color="auto"/>
            </w:tcBorders>
            <w:vAlign w:val="center"/>
          </w:tcPr>
          <w:p w14:paraId="4DDAF28C" w14:textId="26A86FF6" w:rsidR="00610B4F" w:rsidRPr="002E55DE" w:rsidRDefault="00002864"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sz w:val="18"/>
                <w:szCs w:val="18"/>
                <w:lang w:eastAsia="ko-KR"/>
              </w:rPr>
              <w:t>-</w:t>
            </w:r>
            <w:r w:rsidR="00241E62" w:rsidRPr="002E55DE">
              <w:rPr>
                <w:rFonts w:ascii="Times New Roman" w:eastAsiaTheme="minorEastAsia" w:hAnsi="Times New Roman"/>
                <w:sz w:val="18"/>
                <w:szCs w:val="18"/>
                <w:lang w:eastAsia="ko-KR"/>
              </w:rPr>
              <w:t>51.4</w:t>
            </w:r>
          </w:p>
        </w:tc>
      </w:tr>
      <w:tr w:rsidR="002E55DE" w:rsidRPr="002E55DE" w14:paraId="22AA3C3E" w14:textId="77777777" w:rsidTr="003958E9">
        <w:trPr>
          <w:trHeight w:val="280"/>
        </w:trPr>
        <w:tc>
          <w:tcPr>
            <w:tcW w:w="1425" w:type="dxa"/>
            <w:tcBorders>
              <w:top w:val="dotted" w:sz="4" w:space="0" w:color="auto"/>
              <w:left w:val="double" w:sz="4" w:space="0" w:color="auto"/>
              <w:right w:val="dotted" w:sz="4" w:space="0" w:color="auto"/>
            </w:tcBorders>
            <w:vAlign w:val="center"/>
          </w:tcPr>
          <w:p w14:paraId="4E9E54A8" w14:textId="77777777" w:rsidR="00610B4F" w:rsidRPr="002E55DE" w:rsidRDefault="00610B4F" w:rsidP="00A11B74">
            <w:pPr>
              <w:rPr>
                <w:rFonts w:ascii="Times New Roman" w:eastAsiaTheme="minorEastAsia" w:hAnsi="Times New Roman"/>
                <w:b/>
                <w:bCs/>
                <w:noProof/>
                <w:sz w:val="18"/>
                <w:szCs w:val="18"/>
                <w:lang w:eastAsia="ko-KR"/>
              </w:rPr>
            </w:pPr>
            <w:r w:rsidRPr="002E55DE">
              <w:rPr>
                <w:rFonts w:ascii="Times New Roman" w:eastAsia="Times New Roman" w:hAnsi="Times New Roman"/>
                <w:sz w:val="18"/>
                <w:szCs w:val="18"/>
              </w:rPr>
              <w:t>Household income</w:t>
            </w:r>
          </w:p>
        </w:tc>
        <w:tc>
          <w:tcPr>
            <w:tcW w:w="1350" w:type="dxa"/>
            <w:tcBorders>
              <w:top w:val="dotted" w:sz="4" w:space="0" w:color="auto"/>
              <w:left w:val="dotted" w:sz="4" w:space="0" w:color="auto"/>
              <w:right w:val="dotted" w:sz="4" w:space="0" w:color="auto"/>
            </w:tcBorders>
            <w:vAlign w:val="center"/>
          </w:tcPr>
          <w:p w14:paraId="2B2294D6" w14:textId="3DF99431" w:rsidR="00610B4F" w:rsidRPr="002E55DE" w:rsidRDefault="00FF549F" w:rsidP="00A11B74">
            <w:pPr>
              <w:rPr>
                <w:rFonts w:ascii="Times New Roman" w:eastAsiaTheme="minorEastAsia" w:hAnsi="Times New Roman"/>
                <w:b/>
                <w:bCs/>
                <w:noProof/>
                <w:sz w:val="18"/>
                <w:szCs w:val="18"/>
                <w:lang w:eastAsia="ko-KR"/>
              </w:rPr>
            </w:pPr>
            <w:r w:rsidRPr="002E55DE">
              <w:rPr>
                <w:rFonts w:ascii="Times New Roman" w:hAnsi="Times New Roman"/>
                <w:sz w:val="18"/>
                <w:szCs w:val="18"/>
              </w:rPr>
              <w:t>&lt;</w:t>
            </w:r>
            <w:r w:rsidRPr="002E55DE">
              <w:rPr>
                <w:rFonts w:ascii="Times New Roman" w:hAnsi="Times New Roman" w:hint="eastAsia"/>
                <w:sz w:val="18"/>
                <w:szCs w:val="18"/>
              </w:rPr>
              <w:t>$100,000</w:t>
            </w:r>
          </w:p>
        </w:tc>
        <w:tc>
          <w:tcPr>
            <w:tcW w:w="1530" w:type="dxa"/>
            <w:tcBorders>
              <w:top w:val="dotted" w:sz="4" w:space="0" w:color="auto"/>
              <w:left w:val="dotted" w:sz="4" w:space="0" w:color="auto"/>
              <w:right w:val="single" w:sz="8" w:space="0" w:color="auto"/>
            </w:tcBorders>
            <w:vAlign w:val="center"/>
          </w:tcPr>
          <w:p w14:paraId="68B4AD7B" w14:textId="49AF5298" w:rsidR="00610B4F" w:rsidRPr="002E55DE" w:rsidRDefault="00FF549F" w:rsidP="00A11B74">
            <w:pPr>
              <w:rPr>
                <w:rFonts w:ascii="Times New Roman" w:eastAsiaTheme="minorEastAsia" w:hAnsi="Times New Roman"/>
                <w:b/>
                <w:bCs/>
                <w:noProof/>
                <w:sz w:val="18"/>
                <w:szCs w:val="18"/>
                <w:lang w:eastAsia="ko-KR"/>
              </w:rPr>
            </w:pPr>
            <w:r w:rsidRPr="002E55DE">
              <w:rPr>
                <w:rFonts w:ascii="Times New Roman" w:hAnsi="Times New Roman" w:hint="eastAsia"/>
                <w:sz w:val="18"/>
                <w:szCs w:val="18"/>
              </w:rPr>
              <w:t>$100,000</w:t>
            </w:r>
            <w:r w:rsidRPr="002E55DE">
              <w:rPr>
                <w:rFonts w:ascii="Times New Roman" w:hAnsi="Times New Roman"/>
                <w:sz w:val="18"/>
                <w:szCs w:val="18"/>
              </w:rPr>
              <w:t xml:space="preserve"> or more</w:t>
            </w:r>
            <w:r w:rsidRPr="002E55DE" w:rsidDel="00FF549F">
              <w:rPr>
                <w:rFonts w:ascii="Times New Roman" w:hAnsi="Times New Roman"/>
                <w:sz w:val="18"/>
                <w:szCs w:val="18"/>
              </w:rPr>
              <w:t xml:space="preserve"> </w:t>
            </w:r>
          </w:p>
        </w:tc>
        <w:tc>
          <w:tcPr>
            <w:tcW w:w="720" w:type="dxa"/>
            <w:tcBorders>
              <w:top w:val="dotted" w:sz="4" w:space="0" w:color="auto"/>
              <w:left w:val="single" w:sz="8" w:space="0" w:color="auto"/>
              <w:right w:val="dotted" w:sz="4" w:space="0" w:color="auto"/>
            </w:tcBorders>
            <w:vAlign w:val="center"/>
          </w:tcPr>
          <w:p w14:paraId="76703C6B" w14:textId="36A25F64"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0.30</w:t>
            </w:r>
          </w:p>
        </w:tc>
        <w:tc>
          <w:tcPr>
            <w:tcW w:w="630" w:type="dxa"/>
            <w:tcBorders>
              <w:top w:val="dotted" w:sz="4" w:space="0" w:color="auto"/>
              <w:left w:val="dotted" w:sz="4" w:space="0" w:color="auto"/>
              <w:right w:val="single" w:sz="6" w:space="0" w:color="auto"/>
            </w:tcBorders>
            <w:vAlign w:val="center"/>
          </w:tcPr>
          <w:p w14:paraId="4ACAD4EC" w14:textId="0E3257E6"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0.30</w:t>
            </w:r>
          </w:p>
        </w:tc>
        <w:tc>
          <w:tcPr>
            <w:tcW w:w="630" w:type="dxa"/>
            <w:tcBorders>
              <w:top w:val="dotted" w:sz="4" w:space="0" w:color="auto"/>
              <w:left w:val="single" w:sz="6" w:space="0" w:color="auto"/>
              <w:right w:val="single" w:sz="8" w:space="0" w:color="auto"/>
            </w:tcBorders>
            <w:vAlign w:val="center"/>
          </w:tcPr>
          <w:p w14:paraId="62574BE8" w14:textId="77777777" w:rsidR="00610B4F" w:rsidRPr="002E55DE" w:rsidRDefault="00610B4F" w:rsidP="00A11B74">
            <w:pPr>
              <w:jc w:val="right"/>
              <w:rPr>
                <w:rFonts w:ascii="Times New Roman" w:hAnsi="Times New Roman"/>
                <w:sz w:val="18"/>
                <w:szCs w:val="18"/>
              </w:rPr>
            </w:pPr>
            <w:r w:rsidRPr="002E55DE">
              <w:rPr>
                <w:rFonts w:ascii="Times New Roman" w:hAnsi="Times New Roman" w:hint="eastAsia"/>
                <w:sz w:val="18"/>
                <w:szCs w:val="18"/>
              </w:rPr>
              <w:t>0.0</w:t>
            </w:r>
          </w:p>
        </w:tc>
        <w:tc>
          <w:tcPr>
            <w:tcW w:w="623" w:type="dxa"/>
            <w:tcBorders>
              <w:top w:val="dotted" w:sz="4" w:space="0" w:color="auto"/>
              <w:left w:val="single" w:sz="8" w:space="0" w:color="auto"/>
              <w:right w:val="dotted" w:sz="4" w:space="0" w:color="auto"/>
            </w:tcBorders>
            <w:vAlign w:val="center"/>
          </w:tcPr>
          <w:p w14:paraId="4A07EBE1" w14:textId="66005E05" w:rsidR="00610B4F" w:rsidRPr="002E55DE" w:rsidRDefault="0070731B" w:rsidP="00A11B74">
            <w:pPr>
              <w:jc w:val="right"/>
              <w:rPr>
                <w:rFonts w:ascii="Times New Roman" w:hAnsi="Times New Roman"/>
                <w:sz w:val="18"/>
                <w:szCs w:val="18"/>
              </w:rPr>
            </w:pPr>
            <w:r w:rsidRPr="002E55DE">
              <w:rPr>
                <w:rFonts w:ascii="Times New Roman" w:hAnsi="Times New Roman"/>
                <w:sz w:val="18"/>
                <w:szCs w:val="18"/>
              </w:rPr>
              <w:t>3.</w:t>
            </w:r>
            <w:r w:rsidR="00636BF4" w:rsidRPr="002E55DE">
              <w:rPr>
                <w:rFonts w:ascii="Times New Roman" w:hAnsi="Times New Roman"/>
                <w:sz w:val="18"/>
                <w:szCs w:val="18"/>
              </w:rPr>
              <w:t>60</w:t>
            </w:r>
          </w:p>
        </w:tc>
        <w:tc>
          <w:tcPr>
            <w:tcW w:w="477" w:type="dxa"/>
            <w:tcBorders>
              <w:top w:val="dotted" w:sz="4" w:space="0" w:color="auto"/>
              <w:left w:val="dotted" w:sz="4" w:space="0" w:color="auto"/>
            </w:tcBorders>
            <w:vAlign w:val="center"/>
          </w:tcPr>
          <w:p w14:paraId="2CF10675" w14:textId="3723C6A0" w:rsidR="00610B4F" w:rsidRPr="002E55DE" w:rsidRDefault="00636BF4" w:rsidP="00A11B74">
            <w:pPr>
              <w:jc w:val="right"/>
              <w:rPr>
                <w:rFonts w:ascii="Times New Roman" w:hAnsi="Times New Roman"/>
                <w:sz w:val="18"/>
                <w:szCs w:val="18"/>
              </w:rPr>
            </w:pPr>
            <w:r w:rsidRPr="002E55DE">
              <w:rPr>
                <w:rFonts w:ascii="Times New Roman" w:hAnsi="Times New Roman"/>
                <w:sz w:val="18"/>
                <w:szCs w:val="18"/>
              </w:rPr>
              <w:t>3.82</w:t>
            </w:r>
          </w:p>
        </w:tc>
        <w:tc>
          <w:tcPr>
            <w:tcW w:w="520" w:type="dxa"/>
            <w:tcBorders>
              <w:top w:val="dotted" w:sz="4" w:space="0" w:color="auto"/>
            </w:tcBorders>
            <w:vAlign w:val="center"/>
          </w:tcPr>
          <w:p w14:paraId="359189AD" w14:textId="66ABFFE1" w:rsidR="00610B4F" w:rsidRPr="002E55DE" w:rsidRDefault="001C1379"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6.1</w:t>
            </w:r>
          </w:p>
        </w:tc>
        <w:tc>
          <w:tcPr>
            <w:tcW w:w="720" w:type="dxa"/>
            <w:tcBorders>
              <w:top w:val="dotted" w:sz="4" w:space="0" w:color="auto"/>
              <w:right w:val="dotted" w:sz="4" w:space="0" w:color="auto"/>
            </w:tcBorders>
            <w:vAlign w:val="center"/>
          </w:tcPr>
          <w:p w14:paraId="2B5B7D27"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720" w:type="dxa"/>
            <w:tcBorders>
              <w:top w:val="dotted" w:sz="4" w:space="0" w:color="auto"/>
              <w:left w:val="dotted" w:sz="4" w:space="0" w:color="auto"/>
              <w:right w:val="single" w:sz="8" w:space="0" w:color="auto"/>
            </w:tcBorders>
            <w:vAlign w:val="center"/>
          </w:tcPr>
          <w:p w14:paraId="6FDD09B2" w14:textId="1FB69A38" w:rsidR="00610B4F" w:rsidRPr="002E55DE" w:rsidRDefault="005F063C" w:rsidP="00A11B74">
            <w:pPr>
              <w:jc w:val="right"/>
              <w:rPr>
                <w:rFonts w:ascii="Times New Roman" w:hAnsi="Times New Roman"/>
                <w:sz w:val="18"/>
                <w:szCs w:val="18"/>
              </w:rPr>
            </w:pPr>
            <w:r w:rsidRPr="002E55DE">
              <w:rPr>
                <w:rFonts w:ascii="Times New Roman" w:hAnsi="Times New Roman"/>
                <w:sz w:val="18"/>
                <w:szCs w:val="18"/>
              </w:rPr>
              <w:t>+</w:t>
            </w:r>
            <w:r w:rsidR="00610B4F" w:rsidRPr="002E55DE">
              <w:rPr>
                <w:rFonts w:ascii="Times New Roman" w:hAnsi="Times New Roman"/>
                <w:sz w:val="18"/>
                <w:szCs w:val="18"/>
              </w:rPr>
              <w:t>100.0</w:t>
            </w:r>
          </w:p>
        </w:tc>
        <w:tc>
          <w:tcPr>
            <w:tcW w:w="630" w:type="dxa"/>
            <w:tcBorders>
              <w:top w:val="dotted" w:sz="4" w:space="0" w:color="auto"/>
              <w:left w:val="single" w:sz="8" w:space="0" w:color="auto"/>
              <w:right w:val="dotted" w:sz="4" w:space="0" w:color="auto"/>
            </w:tcBorders>
            <w:vAlign w:val="center"/>
          </w:tcPr>
          <w:p w14:paraId="0DC9EB47" w14:textId="4016E59E"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w:t>
            </w:r>
            <w:r w:rsidR="00636BF4" w:rsidRPr="002E55DE">
              <w:rPr>
                <w:rFonts w:ascii="Times New Roman" w:eastAsiaTheme="minorEastAsia" w:hAnsi="Times New Roman"/>
                <w:sz w:val="18"/>
                <w:szCs w:val="18"/>
                <w:lang w:eastAsia="ko-KR"/>
              </w:rPr>
              <w:t>1.25</w:t>
            </w:r>
          </w:p>
        </w:tc>
        <w:tc>
          <w:tcPr>
            <w:tcW w:w="540" w:type="dxa"/>
            <w:tcBorders>
              <w:top w:val="dotted" w:sz="4" w:space="0" w:color="auto"/>
              <w:left w:val="dotted" w:sz="4" w:space="0" w:color="auto"/>
            </w:tcBorders>
            <w:vAlign w:val="center"/>
          </w:tcPr>
          <w:p w14:paraId="1653AEC7" w14:textId="177677FC"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w:t>
            </w:r>
            <w:r w:rsidR="00636BF4" w:rsidRPr="002E55DE">
              <w:rPr>
                <w:rFonts w:ascii="Times New Roman" w:eastAsiaTheme="minorEastAsia" w:hAnsi="Times New Roman"/>
                <w:sz w:val="18"/>
                <w:szCs w:val="18"/>
                <w:lang w:eastAsia="ko-KR"/>
              </w:rPr>
              <w:t>8.46</w:t>
            </w:r>
          </w:p>
        </w:tc>
        <w:tc>
          <w:tcPr>
            <w:tcW w:w="630" w:type="dxa"/>
            <w:tcBorders>
              <w:top w:val="dotted" w:sz="4" w:space="0" w:color="auto"/>
            </w:tcBorders>
            <w:vAlign w:val="center"/>
          </w:tcPr>
          <w:p w14:paraId="2364D3AC" w14:textId="5C4C4861" w:rsidR="00610B4F" w:rsidRPr="002E55DE" w:rsidRDefault="00610B4F"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w:t>
            </w:r>
            <w:r w:rsidR="00CB085E" w:rsidRPr="002E55DE">
              <w:rPr>
                <w:rFonts w:ascii="Times New Roman" w:eastAsiaTheme="minorEastAsia" w:hAnsi="Times New Roman"/>
                <w:sz w:val="18"/>
                <w:szCs w:val="18"/>
                <w:lang w:eastAsia="ko-KR"/>
              </w:rPr>
              <w:t>7</w:t>
            </w:r>
            <w:r w:rsidR="00E054AD" w:rsidRPr="002E55DE">
              <w:rPr>
                <w:rFonts w:ascii="Times New Roman" w:eastAsiaTheme="minorEastAsia" w:hAnsi="Times New Roman"/>
                <w:sz w:val="18"/>
                <w:szCs w:val="18"/>
                <w:lang w:eastAsia="ko-KR"/>
              </w:rPr>
              <w:t>.</w:t>
            </w:r>
            <w:r w:rsidR="00CB085E" w:rsidRPr="002E55DE">
              <w:rPr>
                <w:rFonts w:ascii="Times New Roman" w:eastAsiaTheme="minorEastAsia" w:hAnsi="Times New Roman"/>
                <w:sz w:val="18"/>
                <w:szCs w:val="18"/>
                <w:lang w:eastAsia="ko-KR"/>
              </w:rPr>
              <w:t>5</w:t>
            </w:r>
          </w:p>
        </w:tc>
        <w:tc>
          <w:tcPr>
            <w:tcW w:w="540" w:type="dxa"/>
            <w:tcBorders>
              <w:top w:val="dotted" w:sz="4" w:space="0" w:color="auto"/>
              <w:right w:val="dotted" w:sz="4" w:space="0" w:color="auto"/>
            </w:tcBorders>
            <w:vAlign w:val="center"/>
          </w:tcPr>
          <w:p w14:paraId="6E193CFB" w14:textId="7581A7D9" w:rsidR="00610B4F" w:rsidRPr="002E55DE" w:rsidRDefault="00CB085E"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sz w:val="18"/>
                <w:szCs w:val="18"/>
                <w:lang w:eastAsia="ko-KR"/>
              </w:rPr>
              <w:t>+</w:t>
            </w:r>
            <w:r w:rsidR="00610B4F" w:rsidRPr="002E55DE">
              <w:rPr>
                <w:rFonts w:ascii="Times New Roman" w:eastAsiaTheme="minorEastAsia" w:hAnsi="Times New Roman" w:hint="eastAsia"/>
                <w:sz w:val="18"/>
                <w:szCs w:val="18"/>
                <w:lang w:eastAsia="ko-KR"/>
              </w:rPr>
              <w:t>7.9</w:t>
            </w:r>
          </w:p>
        </w:tc>
        <w:tc>
          <w:tcPr>
            <w:tcW w:w="540" w:type="dxa"/>
            <w:tcBorders>
              <w:top w:val="dotted" w:sz="4" w:space="0" w:color="auto"/>
              <w:left w:val="dotted" w:sz="4" w:space="0" w:color="auto"/>
              <w:right w:val="dotted" w:sz="4" w:space="0" w:color="auto"/>
            </w:tcBorders>
            <w:vAlign w:val="center"/>
          </w:tcPr>
          <w:p w14:paraId="59455EAC" w14:textId="77777777" w:rsidR="00610B4F" w:rsidRPr="002E55DE" w:rsidRDefault="00610B4F" w:rsidP="00A11B74">
            <w:pPr>
              <w:jc w:val="right"/>
              <w:rPr>
                <w:rFonts w:ascii="Times New Roman" w:hAnsi="Times New Roman"/>
                <w:sz w:val="18"/>
                <w:szCs w:val="18"/>
              </w:rPr>
            </w:pPr>
            <w:r w:rsidRPr="002E55DE">
              <w:rPr>
                <w:rFonts w:ascii="Times New Roman" w:hAnsi="Times New Roman"/>
                <w:sz w:val="18"/>
                <w:szCs w:val="18"/>
              </w:rPr>
              <w:t>0.0</w:t>
            </w:r>
          </w:p>
        </w:tc>
        <w:tc>
          <w:tcPr>
            <w:tcW w:w="630" w:type="dxa"/>
            <w:tcBorders>
              <w:top w:val="dotted" w:sz="4" w:space="0" w:color="auto"/>
              <w:left w:val="dotted" w:sz="4" w:space="0" w:color="auto"/>
              <w:right w:val="double" w:sz="4" w:space="0" w:color="auto"/>
            </w:tcBorders>
            <w:vAlign w:val="center"/>
          </w:tcPr>
          <w:p w14:paraId="554DBF21" w14:textId="0A111E48" w:rsidR="00610B4F" w:rsidRPr="002E55DE" w:rsidRDefault="00CB085E"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sz w:val="18"/>
                <w:szCs w:val="18"/>
                <w:lang w:eastAsia="ko-KR"/>
              </w:rPr>
              <w:t>+</w:t>
            </w:r>
            <w:r w:rsidR="00610B4F" w:rsidRPr="002E55DE">
              <w:rPr>
                <w:rFonts w:ascii="Times New Roman" w:eastAsiaTheme="minorEastAsia" w:hAnsi="Times New Roman" w:hint="eastAsia"/>
                <w:sz w:val="18"/>
                <w:szCs w:val="18"/>
                <w:lang w:eastAsia="ko-KR"/>
              </w:rPr>
              <w:t>92.1</w:t>
            </w:r>
          </w:p>
        </w:tc>
      </w:tr>
      <w:tr w:rsidR="002E55DE" w:rsidRPr="002E55DE" w14:paraId="616DDFC1" w14:textId="77777777" w:rsidTr="001A3D79">
        <w:trPr>
          <w:trHeight w:val="243"/>
        </w:trPr>
        <w:tc>
          <w:tcPr>
            <w:tcW w:w="12855" w:type="dxa"/>
            <w:gridSpan w:val="17"/>
            <w:tcBorders>
              <w:left w:val="double" w:sz="4" w:space="0" w:color="auto"/>
              <w:right w:val="double" w:sz="4" w:space="0" w:color="auto"/>
            </w:tcBorders>
          </w:tcPr>
          <w:p w14:paraId="77D5D589" w14:textId="77777777" w:rsidR="00610B4F" w:rsidRPr="002E55DE" w:rsidRDefault="00610B4F" w:rsidP="00A11B74">
            <w:pPr>
              <w:rPr>
                <w:rFonts w:ascii="Times New Roman" w:hAnsi="Times New Roman"/>
                <w:sz w:val="18"/>
                <w:szCs w:val="18"/>
              </w:rPr>
            </w:pPr>
            <w:r w:rsidRPr="002E55DE">
              <w:rPr>
                <w:rFonts w:ascii="Times New Roman" w:eastAsiaTheme="minorEastAsia" w:hAnsi="Times New Roman" w:hint="eastAsia"/>
                <w:b/>
                <w:bCs/>
                <w:noProof/>
                <w:sz w:val="20"/>
                <w:lang w:eastAsia="ko-KR"/>
              </w:rPr>
              <w:t>Endogenous Variables</w:t>
            </w:r>
          </w:p>
        </w:tc>
      </w:tr>
      <w:tr w:rsidR="002E55DE" w:rsidRPr="002E55DE" w14:paraId="083647CF" w14:textId="77777777" w:rsidTr="00A11B74">
        <w:trPr>
          <w:trHeight w:val="720"/>
        </w:trPr>
        <w:tc>
          <w:tcPr>
            <w:tcW w:w="1425" w:type="dxa"/>
            <w:tcBorders>
              <w:left w:val="double" w:sz="4" w:space="0" w:color="auto"/>
              <w:bottom w:val="dotted" w:sz="4" w:space="0" w:color="auto"/>
              <w:right w:val="dotted" w:sz="4" w:space="0" w:color="auto"/>
            </w:tcBorders>
            <w:vAlign w:val="center"/>
          </w:tcPr>
          <w:p w14:paraId="4F2DDA09" w14:textId="77777777" w:rsidR="00E81D13" w:rsidRPr="002E55DE" w:rsidRDefault="00E81D13" w:rsidP="00A11B74">
            <w:pPr>
              <w:rPr>
                <w:rFonts w:ascii="Times New Roman" w:eastAsiaTheme="minorEastAsia" w:hAnsi="Times New Roman"/>
                <w:b/>
                <w:bCs/>
                <w:noProof/>
                <w:sz w:val="18"/>
                <w:szCs w:val="18"/>
                <w:lang w:eastAsia="ko-KR"/>
              </w:rPr>
            </w:pPr>
            <w:r w:rsidRPr="002E55DE">
              <w:rPr>
                <w:rFonts w:ascii="Times New Roman" w:hAnsi="Times New Roman"/>
                <w:sz w:val="18"/>
                <w:szCs w:val="18"/>
              </w:rPr>
              <w:t>Social</w:t>
            </w:r>
            <w:r w:rsidRPr="002E55DE">
              <w:rPr>
                <w:rFonts w:ascii="Times New Roman" w:hAnsi="Times New Roman" w:hint="eastAsia"/>
                <w:sz w:val="18"/>
                <w:szCs w:val="18"/>
              </w:rPr>
              <w:t xml:space="preserve"> companionship</w:t>
            </w:r>
            <w:r w:rsidRPr="002E55DE">
              <w:rPr>
                <w:rFonts w:ascii="Times New Roman" w:hAnsi="Times New Roman"/>
                <w:sz w:val="18"/>
                <w:szCs w:val="18"/>
              </w:rPr>
              <w:t xml:space="preserve"> (SC)</w:t>
            </w:r>
          </w:p>
        </w:tc>
        <w:tc>
          <w:tcPr>
            <w:tcW w:w="1350" w:type="dxa"/>
            <w:tcBorders>
              <w:left w:val="dotted" w:sz="4" w:space="0" w:color="auto"/>
              <w:bottom w:val="dotted" w:sz="4" w:space="0" w:color="auto"/>
              <w:right w:val="dotted" w:sz="4" w:space="0" w:color="auto"/>
            </w:tcBorders>
            <w:vAlign w:val="center"/>
          </w:tcPr>
          <w:p w14:paraId="2D126CD4" w14:textId="77777777" w:rsidR="00E81D13" w:rsidRPr="002E55DE" w:rsidRDefault="00E81D13" w:rsidP="00A11B74">
            <w:pPr>
              <w:rPr>
                <w:rFonts w:ascii="Times New Roman" w:eastAsiaTheme="minorEastAsia" w:hAnsi="Times New Roman"/>
                <w:b/>
                <w:bCs/>
                <w:noProof/>
                <w:sz w:val="18"/>
                <w:szCs w:val="18"/>
                <w:lang w:eastAsia="ko-KR"/>
              </w:rPr>
            </w:pPr>
            <w:r w:rsidRPr="002E55DE">
              <w:rPr>
                <w:rFonts w:ascii="Times New Roman" w:hAnsi="Times New Roman" w:hint="eastAsia"/>
                <w:sz w:val="18"/>
                <w:szCs w:val="18"/>
              </w:rPr>
              <w:t>Sometimes or less</w:t>
            </w:r>
          </w:p>
        </w:tc>
        <w:tc>
          <w:tcPr>
            <w:tcW w:w="1530" w:type="dxa"/>
            <w:tcBorders>
              <w:left w:val="dotted" w:sz="4" w:space="0" w:color="auto"/>
              <w:bottom w:val="dotted" w:sz="4" w:space="0" w:color="auto"/>
              <w:right w:val="single" w:sz="8" w:space="0" w:color="auto"/>
            </w:tcBorders>
            <w:vAlign w:val="center"/>
          </w:tcPr>
          <w:p w14:paraId="36E5C786" w14:textId="4860A5ED" w:rsidR="00E81D13" w:rsidRPr="002E55DE" w:rsidRDefault="00E81D13" w:rsidP="00A11B74">
            <w:pPr>
              <w:rPr>
                <w:rFonts w:ascii="Times New Roman" w:eastAsiaTheme="minorEastAsia" w:hAnsi="Times New Roman"/>
                <w:b/>
                <w:bCs/>
                <w:noProof/>
                <w:sz w:val="18"/>
                <w:szCs w:val="18"/>
                <w:lang w:eastAsia="ko-KR"/>
              </w:rPr>
            </w:pPr>
            <w:r w:rsidRPr="002E55DE">
              <w:rPr>
                <w:rFonts w:ascii="Times New Roman" w:hAnsi="Times New Roman" w:hint="eastAsia"/>
                <w:sz w:val="18"/>
                <w:szCs w:val="18"/>
              </w:rPr>
              <w:t xml:space="preserve">Often or </w:t>
            </w:r>
            <w:r w:rsidR="00A11B74" w:rsidRPr="002E55DE">
              <w:rPr>
                <w:rFonts w:ascii="Times New Roman" w:hAnsi="Times New Roman"/>
                <w:sz w:val="18"/>
                <w:szCs w:val="18"/>
              </w:rPr>
              <w:t>a</w:t>
            </w:r>
            <w:r w:rsidRPr="002E55DE">
              <w:rPr>
                <w:rFonts w:ascii="Times New Roman" w:hAnsi="Times New Roman" w:hint="eastAsia"/>
                <w:sz w:val="18"/>
                <w:szCs w:val="18"/>
              </w:rPr>
              <w:t>lways</w:t>
            </w:r>
          </w:p>
        </w:tc>
        <w:tc>
          <w:tcPr>
            <w:tcW w:w="720" w:type="dxa"/>
            <w:tcBorders>
              <w:left w:val="single" w:sz="8" w:space="0" w:color="auto"/>
              <w:bottom w:val="dotted" w:sz="4" w:space="0" w:color="auto"/>
              <w:right w:val="dotted" w:sz="4" w:space="0" w:color="auto"/>
            </w:tcBorders>
            <w:vAlign w:val="center"/>
          </w:tcPr>
          <w:p w14:paraId="28243699"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30" w:type="dxa"/>
            <w:tcBorders>
              <w:left w:val="dotted" w:sz="4" w:space="0" w:color="auto"/>
              <w:bottom w:val="dotted" w:sz="4" w:space="0" w:color="auto"/>
              <w:right w:val="single" w:sz="6" w:space="0" w:color="auto"/>
            </w:tcBorders>
            <w:vAlign w:val="center"/>
          </w:tcPr>
          <w:p w14:paraId="104F5A09"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30" w:type="dxa"/>
            <w:tcBorders>
              <w:left w:val="single" w:sz="6" w:space="0" w:color="auto"/>
              <w:bottom w:val="dotted" w:sz="4" w:space="0" w:color="auto"/>
              <w:right w:val="single" w:sz="8" w:space="0" w:color="auto"/>
            </w:tcBorders>
            <w:vAlign w:val="center"/>
          </w:tcPr>
          <w:p w14:paraId="4F3DC590"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23" w:type="dxa"/>
            <w:tcBorders>
              <w:left w:val="single" w:sz="8" w:space="0" w:color="auto"/>
              <w:bottom w:val="dotted" w:sz="4" w:space="0" w:color="auto"/>
              <w:right w:val="dotted" w:sz="4" w:space="0" w:color="auto"/>
            </w:tcBorders>
            <w:vAlign w:val="center"/>
          </w:tcPr>
          <w:p w14:paraId="0FD10B4B" w14:textId="77777777" w:rsidR="00E81D13" w:rsidRPr="002E55DE" w:rsidRDefault="00E81D13" w:rsidP="00A11B74">
            <w:pPr>
              <w:jc w:val="right"/>
              <w:rPr>
                <w:rFonts w:ascii="Times New Roman" w:hAnsi="Times New Roman"/>
                <w:sz w:val="18"/>
                <w:szCs w:val="18"/>
              </w:rPr>
            </w:pPr>
            <w:r w:rsidRPr="002E55DE">
              <w:rPr>
                <w:rFonts w:ascii="Times New Roman" w:hAnsi="Times New Roman"/>
                <w:sz w:val="18"/>
                <w:szCs w:val="18"/>
              </w:rPr>
              <w:t>2.79</w:t>
            </w:r>
          </w:p>
        </w:tc>
        <w:tc>
          <w:tcPr>
            <w:tcW w:w="477" w:type="dxa"/>
            <w:tcBorders>
              <w:left w:val="dotted" w:sz="4" w:space="0" w:color="auto"/>
              <w:bottom w:val="dotted" w:sz="4" w:space="0" w:color="auto"/>
            </w:tcBorders>
            <w:vAlign w:val="center"/>
          </w:tcPr>
          <w:p w14:paraId="61AAF7E3" w14:textId="77777777" w:rsidR="00E81D13" w:rsidRPr="002E55DE" w:rsidRDefault="00E81D13" w:rsidP="00A11B74">
            <w:pPr>
              <w:jc w:val="right"/>
              <w:rPr>
                <w:rFonts w:ascii="Times New Roman" w:hAnsi="Times New Roman"/>
                <w:sz w:val="18"/>
                <w:szCs w:val="18"/>
              </w:rPr>
            </w:pPr>
            <w:r w:rsidRPr="002E55DE">
              <w:rPr>
                <w:rFonts w:ascii="Times New Roman" w:hAnsi="Times New Roman"/>
                <w:sz w:val="18"/>
                <w:szCs w:val="18"/>
              </w:rPr>
              <w:t>5.47</w:t>
            </w:r>
          </w:p>
        </w:tc>
        <w:tc>
          <w:tcPr>
            <w:tcW w:w="520" w:type="dxa"/>
            <w:tcBorders>
              <w:bottom w:val="dotted" w:sz="4" w:space="0" w:color="auto"/>
            </w:tcBorders>
            <w:vAlign w:val="center"/>
          </w:tcPr>
          <w:p w14:paraId="76F4AFC8"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hAnsi="Times New Roman"/>
                <w:sz w:val="18"/>
                <w:szCs w:val="18"/>
              </w:rPr>
              <w:t>9</w:t>
            </w:r>
            <w:r w:rsidRPr="002E55DE">
              <w:rPr>
                <w:rFonts w:ascii="Times New Roman" w:eastAsiaTheme="minorEastAsia" w:hAnsi="Times New Roman" w:hint="eastAsia"/>
                <w:sz w:val="18"/>
                <w:szCs w:val="18"/>
                <w:lang w:eastAsia="ko-KR"/>
              </w:rPr>
              <w:t>6.1</w:t>
            </w:r>
          </w:p>
        </w:tc>
        <w:tc>
          <w:tcPr>
            <w:tcW w:w="720" w:type="dxa"/>
            <w:tcBorders>
              <w:bottom w:val="dotted" w:sz="4" w:space="0" w:color="auto"/>
              <w:right w:val="dotted" w:sz="4" w:space="0" w:color="auto"/>
            </w:tcBorders>
            <w:vAlign w:val="center"/>
          </w:tcPr>
          <w:p w14:paraId="24087036"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+100.0</w:t>
            </w:r>
          </w:p>
        </w:tc>
        <w:tc>
          <w:tcPr>
            <w:tcW w:w="720" w:type="dxa"/>
            <w:tcBorders>
              <w:left w:val="dotted" w:sz="4" w:space="0" w:color="auto"/>
              <w:bottom w:val="dotted" w:sz="4" w:space="0" w:color="auto"/>
              <w:right w:val="single" w:sz="8" w:space="0" w:color="auto"/>
            </w:tcBorders>
            <w:vAlign w:val="center"/>
          </w:tcPr>
          <w:p w14:paraId="72C59876"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0.0</w:t>
            </w:r>
          </w:p>
        </w:tc>
        <w:tc>
          <w:tcPr>
            <w:tcW w:w="630" w:type="dxa"/>
            <w:tcBorders>
              <w:left w:val="single" w:sz="8" w:space="0" w:color="auto"/>
              <w:bottom w:val="dotted" w:sz="4" w:space="0" w:color="auto"/>
              <w:right w:val="dotted" w:sz="4" w:space="0" w:color="auto"/>
            </w:tcBorders>
            <w:vAlign w:val="center"/>
          </w:tcPr>
          <w:p w14:paraId="2176E6B2"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23.98</w:t>
            </w:r>
          </w:p>
        </w:tc>
        <w:tc>
          <w:tcPr>
            <w:tcW w:w="540" w:type="dxa"/>
            <w:tcBorders>
              <w:left w:val="dotted" w:sz="4" w:space="0" w:color="auto"/>
              <w:bottom w:val="dotted" w:sz="4" w:space="0" w:color="auto"/>
            </w:tcBorders>
            <w:vAlign w:val="center"/>
          </w:tcPr>
          <w:p w14:paraId="697D1001"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89.24</w:t>
            </w:r>
          </w:p>
        </w:tc>
        <w:tc>
          <w:tcPr>
            <w:tcW w:w="630" w:type="dxa"/>
            <w:tcBorders>
              <w:bottom w:val="dotted" w:sz="4" w:space="0" w:color="auto"/>
            </w:tcBorders>
            <w:vAlign w:val="center"/>
          </w:tcPr>
          <w:p w14:paraId="7DDBF24B"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272.1</w:t>
            </w:r>
          </w:p>
        </w:tc>
        <w:tc>
          <w:tcPr>
            <w:tcW w:w="540" w:type="dxa"/>
            <w:tcBorders>
              <w:bottom w:val="dotted" w:sz="4" w:space="0" w:color="auto"/>
              <w:right w:val="dotted" w:sz="4" w:space="0" w:color="auto"/>
            </w:tcBorders>
            <w:vAlign w:val="center"/>
          </w:tcPr>
          <w:p w14:paraId="79EB11B7"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+17.1</w:t>
            </w:r>
          </w:p>
        </w:tc>
        <w:tc>
          <w:tcPr>
            <w:tcW w:w="540" w:type="dxa"/>
            <w:tcBorders>
              <w:left w:val="dotted" w:sz="4" w:space="0" w:color="auto"/>
              <w:bottom w:val="dotted" w:sz="4" w:space="0" w:color="auto"/>
              <w:right w:val="dotted" w:sz="4" w:space="0" w:color="auto"/>
            </w:tcBorders>
            <w:vAlign w:val="center"/>
          </w:tcPr>
          <w:p w14:paraId="4A139E07" w14:textId="4009A6FC"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+82.9</w:t>
            </w:r>
          </w:p>
        </w:tc>
        <w:tc>
          <w:tcPr>
            <w:tcW w:w="630" w:type="dxa"/>
            <w:tcBorders>
              <w:left w:val="dotted" w:sz="4" w:space="0" w:color="auto"/>
              <w:bottom w:val="dotted" w:sz="4" w:space="0" w:color="auto"/>
              <w:right w:val="double" w:sz="4" w:space="0" w:color="auto"/>
            </w:tcBorders>
            <w:vAlign w:val="center"/>
          </w:tcPr>
          <w:p w14:paraId="6DA258D1" w14:textId="7BE899B8"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0.0</w:t>
            </w:r>
          </w:p>
        </w:tc>
      </w:tr>
      <w:tr w:rsidR="002E55DE" w:rsidRPr="002E55DE" w14:paraId="07C4DF3D" w14:textId="77777777" w:rsidTr="003958E9">
        <w:trPr>
          <w:trHeight w:val="561"/>
        </w:trPr>
        <w:tc>
          <w:tcPr>
            <w:tcW w:w="1425" w:type="dxa"/>
            <w:tcBorders>
              <w:top w:val="dotted" w:sz="4" w:space="0" w:color="auto"/>
              <w:left w:val="double" w:sz="4" w:space="0" w:color="auto"/>
              <w:bottom w:val="double" w:sz="4" w:space="0" w:color="auto"/>
              <w:right w:val="dotted" w:sz="4" w:space="0" w:color="auto"/>
            </w:tcBorders>
            <w:vAlign w:val="center"/>
          </w:tcPr>
          <w:p w14:paraId="256D89AC" w14:textId="77777777" w:rsidR="00E81D13" w:rsidRPr="002E55DE" w:rsidRDefault="00E81D13" w:rsidP="00A11B74">
            <w:pPr>
              <w:rPr>
                <w:rFonts w:ascii="Times New Roman" w:hAnsi="Times New Roman"/>
                <w:sz w:val="18"/>
                <w:szCs w:val="18"/>
              </w:rPr>
            </w:pPr>
            <w:r w:rsidRPr="002E55DE">
              <w:rPr>
                <w:rFonts w:ascii="Times New Roman" w:hAnsi="Times New Roman" w:hint="eastAsia"/>
                <w:sz w:val="18"/>
                <w:szCs w:val="18"/>
              </w:rPr>
              <w:t>Frequency</w:t>
            </w:r>
          </w:p>
        </w:tc>
        <w:tc>
          <w:tcPr>
            <w:tcW w:w="1350" w:type="dxa"/>
            <w:tcBorders>
              <w:top w:val="dotted" w:sz="4" w:space="0" w:color="auto"/>
              <w:left w:val="dotted" w:sz="4" w:space="0" w:color="auto"/>
              <w:bottom w:val="double" w:sz="4" w:space="0" w:color="auto"/>
              <w:right w:val="dotted" w:sz="4" w:space="0" w:color="auto"/>
            </w:tcBorders>
            <w:vAlign w:val="center"/>
          </w:tcPr>
          <w:p w14:paraId="76474B2C" w14:textId="77777777" w:rsidR="00E81D13" w:rsidRPr="002E55DE" w:rsidRDefault="00E81D13" w:rsidP="00A11B74">
            <w:pPr>
              <w:rPr>
                <w:rFonts w:ascii="Times New Roman" w:hAnsi="Times New Roman"/>
                <w:sz w:val="18"/>
                <w:szCs w:val="18"/>
              </w:rPr>
            </w:pPr>
            <w:r w:rsidRPr="002E55DE">
              <w:rPr>
                <w:rFonts w:ascii="Times New Roman" w:hAnsi="Times New Roman" w:hint="eastAsia"/>
                <w:sz w:val="18"/>
                <w:szCs w:val="18"/>
              </w:rPr>
              <w:t>Less than 3 times a week</w:t>
            </w:r>
          </w:p>
        </w:tc>
        <w:tc>
          <w:tcPr>
            <w:tcW w:w="1530" w:type="dxa"/>
            <w:tcBorders>
              <w:top w:val="dotted" w:sz="4" w:space="0" w:color="auto"/>
              <w:left w:val="dotted" w:sz="4" w:space="0" w:color="auto"/>
              <w:bottom w:val="double" w:sz="4" w:space="0" w:color="auto"/>
              <w:right w:val="single" w:sz="8" w:space="0" w:color="auto"/>
            </w:tcBorders>
            <w:vAlign w:val="center"/>
          </w:tcPr>
          <w:p w14:paraId="281BBFF6" w14:textId="77777777" w:rsidR="00E81D13" w:rsidRPr="002E55DE" w:rsidRDefault="00E81D13" w:rsidP="00A11B74">
            <w:pPr>
              <w:rPr>
                <w:rFonts w:ascii="Times New Roman" w:hAnsi="Times New Roman"/>
                <w:sz w:val="18"/>
                <w:szCs w:val="18"/>
              </w:rPr>
            </w:pPr>
            <w:r w:rsidRPr="002E55DE">
              <w:rPr>
                <w:rFonts w:ascii="Times New Roman" w:hAnsi="Times New Roman" w:hint="eastAsia"/>
                <w:sz w:val="18"/>
                <w:szCs w:val="18"/>
              </w:rPr>
              <w:t>3 times a week or more</w:t>
            </w:r>
          </w:p>
        </w:tc>
        <w:tc>
          <w:tcPr>
            <w:tcW w:w="720" w:type="dxa"/>
            <w:tcBorders>
              <w:top w:val="dotted" w:sz="4" w:space="0" w:color="auto"/>
              <w:left w:val="single" w:sz="8" w:space="0" w:color="auto"/>
              <w:bottom w:val="double" w:sz="4" w:space="0" w:color="auto"/>
              <w:right w:val="dotted" w:sz="4" w:space="0" w:color="auto"/>
            </w:tcBorders>
            <w:vAlign w:val="center"/>
          </w:tcPr>
          <w:p w14:paraId="4BA00646"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30" w:type="dxa"/>
            <w:tcBorders>
              <w:top w:val="dotted" w:sz="4" w:space="0" w:color="auto"/>
              <w:left w:val="dotted" w:sz="4" w:space="0" w:color="auto"/>
              <w:bottom w:val="double" w:sz="4" w:space="0" w:color="auto"/>
              <w:right w:val="single" w:sz="6" w:space="0" w:color="auto"/>
            </w:tcBorders>
            <w:vAlign w:val="center"/>
          </w:tcPr>
          <w:p w14:paraId="551D9753"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30" w:type="dxa"/>
            <w:tcBorders>
              <w:top w:val="dotted" w:sz="4" w:space="0" w:color="auto"/>
              <w:left w:val="single" w:sz="6" w:space="0" w:color="auto"/>
              <w:bottom w:val="double" w:sz="4" w:space="0" w:color="auto"/>
              <w:right w:val="single" w:sz="8" w:space="0" w:color="auto"/>
            </w:tcBorders>
            <w:vAlign w:val="center"/>
          </w:tcPr>
          <w:p w14:paraId="6B433A92"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23" w:type="dxa"/>
            <w:tcBorders>
              <w:top w:val="dotted" w:sz="4" w:space="0" w:color="auto"/>
              <w:left w:val="single" w:sz="8" w:space="0" w:color="auto"/>
              <w:bottom w:val="double" w:sz="4" w:space="0" w:color="auto"/>
              <w:right w:val="dotted" w:sz="4" w:space="0" w:color="auto"/>
            </w:tcBorders>
            <w:vAlign w:val="center"/>
          </w:tcPr>
          <w:p w14:paraId="0D2AD0B4"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477" w:type="dxa"/>
            <w:tcBorders>
              <w:top w:val="dotted" w:sz="4" w:space="0" w:color="auto"/>
              <w:left w:val="dotted" w:sz="4" w:space="0" w:color="auto"/>
              <w:bottom w:val="double" w:sz="4" w:space="0" w:color="auto"/>
            </w:tcBorders>
            <w:vAlign w:val="center"/>
          </w:tcPr>
          <w:p w14:paraId="3E953EF7"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520" w:type="dxa"/>
            <w:tcBorders>
              <w:top w:val="dotted" w:sz="4" w:space="0" w:color="auto"/>
              <w:bottom w:val="double" w:sz="4" w:space="0" w:color="auto"/>
            </w:tcBorders>
            <w:vAlign w:val="center"/>
          </w:tcPr>
          <w:p w14:paraId="7E9D5EB2"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720" w:type="dxa"/>
            <w:tcBorders>
              <w:top w:val="dotted" w:sz="4" w:space="0" w:color="auto"/>
              <w:bottom w:val="double" w:sz="4" w:space="0" w:color="auto"/>
              <w:right w:val="dotted" w:sz="4" w:space="0" w:color="auto"/>
            </w:tcBorders>
            <w:vAlign w:val="center"/>
          </w:tcPr>
          <w:p w14:paraId="7646D21D"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720" w:type="dxa"/>
            <w:tcBorders>
              <w:top w:val="dotted" w:sz="4" w:space="0" w:color="auto"/>
              <w:left w:val="dotted" w:sz="4" w:space="0" w:color="auto"/>
              <w:bottom w:val="double" w:sz="4" w:space="0" w:color="auto"/>
              <w:right w:val="single" w:sz="8" w:space="0" w:color="auto"/>
            </w:tcBorders>
            <w:vAlign w:val="center"/>
          </w:tcPr>
          <w:p w14:paraId="15F7A1B1"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w:t>
            </w:r>
          </w:p>
        </w:tc>
        <w:tc>
          <w:tcPr>
            <w:tcW w:w="630" w:type="dxa"/>
            <w:tcBorders>
              <w:top w:val="dotted" w:sz="4" w:space="0" w:color="auto"/>
              <w:left w:val="single" w:sz="8" w:space="0" w:color="auto"/>
              <w:bottom w:val="double" w:sz="4" w:space="0" w:color="auto"/>
              <w:right w:val="dotted" w:sz="4" w:space="0" w:color="auto"/>
            </w:tcBorders>
            <w:vAlign w:val="center"/>
          </w:tcPr>
          <w:p w14:paraId="5802C037"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32.74</w:t>
            </w:r>
          </w:p>
        </w:tc>
        <w:tc>
          <w:tcPr>
            <w:tcW w:w="540" w:type="dxa"/>
            <w:tcBorders>
              <w:top w:val="dotted" w:sz="4" w:space="0" w:color="auto"/>
              <w:left w:val="dotted" w:sz="4" w:space="0" w:color="auto"/>
              <w:bottom w:val="double" w:sz="4" w:space="0" w:color="auto"/>
            </w:tcBorders>
            <w:vAlign w:val="center"/>
          </w:tcPr>
          <w:p w14:paraId="7C94F1AB" w14:textId="77777777"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47.59</w:t>
            </w:r>
          </w:p>
        </w:tc>
        <w:tc>
          <w:tcPr>
            <w:tcW w:w="630" w:type="dxa"/>
            <w:tcBorders>
              <w:top w:val="dotted" w:sz="4" w:space="0" w:color="auto"/>
              <w:bottom w:val="double" w:sz="4" w:space="0" w:color="auto"/>
            </w:tcBorders>
            <w:vAlign w:val="center"/>
          </w:tcPr>
          <w:p w14:paraId="79081857" w14:textId="77777777" w:rsidR="00E81D13" w:rsidRPr="002E55DE" w:rsidRDefault="00E81D13" w:rsidP="00A11B74">
            <w:pPr>
              <w:jc w:val="right"/>
              <w:rPr>
                <w:rFonts w:ascii="Times New Roman" w:hAnsi="Times New Roman"/>
                <w:sz w:val="18"/>
                <w:szCs w:val="18"/>
              </w:rPr>
            </w:pPr>
            <w:r w:rsidRPr="002E55DE">
              <w:rPr>
                <w:rFonts w:ascii="Times New Roman" w:hAnsi="Times New Roman"/>
                <w:sz w:val="18"/>
                <w:szCs w:val="18"/>
              </w:rPr>
              <w:t>45.4</w:t>
            </w:r>
          </w:p>
        </w:tc>
        <w:tc>
          <w:tcPr>
            <w:tcW w:w="540" w:type="dxa"/>
            <w:tcBorders>
              <w:top w:val="dotted" w:sz="4" w:space="0" w:color="auto"/>
              <w:bottom w:val="double" w:sz="4" w:space="0" w:color="auto"/>
              <w:right w:val="dotted" w:sz="4" w:space="0" w:color="auto"/>
            </w:tcBorders>
            <w:vAlign w:val="center"/>
          </w:tcPr>
          <w:p w14:paraId="469ABF1C" w14:textId="71B4067D" w:rsidR="00E81D13" w:rsidRPr="002E55DE" w:rsidRDefault="00F12CDA"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6"/>
                <w:szCs w:val="16"/>
                <w:lang w:eastAsia="ko-KR"/>
              </w:rPr>
              <w:t>+</w:t>
            </w:r>
            <w:r w:rsidRPr="002E55DE">
              <w:rPr>
                <w:rFonts w:ascii="Times New Roman" w:eastAsiaTheme="minorEastAsia" w:hAnsi="Times New Roman" w:hint="eastAsia"/>
                <w:sz w:val="18"/>
                <w:szCs w:val="18"/>
                <w:lang w:eastAsia="ko-KR"/>
              </w:rPr>
              <w:t>10</w:t>
            </w:r>
            <w:r w:rsidR="00E81D13" w:rsidRPr="002E55DE">
              <w:rPr>
                <w:rFonts w:ascii="Times New Roman" w:eastAsiaTheme="minorEastAsia" w:hAnsi="Times New Roman" w:hint="eastAsia"/>
                <w:sz w:val="18"/>
                <w:szCs w:val="18"/>
                <w:lang w:eastAsia="ko-KR"/>
              </w:rPr>
              <w:t>0.0</w:t>
            </w:r>
          </w:p>
        </w:tc>
        <w:tc>
          <w:tcPr>
            <w:tcW w:w="540" w:type="dxa"/>
            <w:tcBorders>
              <w:top w:val="dotted" w:sz="4" w:space="0" w:color="auto"/>
              <w:left w:val="dotted" w:sz="4" w:space="0" w:color="auto"/>
              <w:bottom w:val="double" w:sz="4" w:space="0" w:color="auto"/>
              <w:right w:val="dotted" w:sz="4" w:space="0" w:color="auto"/>
            </w:tcBorders>
            <w:vAlign w:val="center"/>
          </w:tcPr>
          <w:p w14:paraId="39A2789A" w14:textId="5C9FE643" w:rsidR="00E81D13" w:rsidRPr="002E55DE" w:rsidRDefault="00F12CDA"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0.0</w:t>
            </w:r>
          </w:p>
        </w:tc>
        <w:tc>
          <w:tcPr>
            <w:tcW w:w="630" w:type="dxa"/>
            <w:tcBorders>
              <w:top w:val="dotted" w:sz="4" w:space="0" w:color="auto"/>
              <w:left w:val="dotted" w:sz="4" w:space="0" w:color="auto"/>
              <w:bottom w:val="double" w:sz="4" w:space="0" w:color="auto"/>
              <w:right w:val="double" w:sz="4" w:space="0" w:color="auto"/>
            </w:tcBorders>
            <w:vAlign w:val="center"/>
          </w:tcPr>
          <w:p w14:paraId="28F98736" w14:textId="693D935D" w:rsidR="00E81D13" w:rsidRPr="002E55DE" w:rsidRDefault="00E81D13" w:rsidP="00A11B74">
            <w:pPr>
              <w:jc w:val="right"/>
              <w:rPr>
                <w:rFonts w:ascii="Times New Roman" w:eastAsiaTheme="minorEastAsia" w:hAnsi="Times New Roman"/>
                <w:sz w:val="18"/>
                <w:szCs w:val="18"/>
                <w:lang w:eastAsia="ko-KR"/>
              </w:rPr>
            </w:pPr>
            <w:r w:rsidRPr="002E55DE">
              <w:rPr>
                <w:rFonts w:ascii="Times New Roman" w:eastAsiaTheme="minorEastAsia" w:hAnsi="Times New Roman" w:hint="eastAsia"/>
                <w:sz w:val="18"/>
                <w:szCs w:val="18"/>
                <w:lang w:eastAsia="ko-KR"/>
              </w:rPr>
              <w:t>0.0</w:t>
            </w:r>
          </w:p>
        </w:tc>
      </w:tr>
    </w:tbl>
    <w:p w14:paraId="48EF4143" w14:textId="7328C11E" w:rsidR="00DC299F" w:rsidRPr="002E55DE" w:rsidRDefault="00691990" w:rsidP="00CB0AF7">
      <w:pPr>
        <w:jc w:val="both"/>
        <w:rPr>
          <w:rFonts w:ascii="Times New Roman" w:hAnsi="Times New Roman"/>
        </w:rPr>
        <w:sectPr w:rsidR="00DC299F" w:rsidRPr="002E55DE" w:rsidSect="00CA64A4">
          <w:pgSz w:w="15840" w:h="12240" w:orient="landscape"/>
          <w:pgMar w:top="1440" w:right="1440" w:bottom="1440" w:left="1440" w:header="720" w:footer="720" w:gutter="0"/>
          <w:cols w:space="720"/>
          <w:docGrid w:linePitch="360"/>
        </w:sectPr>
      </w:pPr>
      <w:r w:rsidRPr="002E55DE">
        <w:rPr>
          <w:rFonts w:ascii="Times New Roman" w:hAnsi="Times New Roman"/>
          <w:sz w:val="20"/>
          <w:szCs w:val="16"/>
        </w:rPr>
        <w:t>* The percentage contribution of each pathway is determined by the origin of the effects. For example, the indirect effect of companionship on walking duration includes the influence of companionship on walking frequency, which then impacts duration, as well as the influence of companionship itself on duration. The absolute value represents the relative magnitude of the effect from each source, regardless of whether the effect is positive or negative</w:t>
      </w:r>
      <w:r w:rsidR="00F24EE2" w:rsidRPr="002E55DE">
        <w:rPr>
          <w:rFonts w:ascii="Times New Roman" w:hAnsi="Times New Roman"/>
          <w:sz w:val="20"/>
          <w:szCs w:val="16"/>
        </w:rPr>
        <w:t xml:space="preserve">. </w:t>
      </w:r>
    </w:p>
    <w:p w14:paraId="60AE0909" w14:textId="0B1F710C" w:rsidR="00745536" w:rsidRPr="002E55DE" w:rsidRDefault="00631DA5" w:rsidP="00BE402A">
      <w:pPr>
        <w:pStyle w:val="Heading1"/>
        <w:rPr>
          <w:lang w:eastAsia="ko-KR"/>
        </w:rPr>
      </w:pPr>
      <w:r w:rsidRPr="002E55DE">
        <w:rPr>
          <w:lang w:eastAsia="ko-KR"/>
        </w:rPr>
        <w:lastRenderedPageBreak/>
        <w:t>POLICY IMPLICATIONS</w:t>
      </w:r>
    </w:p>
    <w:p w14:paraId="11D7A76F" w14:textId="6DEDFE40" w:rsidR="00D452EC" w:rsidRPr="002E55DE" w:rsidRDefault="00851C48">
      <w:pPr>
        <w:pStyle w:val="whitespace-pre-wrap"/>
        <w:spacing w:before="0" w:beforeAutospacing="0" w:after="0" w:afterAutospacing="0"/>
        <w:jc w:val="both"/>
      </w:pPr>
      <w:r w:rsidRPr="002E55DE">
        <w:t>Building on the ATE analysis findings, t</w:t>
      </w:r>
      <w:r w:rsidR="00D452EC" w:rsidRPr="002E55DE">
        <w:t xml:space="preserve">his section </w:t>
      </w:r>
      <w:r w:rsidR="00AA00B5" w:rsidRPr="002E55DE">
        <w:t>identifies potential interventions</w:t>
      </w:r>
      <w:r w:rsidR="002001B0" w:rsidRPr="002E55DE">
        <w:t xml:space="preserve"> to promote walking through tailored initiatives that emphasize social companionship, infrastructure</w:t>
      </w:r>
      <w:r w:rsidR="00AA00B5" w:rsidRPr="002E55DE">
        <w:t xml:space="preserve"> and </w:t>
      </w:r>
      <w:r w:rsidR="002001B0" w:rsidRPr="002E55DE">
        <w:t xml:space="preserve">BE improvements, and </w:t>
      </w:r>
      <w:r w:rsidR="00980F3A" w:rsidRPr="002E55DE">
        <w:t>t</w:t>
      </w:r>
      <w:r w:rsidR="00426A6E" w:rsidRPr="002E55DE">
        <w:t xml:space="preserve">echnology and </w:t>
      </w:r>
      <w:r w:rsidR="002001B0" w:rsidRPr="002E55DE">
        <w:t>awareness</w:t>
      </w:r>
      <w:r w:rsidR="00AA00B5" w:rsidRPr="002E55DE">
        <w:t xml:space="preserve"> </w:t>
      </w:r>
      <w:r w:rsidR="002001B0" w:rsidRPr="002E55DE">
        <w:t xml:space="preserve">programs, as illustrated in Figure 2. The figure highlights </w:t>
      </w:r>
      <w:r w:rsidR="00426A6E" w:rsidRPr="002E55DE">
        <w:t xml:space="preserve">the </w:t>
      </w:r>
      <w:r w:rsidR="002001B0" w:rsidRPr="002E55DE">
        <w:t>three primary policy strategies (left panel), identifies the target populations most likely to benefit from these strategies based on our findings (middle panel), and outlines the key implementation partners essential for putting these policies into practice (right panel). Each of these components is discussed in detail in the following sections.</w:t>
      </w:r>
      <w:r w:rsidR="002001B0" w:rsidRPr="002E55DE" w:rsidDel="002001B0">
        <w:t xml:space="preserve"> </w:t>
      </w:r>
    </w:p>
    <w:p w14:paraId="58B6B71A" w14:textId="694392C4" w:rsidR="00662E40" w:rsidRPr="002E55DE" w:rsidRDefault="00662E40" w:rsidP="00662E40">
      <w:pPr>
        <w:pStyle w:val="whitespace-pre-wrap"/>
        <w:spacing w:before="0" w:beforeAutospacing="0" w:after="0" w:afterAutospacing="0"/>
        <w:jc w:val="both"/>
      </w:pPr>
    </w:p>
    <w:p w14:paraId="606258C5" w14:textId="69160A1E" w:rsidR="00C1629F" w:rsidRPr="002E55DE" w:rsidRDefault="00EB41E3" w:rsidP="00662E40">
      <w:pPr>
        <w:pStyle w:val="whitespace-pre-wrap"/>
        <w:spacing w:before="0" w:beforeAutospacing="0" w:after="0" w:afterAutospacing="0"/>
        <w:jc w:val="both"/>
      </w:pPr>
      <w:r w:rsidRPr="002E55DE">
        <w:rPr>
          <w:noProof/>
        </w:rPr>
        <w:drawing>
          <wp:inline distT="0" distB="0" distL="0" distR="0" wp14:anchorId="4E86D191" wp14:editId="59786BE3">
            <wp:extent cx="5943600" cy="2763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5"/>
                    <a:stretch>
                      <a:fillRect/>
                    </a:stretch>
                  </pic:blipFill>
                  <pic:spPr>
                    <a:xfrm>
                      <a:off x="0" y="0"/>
                      <a:ext cx="5943600" cy="2763520"/>
                    </a:xfrm>
                    <a:prstGeom prst="rect">
                      <a:avLst/>
                    </a:prstGeom>
                  </pic:spPr>
                </pic:pic>
              </a:graphicData>
            </a:graphic>
          </wp:inline>
        </w:drawing>
      </w:r>
    </w:p>
    <w:p w14:paraId="19998608" w14:textId="0FA367FA" w:rsidR="00C1629F" w:rsidRPr="002E55DE" w:rsidRDefault="002001B0" w:rsidP="00BE402A">
      <w:pPr>
        <w:pStyle w:val="Caption"/>
        <w:jc w:val="center"/>
        <w:rPr>
          <w:b/>
          <w:bCs/>
          <w:color w:val="auto"/>
        </w:rPr>
      </w:pPr>
      <w:r w:rsidRPr="002E55DE">
        <w:rPr>
          <w:rFonts w:ascii="Times New Roman" w:hAnsi="Times New Roman"/>
          <w:b/>
          <w:bCs/>
          <w:i w:val="0"/>
          <w:iCs w:val="0"/>
          <w:color w:val="auto"/>
          <w:sz w:val="24"/>
          <w:szCs w:val="24"/>
        </w:rPr>
        <w:t>Figure 2. Conceptual Diagram Illustrating Policy Suggestions</w:t>
      </w:r>
    </w:p>
    <w:p w14:paraId="20B27D94" w14:textId="3EFA7797" w:rsidR="00FE6939" w:rsidRPr="002E55DE" w:rsidRDefault="00FD0357" w:rsidP="00742170">
      <w:pPr>
        <w:pStyle w:val="Heading2"/>
        <w:ind w:hanging="540"/>
        <w:rPr>
          <w:lang w:eastAsia="ko-KR"/>
        </w:rPr>
      </w:pPr>
      <w:r w:rsidRPr="002E55DE">
        <w:rPr>
          <w:lang w:eastAsia="ko-KR"/>
        </w:rPr>
        <w:t xml:space="preserve">Promoting </w:t>
      </w:r>
      <w:r w:rsidR="00FE6939" w:rsidRPr="002E55DE">
        <w:rPr>
          <w:lang w:eastAsia="ko-KR"/>
        </w:rPr>
        <w:t>Soc</w:t>
      </w:r>
      <w:r w:rsidRPr="002E55DE">
        <w:rPr>
          <w:lang w:eastAsia="ko-KR"/>
        </w:rPr>
        <w:t xml:space="preserve">ial </w:t>
      </w:r>
      <w:r w:rsidR="00FE6939" w:rsidRPr="002E55DE">
        <w:rPr>
          <w:lang w:eastAsia="ko-KR"/>
        </w:rPr>
        <w:t>Companionship</w:t>
      </w:r>
      <w:r w:rsidRPr="002E55DE">
        <w:rPr>
          <w:lang w:eastAsia="ko-KR"/>
        </w:rPr>
        <w:t xml:space="preserve"> in Walking</w:t>
      </w:r>
    </w:p>
    <w:p w14:paraId="2666A2AF" w14:textId="2E167411" w:rsidR="003F7A2B" w:rsidRPr="002E55DE" w:rsidRDefault="00851C48" w:rsidP="00662E40">
      <w:pPr>
        <w:pStyle w:val="whitespace-pre-wrap"/>
        <w:spacing w:before="0" w:beforeAutospacing="0" w:after="0" w:afterAutospacing="0"/>
        <w:jc w:val="both"/>
      </w:pPr>
      <w:r w:rsidRPr="002E55DE">
        <w:t>Social</w:t>
      </w:r>
      <w:r w:rsidR="00D452EC" w:rsidRPr="002E55DE">
        <w:t xml:space="preserve"> companionship </w:t>
      </w:r>
      <w:r w:rsidR="000A6987" w:rsidRPr="002E55DE">
        <w:t xml:space="preserve">dominates over all other demographic effects in promoting walking frequency and duration, as clearly observed from the total ATE effects in Table 6. This has not been lost on major health organizations, such as the American Heart Association and the British Heart Foundation, </w:t>
      </w:r>
      <w:r w:rsidR="003F7A2B" w:rsidRPr="002E55DE">
        <w:t xml:space="preserve">which </w:t>
      </w:r>
      <w:r w:rsidR="000A6987" w:rsidRPr="002E55DE">
        <w:t>recommend group walking as a beneficial and enjoyable way to promote physical activity</w:t>
      </w:r>
      <w:r w:rsidR="000A6987" w:rsidRPr="002E55DE">
        <w:rPr>
          <w:rFonts w:eastAsiaTheme="minorEastAsia" w:hint="eastAsia"/>
          <w:lang w:eastAsia="ko-KR"/>
        </w:rPr>
        <w:t xml:space="preserve"> </w:t>
      </w:r>
      <w:r w:rsidR="000A6987"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{"citationID":"qffKcNqg","properties":{"formattedCitation":"(American Heart Association, 2024; British Heart Foundation, 2024)","plainCitation":"(American Heart Association, 2024; British Heart Foundation, 2024)","dontUpdate":true,"noteIndex":0},"citationItems":[{"id":"4nY7bDZH/1HceJnuY","uris":["http://zotero.org/users/10132210/items/TAZ7KGET"],"itemData":{"id":1151,"type":"post-weblog","title":"Start or Join a Walking Club","URL":"https://www.heart.org/en/healthy-living/fitness/walking/start-or-join-a-walking-club","author":[{"family":"American Heart Association","given":""}],"issued":{"date-parts":[["2024"]]}}},{"id":"4nY7bDZH/YpKE14qK","uris":["http://zotero.org/users/10132210/items/M3MEUZD8"],"itemData":{"id":1152,"type":"post-weblog","title":"How a walking group can help you to get moving","URL":"https://www.bhf.org.uk/informationsupport/heart-matters-magazine/activity/walking/walking-groups","author":[{"family":"British Heart Foundation","given":""}],"accessed":{"date-parts":[["2024",6,1]]},"issued":{"date-parts":[["2024"]]}}}],"schema":"https://github.com/citation-style-language/schema/raw/master/csl-citation.json"} </w:instrText>
      </w:r>
      <w:r w:rsidR="000A6987" w:rsidRPr="002E55DE">
        <w:rPr>
          <w:rFonts w:eastAsiaTheme="minorEastAsia"/>
          <w:lang w:eastAsia="ko-KR"/>
        </w:rPr>
        <w:fldChar w:fldCharType="separate"/>
      </w:r>
      <w:r w:rsidR="000A6987" w:rsidRPr="002E55DE">
        <w:rPr>
          <w:rFonts w:eastAsiaTheme="minorEastAsia"/>
        </w:rPr>
        <w:t>(American Heart Association, 2024, and British Heart Foundation, 2024)</w:t>
      </w:r>
      <w:r w:rsidR="000A6987" w:rsidRPr="002E55DE">
        <w:rPr>
          <w:rFonts w:eastAsiaTheme="minorEastAsia"/>
          <w:lang w:eastAsia="ko-KR"/>
        </w:rPr>
        <w:fldChar w:fldCharType="end"/>
      </w:r>
      <w:r w:rsidR="000A6987" w:rsidRPr="002E55DE">
        <w:t xml:space="preserve">. </w:t>
      </w:r>
      <w:r w:rsidR="003F7A2B" w:rsidRPr="002E55DE">
        <w:t xml:space="preserve">However, until this study, there has been little quantification of this benefit, as we are able to do using our ATE analysis. Further, </w:t>
      </w:r>
      <w:r w:rsidR="000A6987" w:rsidRPr="002E55DE">
        <w:t>Table 6 reveals that specific groups do tend to walk less or more in groups</w:t>
      </w:r>
      <w:r w:rsidR="003F7A2B" w:rsidRPr="002E55DE">
        <w:t xml:space="preserve">; </w:t>
      </w:r>
      <w:r w:rsidR="000A6987" w:rsidRPr="002E55DE">
        <w:t>Black individuals, those employed, and single adult</w:t>
      </w:r>
      <w:r w:rsidR="000F73C7" w:rsidRPr="002E55DE">
        <w:t>s</w:t>
      </w:r>
      <w:r w:rsidR="005C1D19" w:rsidRPr="002E55DE">
        <w:t xml:space="preserve"> without children</w:t>
      </w:r>
      <w:r w:rsidR="000A6987" w:rsidRPr="002E55DE">
        <w:t xml:space="preserve"> walk less in groups, </w:t>
      </w:r>
      <w:r w:rsidR="000F73C7" w:rsidRPr="002E55DE">
        <w:t xml:space="preserve">while </w:t>
      </w:r>
      <w:r w:rsidR="000A6987" w:rsidRPr="002E55DE">
        <w:t xml:space="preserve">those in households with children walk more as a group. No significant difference is found in group walking </w:t>
      </w:r>
      <w:r w:rsidR="003F7A2B" w:rsidRPr="002E55DE">
        <w:t xml:space="preserve">behavior </w:t>
      </w:r>
      <w:r w:rsidR="000A6987" w:rsidRPr="002E55DE">
        <w:t xml:space="preserve">based on age and gender. </w:t>
      </w:r>
      <w:r w:rsidR="003F7A2B" w:rsidRPr="002E55DE">
        <w:t xml:space="preserve">Nudging individuals to walk in groups within any </w:t>
      </w:r>
      <w:r w:rsidR="000A6987" w:rsidRPr="002E55DE">
        <w:t>of the</w:t>
      </w:r>
      <w:r w:rsidR="000F73C7" w:rsidRPr="002E55DE">
        <w:t xml:space="preserve"> above </w:t>
      </w:r>
      <w:r w:rsidR="000A6987" w:rsidRPr="002E55DE">
        <w:t xml:space="preserve">population segments </w:t>
      </w:r>
      <w:r w:rsidR="000F73C7" w:rsidRPr="002E55DE">
        <w:t xml:space="preserve">should be beneficial </w:t>
      </w:r>
      <w:r w:rsidR="003F7A2B" w:rsidRPr="002E55DE">
        <w:t>in addressing physical activity deficits and inequities</w:t>
      </w:r>
      <w:r w:rsidR="000A6987" w:rsidRPr="002E55DE">
        <w:t xml:space="preserve">, as we selectively discuss below. </w:t>
      </w:r>
    </w:p>
    <w:p w14:paraId="68CD3E9F" w14:textId="0C469EFB" w:rsidR="00D452EC" w:rsidRPr="002E55DE" w:rsidRDefault="00D452EC" w:rsidP="00662E40">
      <w:pPr>
        <w:pStyle w:val="whitespace-pre-wrap"/>
        <w:spacing w:before="0" w:beforeAutospacing="0" w:after="0" w:afterAutospacing="0"/>
        <w:ind w:firstLine="720"/>
        <w:jc w:val="both"/>
      </w:pPr>
      <w:r w:rsidRPr="002E55DE">
        <w:t xml:space="preserve">Starting with age disparities, although there is no difference in </w:t>
      </w:r>
      <w:r w:rsidR="00D1345E" w:rsidRPr="002E55DE">
        <w:t xml:space="preserve">the frequency of walking with companions </w:t>
      </w:r>
      <w:r w:rsidRPr="002E55DE">
        <w:t>between those aged 50-64 and senior</w:t>
      </w:r>
      <w:r w:rsidR="002740C5" w:rsidRPr="002E55DE">
        <w:rPr>
          <w:rFonts w:eastAsiaTheme="minorEastAsia" w:hint="eastAsia"/>
          <w:lang w:eastAsia="ko-KR"/>
        </w:rPr>
        <w:t>s</w:t>
      </w:r>
      <w:r w:rsidRPr="002E55DE">
        <w:t>, the older group exhibits lower walking frequency and duration</w:t>
      </w:r>
      <w:r w:rsidR="00945070" w:rsidRPr="002E55DE">
        <w:t xml:space="preserve"> levels</w:t>
      </w:r>
      <w:r w:rsidRPr="002E55DE">
        <w:t xml:space="preserve">. For individuals aged 65 and over, </w:t>
      </w:r>
      <w:r w:rsidRPr="002E55DE">
        <w:rPr>
          <w:rFonts w:eastAsiaTheme="minorEastAsia" w:hint="eastAsia"/>
          <w:lang w:eastAsia="ko-KR"/>
        </w:rPr>
        <w:t>significant barriers such as reduced mobility</w:t>
      </w:r>
      <w:r w:rsidRPr="002E55DE">
        <w:rPr>
          <w:rFonts w:eastAsiaTheme="minorEastAsia"/>
          <w:lang w:eastAsia="ko-KR"/>
        </w:rPr>
        <w:t xml:space="preserve"> and</w:t>
      </w:r>
      <w:r w:rsidRPr="002E55DE">
        <w:rPr>
          <w:rFonts w:eastAsiaTheme="minorEastAsia" w:hint="eastAsia"/>
          <w:lang w:eastAsia="ko-KR"/>
        </w:rPr>
        <w:t xml:space="preserve"> s</w:t>
      </w:r>
      <w:r w:rsidRPr="002E55DE">
        <w:t xml:space="preserve">afety concerns, particularly the fear of falling or getting hurt, can result in decreased walking. This initiates a </w:t>
      </w:r>
      <w:r w:rsidR="00945070" w:rsidRPr="002E55DE">
        <w:t xml:space="preserve">negative snowballing </w:t>
      </w:r>
      <w:r w:rsidRPr="002E55DE">
        <w:t xml:space="preserve">cycle where lower walking levels diminish physical ability, </w:t>
      </w:r>
      <w:r w:rsidR="00945070" w:rsidRPr="002E55DE">
        <w:t xml:space="preserve">that then </w:t>
      </w:r>
      <w:r w:rsidRPr="002E55DE">
        <w:t>lead</w:t>
      </w:r>
      <w:r w:rsidR="00945070" w:rsidRPr="002E55DE">
        <w:t xml:space="preserve">s </w:t>
      </w:r>
      <w:r w:rsidRPr="002E55DE">
        <w:t xml:space="preserve">to </w:t>
      </w:r>
      <w:r w:rsidR="00945070" w:rsidRPr="002E55DE">
        <w:t xml:space="preserve">even less walking, </w:t>
      </w:r>
      <w:r w:rsidR="006F6F47" w:rsidRPr="002E55DE">
        <w:t xml:space="preserve">which further </w:t>
      </w:r>
      <w:r w:rsidR="00945070" w:rsidRPr="002E55DE">
        <w:t>continues the downward spiral</w:t>
      </w:r>
      <w:r w:rsidRPr="002E55DE">
        <w:rPr>
          <w:rFonts w:eastAsiaTheme="minorEastAsia" w:hint="eastAsia"/>
          <w:lang w:eastAsia="ko-KR"/>
        </w:rPr>
        <w:t xml:space="preserve"> </w:t>
      </w:r>
      <w:r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{"citationID":"GWm2KpNV","properties":{"formattedCitation":"(Freiberger et al., 2020)","plainCitation":"(Freiberger et al., 2020)","noteIndex":0},"citationItems":[{"id":"4nY7bDZH/tfUNPPry","uris":["http://zotero.org/users/10132210/items/528SBUCI"],"itemData":{"id":1154,"type":"article-journal","abstract":"Due to the demographic changes and the increasing awareness of the role of physical function, mobility in older age is becoming an important topic. Mobility limitations have been reported as increasingly prevalent in older persons affecting about 35% of persons aged 70 and the majority of persons over 85 years. Mobility limitations have been associated with increased fall risk, hospitalization, a decreased quality of life, and even mortality. As concepts of mobility are multifactorial and complex, in this narrative review, deﬁnitions, physical factors, and their age-related changes associated with mobility will be presented. Also, areas of cognitive decline and their impact on mobility, as well as neuromuscular factors related to mobility will be addressed. Another section will relate psychological factors such as Fall-related psychological concerns and sedentary behavior to mobility. Assessment of mobility as well as effective exercise interventions are only shortly addressed. In the last part, gaps and future work on mobility in older persons are discussed.","container-title":"Frontiers in Physiology","DOI":"10.3389/fphys.2020.00881","ISSN":"1664-042X","journalAbbreviation":"Front. Physiol.","language":"en","page":"881","source":"DOI.org (Crossref)","title":"Mobility in Older Community-Dwelling Persons: A Narrative Review","title-short":"Mobility in Older Community-Dwelling Persons","volume":"11","author":[{"family":"Freiberger","given":"Ellen"},{"family":"Sieber","given":"Cornel Christian"},{"family":"Kob","given":"Robert"}],"issued":{"date-parts":[["2020",9,15]]}}}],"schema":"https://github.com/citation-style-language/schema/raw/master/csl-citation.json"} </w:instrText>
      </w:r>
      <w:r w:rsidRPr="002E55DE">
        <w:rPr>
          <w:rFonts w:eastAsiaTheme="minorEastAsia"/>
          <w:lang w:eastAsia="ko-KR"/>
        </w:rPr>
        <w:fldChar w:fldCharType="separate"/>
      </w:r>
      <w:r w:rsidRPr="002E55DE">
        <w:rPr>
          <w:rFonts w:eastAsiaTheme="minorEastAsia"/>
        </w:rPr>
        <w:t>(Freiberger et al., 2020)</w:t>
      </w:r>
      <w:r w:rsidRPr="002E55DE">
        <w:rPr>
          <w:rFonts w:eastAsiaTheme="minorEastAsia"/>
          <w:lang w:eastAsia="ko-KR"/>
        </w:rPr>
        <w:fldChar w:fldCharType="end"/>
      </w:r>
      <w:r w:rsidRPr="002E55DE">
        <w:rPr>
          <w:rFonts w:eastAsiaTheme="minorEastAsia" w:hint="eastAsia"/>
          <w:lang w:eastAsia="ko-KR"/>
        </w:rPr>
        <w:t>. G</w:t>
      </w:r>
      <w:r w:rsidRPr="002E55DE">
        <w:t xml:space="preserve">roup walking initiatives and buddy systems </w:t>
      </w:r>
      <w:r w:rsidR="00945070" w:rsidRPr="002E55DE">
        <w:t xml:space="preserve">can help </w:t>
      </w:r>
      <w:r w:rsidR="00945070" w:rsidRPr="002E55DE">
        <w:lastRenderedPageBreak/>
        <w:t xml:space="preserve">break this cycle, </w:t>
      </w:r>
      <w:r w:rsidRPr="002E55DE">
        <w:t>provid</w:t>
      </w:r>
      <w:r w:rsidR="00945070" w:rsidRPr="002E55DE">
        <w:t>ing</w:t>
      </w:r>
      <w:r w:rsidRPr="002E55DE">
        <w:t xml:space="preserve"> support, shared experiences, and guidance from </w:t>
      </w:r>
      <w:r w:rsidR="00851C48" w:rsidRPr="002E55DE">
        <w:t xml:space="preserve">group </w:t>
      </w:r>
      <w:r w:rsidRPr="002E55DE">
        <w:t>leaders on safe</w:t>
      </w:r>
      <w:r w:rsidR="00945070" w:rsidRPr="002E55DE">
        <w:t>/</w:t>
      </w:r>
      <w:r w:rsidRPr="002E55DE">
        <w:t>accessible routes to alleviate fears</w:t>
      </w:r>
      <w:r w:rsidR="00945070" w:rsidRPr="002E55DE">
        <w:t xml:space="preserve"> and </w:t>
      </w:r>
      <w:r w:rsidR="000F73C7" w:rsidRPr="002E55DE">
        <w:t xml:space="preserve">instill </w:t>
      </w:r>
      <w:r w:rsidRPr="002E55DE">
        <w:t>a sense of security</w:t>
      </w:r>
      <w:r w:rsidR="00945070" w:rsidRPr="002E55DE">
        <w:t>.</w:t>
      </w:r>
      <w:r w:rsidRPr="002E55DE">
        <w:t xml:space="preserve"> Having a regular walking partner also promotes accountability and motivation</w:t>
      </w:r>
      <w:r w:rsidR="00945070" w:rsidRPr="002E55DE">
        <w:t xml:space="preserve"> for an active lifestyle</w:t>
      </w:r>
      <w:r w:rsidRPr="002E55DE">
        <w:t>. Policymakers can</w:t>
      </w:r>
      <w:r w:rsidR="00945070" w:rsidRPr="002E55DE">
        <w:t xml:space="preserve"> </w:t>
      </w:r>
      <w:r w:rsidRPr="002E55DE">
        <w:t>encourage programs through partnerships with senior centers, parks</w:t>
      </w:r>
      <w:r w:rsidR="000F73C7" w:rsidRPr="002E55DE">
        <w:t>/</w:t>
      </w:r>
      <w:r w:rsidRPr="002E55DE">
        <w:t xml:space="preserve">recreation departments, and healthcare providers. </w:t>
      </w:r>
      <w:r w:rsidR="00945070" w:rsidRPr="002E55DE">
        <w:t xml:space="preserve">These partnerships can take the form of </w:t>
      </w:r>
      <w:r w:rsidRPr="002E55DE">
        <w:t>funding</w:t>
      </w:r>
      <w:r w:rsidR="000F73C7" w:rsidRPr="002E55DE">
        <w:t xml:space="preserve"> </w:t>
      </w:r>
      <w:r w:rsidRPr="002E55DE">
        <w:t>and logistical suppor</w:t>
      </w:r>
      <w:r w:rsidR="00945070" w:rsidRPr="002E55DE">
        <w:t xml:space="preserve">t for the formation of </w:t>
      </w:r>
      <w:r w:rsidRPr="002E55DE">
        <w:t xml:space="preserve">senior-focused walking groups led by trained facilitators </w:t>
      </w:r>
      <w:r w:rsidR="00945070" w:rsidRPr="002E55DE">
        <w:t xml:space="preserve">to </w:t>
      </w:r>
      <w:r w:rsidRPr="002E55DE">
        <w:t>provide guidance on proper walking techniques, pacing, and safety measures</w:t>
      </w:r>
      <w:r w:rsidR="00945070" w:rsidRPr="002E55DE">
        <w:t>.</w:t>
      </w:r>
    </w:p>
    <w:p w14:paraId="6A525F21" w14:textId="6331356C" w:rsidR="00945070" w:rsidRPr="002E55DE" w:rsidRDefault="00945070" w:rsidP="00662E40">
      <w:pPr>
        <w:pStyle w:val="whitespace-pre-wrap"/>
        <w:spacing w:before="0" w:beforeAutospacing="0" w:after="0" w:afterAutospacing="0"/>
        <w:ind w:firstLine="720"/>
        <w:jc w:val="both"/>
      </w:pPr>
      <w:r w:rsidRPr="002E55DE">
        <w:t>Moving on to gender differences, women often face unique barriers to walking, such as feeling less</w:t>
      </w:r>
      <w:r w:rsidRPr="002E55DE">
        <w:rPr>
          <w:rFonts w:eastAsiaTheme="minorEastAsia" w:hint="eastAsia"/>
          <w:lang w:eastAsia="ko-KR"/>
        </w:rPr>
        <w:t xml:space="preserve"> </w:t>
      </w:r>
      <w:r w:rsidRPr="002E55DE">
        <w:t>safe walking alone, especially in certain areas or during certain times of the day, due to the risk of harassment or violence</w:t>
      </w:r>
      <w:r w:rsidRPr="002E55DE">
        <w:rPr>
          <w:rFonts w:eastAsiaTheme="minorEastAsia"/>
          <w:lang w:eastAsia="ko-KR"/>
        </w:rPr>
        <w:t xml:space="preserve"> </w:t>
      </w:r>
      <w:r w:rsidRPr="002E55DE">
        <w:fldChar w:fldCharType="begin"/>
      </w:r>
      <w:r w:rsidR="00A254CC" w:rsidRPr="002E55DE">
        <w:rPr>
          <w:rFonts w:eastAsiaTheme="minorEastAsia"/>
          <w:lang w:eastAsia="ko-KR"/>
        </w:rPr>
        <w:instrText xml:space="preserve"> ADDIN ZOTERO_ITEM CSL_CITATION {"citationID":"WWgoxldI","properties":{"formattedCitation":"(Ri\\uc0\\u353{}ov\\uc0\\u225{} &amp; Sl\\uc0\\u225{}dekov\\uc0\\u225{} Madajov\\uc0\\u225{}, 2020)","plainCitation":"(Rišová &amp; Sládeková Madajová, 2020)","dontUpdate":true,"noteIndex":0},"citationItems":[{"id":"4nY7bDZH/j5sLOd9V","uris":["http://zotero.org/users/10132210/items/QDAFLZBN"],"itemData":{"id":747,"type":"article-journal","abstract":"Background: A safe environment has been widely accepted as one of the most important walkability predictors. However, the relation between perceived safety and walkability has not been well established. Aims: This paper focuses on quantitative aspects of the relation between perceived safety and walkability, as well as examining spatio-temporal patterns of fear-related areas, with a special emphasis on gender diﬀerences among adolescents. Data and methods: Data regarding walkability perception and safety perception was collected during a mapping exercise in primary and grammar schools in Banská Bystrica city (central Slovakia), with a ﬁnal sample of 303 adolescents (13–16 years old, 54% girls). In the experiment, pre-prepared reply forms and maps divided into a square ﬁshnet were used.\nResults: Regardless of the time of day, girls felt less safe in public spaces than boys did, especially in the city centre. In general, fear-related spaces for boys were more dispersed than for girls, whose perceived risky areas were more compact and spatially concentrated. Girls' perception of walkability was more aﬀected by feeling safe than that of boys, with fewer gender diﬀerences at night.\nConclusions: By mitigating and even eliminating threats observed by girls, gender diﬀerences in the perception of barriers to walking can be reduced.","container-title":"Journal of Transport Geography","DOI":"10.1016/j.jtrangeo.2020.102723","ISSN":"09666923","journalAbbreviation":"Journal of Transport Geography","language":"en","page":"102723","source":"DOI.org (Crossref)","title":"Gender differences in a walking environment safety perception: A case study in a small town of Banská Bystrica (Slovakia)","title-short":"Gender differences in a walking environment safety perception","volume":"85","author":[{"family":"Rišová","given":"Katarína"},{"family":"Sládeková Madajová","given":"Michala"}],"issued":{"date-parts":[["2020",5]]}}}],"schema":"https://github.com/citation-style-language/schema/raw/master/csl-citation.json"} </w:instrText>
      </w:r>
      <w:r w:rsidRPr="002E55DE">
        <w:fldChar w:fldCharType="separate"/>
      </w:r>
      <w:r w:rsidRPr="002E55DE">
        <w:t xml:space="preserve">(see Rišová </w:t>
      </w:r>
      <w:r w:rsidRPr="002E55DE">
        <w:rPr>
          <w:rFonts w:eastAsiaTheme="minorEastAsia"/>
          <w:lang w:eastAsia="ko-KR"/>
        </w:rPr>
        <w:t>and</w:t>
      </w:r>
      <w:r w:rsidRPr="002E55DE">
        <w:t xml:space="preserve"> Sládeková Madajová, 2020)</w:t>
      </w:r>
      <w:r w:rsidRPr="002E55DE">
        <w:fldChar w:fldCharType="end"/>
      </w:r>
      <w:r w:rsidRPr="002E55DE">
        <w:t xml:space="preserve">. Social companionship can act as a deterrent to potential harassers or attackers. Additionally, women </w:t>
      </w:r>
      <w:r w:rsidR="000F73C7" w:rsidRPr="002E55DE">
        <w:t xml:space="preserve">are known to </w:t>
      </w:r>
      <w:r w:rsidRPr="002E55DE">
        <w:t xml:space="preserve">prioritize social </w:t>
      </w:r>
      <w:r w:rsidR="000F73C7" w:rsidRPr="002E55DE">
        <w:t>interactions in general</w:t>
      </w:r>
      <w:r w:rsidR="000E3E78" w:rsidRPr="002E55DE">
        <w:t xml:space="preserve"> </w:t>
      </w:r>
      <w:r w:rsidRPr="002E55DE">
        <w:t>(see</w:t>
      </w:r>
      <w:r w:rsidRPr="002E55DE">
        <w:rPr>
          <w:rFonts w:eastAsiaTheme="minorEastAsia"/>
          <w:lang w:eastAsia="ko-KR"/>
        </w:rPr>
        <w:t xml:space="preserve"> </w:t>
      </w:r>
      <w:r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{"citationID":"i4TgeFPT","properties":{"formattedCitation":"(Van Uffelen et al., 2017)","plainCitation":"(Van Uffelen et al., 2017)","dontUpdate":true,"noteIndex":0},"citationItems":[{"id":"4nY7bDZH/BocxVHnq","uris":["http://zotero.org/users/10132210/items/PEQGBDLU"],"itemData":{"id":834,"type":"article-journal","abstract":"Background: Although regular participation in physical activity (PA) has health benefits across the life span, the proportion of people doing sufficient activity for these benefits decreases with age. The aim of this study was to identify motivating factors and context preferences for PA in people in their sixties, and to examine gender differences in these factors.\nMethods: Data were used from people aged 60–67 years who responded to a mail survey in Brisbane, Australia, in 2009. Respondents indicated their agreement/disagreement with seven PA motivators and 14 PA context preferences. Data were analyzed using multi-level multinomial logistic regression, adjusted for sociodemographic and health variables, and PA level.\nResults: Of the 1845 respondents, 59% was female. Based on self-reported PA, one in three respondents (35%) did not meet the PA guidelines of at least 150 min of moderate intensity PA per week. The three leading motivating factors for both women and men were to prevent health problems, to feel good and to lose weight. Women were more likely than men to be motivated by improving appearance (OR 2.93, 95%CI 2.07–4.15), spending time with others (1.76, 1.31–2.37), meeting friends (1.76, 1.31–2.36) or losing weight (1.74, 1.12–2.71). The three leading context preferences for both women and men were for activities close to home, at low cost and that could be done alone. Women were more likely than men to prefer activities that are with people of the same sex (OR 4.67, 95%CI 3.14–6.94), supervised (2.79, 1.94–4.02), with people the same age (2.00, 1.43–2.78) and at a fixed time (1.42, 1.06–1.91). Women were less likely than men to prefer activities that are competitive (OR 0.32, 95%CI 0.22–0. 46), are vigorous (0.33, 0.24–0.47), require skill and practice (0.40, 0.29–0.55) and done outdoors (0.51, 0.30–0.86).\nConclusion: Although there was overlap in motivating factors and context preferences for PA in women and men aged 60–67 years, there were also marked gender differences. These results suggest that PA options for people in their sixties should be tailored to meet gender specific interests in order to promote PA participation in this rapidly growing population group.","container-title":"BMC Public Health","DOI":"10.1186/s12889-017-4540-0","ISSN":"1471-2458","issue":"1","journalAbbreviation":"BMC Public Health","language":"en","note":"number: 1","page":"624","source":"DOI.org (Crossref)","title":"Gender differences in physical activity motivators and context preferences: a population-based study in people in their sixties","title-short":"Gender differences in physical activity motivators and context preferences","volume":"17","author":[{"family":"Van Uffelen","given":"Jannique G. Z."},{"family":"Khan","given":"Asaduzzaman"},{"family":"Burton","given":"Nicola W."}],"issued":{"date-parts":[["2017",12]]}}}],"schema":"https://github.com/citation-style-language/schema/raw/master/csl-citation.json"} </w:instrText>
      </w:r>
      <w:r w:rsidRPr="002E55DE">
        <w:rPr>
          <w:rFonts w:eastAsiaTheme="minorEastAsia"/>
          <w:lang w:eastAsia="ko-KR"/>
        </w:rPr>
        <w:fldChar w:fldCharType="separate"/>
      </w:r>
      <w:r w:rsidRPr="002E55DE">
        <w:rPr>
          <w:rFonts w:eastAsiaTheme="minorEastAsia"/>
        </w:rPr>
        <w:t>Van Uffelen et al., 2017)</w:t>
      </w:r>
      <w:r w:rsidRPr="002E55DE">
        <w:rPr>
          <w:rFonts w:eastAsiaTheme="minorEastAsia"/>
          <w:lang w:eastAsia="ko-KR"/>
        </w:rPr>
        <w:fldChar w:fldCharType="end"/>
      </w:r>
      <w:r w:rsidRPr="002E55DE">
        <w:t>, viewing</w:t>
      </w:r>
      <w:r w:rsidR="000E3E78" w:rsidRPr="002E55DE">
        <w:t xml:space="preserve"> </w:t>
      </w:r>
      <w:r w:rsidR="000F73C7" w:rsidRPr="002E55DE">
        <w:t>social networking</w:t>
      </w:r>
      <w:r w:rsidR="000E3E78" w:rsidRPr="002E55DE">
        <w:t xml:space="preserve"> </w:t>
      </w:r>
      <w:r w:rsidRPr="002E55DE">
        <w:t xml:space="preserve">as a way to build </w:t>
      </w:r>
      <w:r w:rsidR="000F73C7" w:rsidRPr="002E55DE">
        <w:t xml:space="preserve">personal </w:t>
      </w:r>
      <w:r w:rsidRPr="002E55DE">
        <w:t xml:space="preserve">relationships. This </w:t>
      </w:r>
      <w:r w:rsidR="000F73C7" w:rsidRPr="002E55DE">
        <w:t xml:space="preserve">generic </w:t>
      </w:r>
      <w:r w:rsidRPr="002E55DE">
        <w:t>social</w:t>
      </w:r>
      <w:r w:rsidR="000E3E78" w:rsidRPr="002E55DE">
        <w:t xml:space="preserve"> </w:t>
      </w:r>
      <w:r w:rsidR="000F73C7" w:rsidRPr="002E55DE">
        <w:t xml:space="preserve">tendency, </w:t>
      </w:r>
      <w:r w:rsidR="000E3E78" w:rsidRPr="002E55DE">
        <w:t xml:space="preserve">however, does not seem to translate to </w:t>
      </w:r>
      <w:r w:rsidR="000F73C7" w:rsidRPr="002E55DE">
        <w:t xml:space="preserve">group walking among </w:t>
      </w:r>
      <w:r w:rsidR="000E3E78" w:rsidRPr="002E55DE">
        <w:t>wo</w:t>
      </w:r>
      <w:r w:rsidR="000F73C7" w:rsidRPr="002E55DE">
        <w:t>men</w:t>
      </w:r>
      <w:r w:rsidR="000E3E78" w:rsidRPr="002E55DE">
        <w:t xml:space="preserve">, but opens up an avenue to leverage such motivations. </w:t>
      </w:r>
      <w:r w:rsidRPr="002E55DE">
        <w:t xml:space="preserve">Existing online platforms such </w:t>
      </w:r>
      <w:r w:rsidR="000F73C7" w:rsidRPr="002E55DE">
        <w:t xml:space="preserve">as </w:t>
      </w:r>
      <w:r w:rsidRPr="002E55DE">
        <w:t xml:space="preserve">Meetup, SweatPals, and Facebook groups </w:t>
      </w:r>
      <w:r w:rsidR="000E3E78" w:rsidRPr="002E55DE">
        <w:t xml:space="preserve">can be </w:t>
      </w:r>
      <w:r w:rsidR="006F6F47" w:rsidRPr="002E55DE">
        <w:t xml:space="preserve">employed </w:t>
      </w:r>
      <w:r w:rsidR="000E3E78" w:rsidRPr="002E55DE">
        <w:t xml:space="preserve">to </w:t>
      </w:r>
      <w:r w:rsidRPr="002E55DE">
        <w:t>organiz</w:t>
      </w:r>
      <w:r w:rsidR="000E3E78" w:rsidRPr="002E55DE">
        <w:t>e</w:t>
      </w:r>
      <w:r w:rsidRPr="002E55DE">
        <w:t xml:space="preserve"> women-focused walking events </w:t>
      </w:r>
      <w:r w:rsidR="000F73C7" w:rsidRPr="002E55DE">
        <w:t>at</w:t>
      </w:r>
      <w:r w:rsidRPr="002E55DE">
        <w:t xml:space="preserve"> local parks, trails, </w:t>
      </w:r>
      <w:r w:rsidR="000F73C7" w:rsidRPr="002E55DE">
        <w:t>and</w:t>
      </w:r>
      <w:r w:rsidRPr="002E55DE">
        <w:t xml:space="preserve"> neighborhoods</w:t>
      </w:r>
      <w:r w:rsidR="000E3E78" w:rsidRPr="002E55DE">
        <w:t>.</w:t>
      </w:r>
      <w:r w:rsidRPr="002E55DE">
        <w:t xml:space="preserve"> Such platforms </w:t>
      </w:r>
      <w:r w:rsidR="000E3E78" w:rsidRPr="002E55DE">
        <w:t xml:space="preserve">can </w:t>
      </w:r>
      <w:r w:rsidRPr="002E55DE">
        <w:t>also benefit other demographic groups, such as singles (</w:t>
      </w:r>
      <w:r w:rsidR="000E3E78" w:rsidRPr="002E55DE">
        <w:t>for example</w:t>
      </w:r>
      <w:r w:rsidRPr="002E55DE">
        <w:t xml:space="preserve">, </w:t>
      </w:r>
      <w:r w:rsidR="00A11B74" w:rsidRPr="002E55DE">
        <w:t>“</w:t>
      </w:r>
      <w:r w:rsidRPr="002E55DE">
        <w:t>Single</w:t>
      </w:r>
      <w:r w:rsidR="00A11B74" w:rsidRPr="002E55DE">
        <w:t>’</w:t>
      </w:r>
      <w:r w:rsidRPr="002E55DE">
        <w:t>s Hike</w:t>
      </w:r>
      <w:r w:rsidR="00A11B74" w:rsidRPr="002E55DE">
        <w:t>”</w:t>
      </w:r>
      <w:r w:rsidRPr="002E55DE">
        <w:t xml:space="preserve"> event</w:t>
      </w:r>
      <w:r w:rsidR="000E3E78" w:rsidRPr="002E55DE">
        <w:t>s</w:t>
      </w:r>
      <w:r w:rsidRPr="002E55DE">
        <w:t xml:space="preserve"> on Meetup)</w:t>
      </w:r>
      <w:r w:rsidR="000F73C7" w:rsidRPr="002E55DE">
        <w:t>,</w:t>
      </w:r>
      <w:r w:rsidRPr="002E55DE">
        <w:t xml:space="preserve"> who are</w:t>
      </w:r>
      <w:r w:rsidRPr="002E55DE">
        <w:rPr>
          <w:rFonts w:eastAsiaTheme="minorEastAsia" w:hint="eastAsia"/>
          <w:lang w:eastAsia="ko-KR"/>
        </w:rPr>
        <w:t xml:space="preserve"> </w:t>
      </w:r>
      <w:r w:rsidRPr="002E55DE">
        <w:t xml:space="preserve">29.0% less likely to walk with companions based on the ATE analysis. Also, households with children, who </w:t>
      </w:r>
      <w:r w:rsidRPr="002E55DE">
        <w:rPr>
          <w:rFonts w:eastAsiaTheme="minorEastAsia" w:hint="eastAsia"/>
          <w:lang w:eastAsia="ko-KR"/>
        </w:rPr>
        <w:t>exhibit a</w:t>
      </w:r>
      <w:r w:rsidRPr="002E55DE">
        <w:t xml:space="preserve"> high propensity for walking with companions (ATE of 29.0%), can greatly benefit from </w:t>
      </w:r>
      <w:r w:rsidR="006E46DA" w:rsidRPr="002E55DE">
        <w:t xml:space="preserve">group </w:t>
      </w:r>
      <w:r w:rsidRPr="002E55DE">
        <w:t xml:space="preserve">walking initiatives that facilitate bonding experiences </w:t>
      </w:r>
      <w:r w:rsidR="006E46DA" w:rsidRPr="002E55DE">
        <w:t xml:space="preserve">across family/friend networks. </w:t>
      </w:r>
      <w:r w:rsidRPr="002E55DE">
        <w:t xml:space="preserve">Walking clubs that accommodate all ages, with flexible schedules and family-friendly routes, can </w:t>
      </w:r>
      <w:r w:rsidR="006E46DA" w:rsidRPr="002E55DE">
        <w:t xml:space="preserve">particularly encourage multi-generational group </w:t>
      </w:r>
      <w:r w:rsidRPr="002E55DE">
        <w:t>walk</w:t>
      </w:r>
      <w:r w:rsidR="006E46DA" w:rsidRPr="002E55DE">
        <w:t>s</w:t>
      </w:r>
      <w:r w:rsidRPr="002E55DE">
        <w:t>.</w:t>
      </w:r>
      <w:r w:rsidRPr="002E55DE" w:rsidDel="00E02C26">
        <w:t xml:space="preserve"> </w:t>
      </w:r>
    </w:p>
    <w:p w14:paraId="24E83BEB" w14:textId="4435607F" w:rsidR="00D452EC" w:rsidRPr="002E55DE" w:rsidRDefault="000F73C7" w:rsidP="00662E40">
      <w:pPr>
        <w:pStyle w:val="whitespace-pre-wrap"/>
        <w:spacing w:before="0" w:beforeAutospacing="0" w:after="0" w:afterAutospacing="0"/>
        <w:ind w:firstLine="720"/>
        <w:jc w:val="both"/>
      </w:pPr>
      <w:r w:rsidRPr="002E55DE">
        <w:t>Table 6 reveals that r</w:t>
      </w:r>
      <w:r w:rsidR="00D452EC" w:rsidRPr="002E55DE">
        <w:t xml:space="preserve">acial minorities, </w:t>
      </w:r>
      <w:r w:rsidR="00851C48" w:rsidRPr="002E55DE">
        <w:t xml:space="preserve">particularly </w:t>
      </w:r>
      <w:r w:rsidR="00D452EC" w:rsidRPr="002E55DE">
        <w:t xml:space="preserve">Black individuals, </w:t>
      </w:r>
      <w:r w:rsidR="00851C48" w:rsidRPr="002E55DE">
        <w:t>experience lower</w:t>
      </w:r>
      <w:r w:rsidR="00D452EC" w:rsidRPr="002E55DE">
        <w:t xml:space="preserve"> walking </w:t>
      </w:r>
      <w:r w:rsidR="00851C48" w:rsidRPr="002E55DE">
        <w:t>frequency and duration, primarily due to their reduced likelihood of walking with companions</w:t>
      </w:r>
      <w:r w:rsidR="00D452EC" w:rsidRPr="002E55DE">
        <w:t xml:space="preserve">. Meanwhile, </w:t>
      </w:r>
      <w:r w:rsidR="009C57EE" w:rsidRPr="002E55DE">
        <w:t xml:space="preserve">compared to those from high-income groups, </w:t>
      </w:r>
      <w:r w:rsidR="00D452EC" w:rsidRPr="002E55DE">
        <w:t xml:space="preserve">low-income individuals walk </w:t>
      </w:r>
      <w:r w:rsidR="009C57EE" w:rsidRPr="002E55DE">
        <w:t>around</w:t>
      </w:r>
      <w:r w:rsidR="00911614" w:rsidRPr="002E55DE">
        <w:rPr>
          <w:rFonts w:eastAsiaTheme="minorEastAsia" w:hint="eastAsia"/>
          <w:lang w:eastAsia="ko-KR"/>
        </w:rPr>
        <w:t xml:space="preserve"> </w:t>
      </w:r>
      <w:r w:rsidR="00137651" w:rsidRPr="002E55DE">
        <w:rPr>
          <w:rFonts w:eastAsiaTheme="minorEastAsia"/>
          <w:lang w:eastAsia="ko-KR"/>
        </w:rPr>
        <w:t>5.8</w:t>
      </w:r>
      <w:r w:rsidR="00912080" w:rsidRPr="002E55DE">
        <w:rPr>
          <w:rFonts w:eastAsiaTheme="minorEastAsia" w:hint="eastAsia"/>
          <w:lang w:eastAsia="ko-KR"/>
        </w:rPr>
        <w:t>%</w:t>
      </w:r>
      <w:r w:rsidR="00D452EC" w:rsidRPr="002E55DE">
        <w:t xml:space="preserve"> less frequently and</w:t>
      </w:r>
      <w:r w:rsidR="009C57EE" w:rsidRPr="002E55DE">
        <w:t xml:space="preserve"> for about</w:t>
      </w:r>
      <w:r w:rsidR="00912080" w:rsidRPr="002E55DE">
        <w:rPr>
          <w:rFonts w:eastAsiaTheme="minorEastAsia" w:hint="eastAsia"/>
          <w:lang w:eastAsia="ko-KR"/>
        </w:rPr>
        <w:t xml:space="preserve"> </w:t>
      </w:r>
      <w:r w:rsidR="00E054AD" w:rsidRPr="002E55DE">
        <w:rPr>
          <w:rFonts w:eastAsiaTheme="minorEastAsia"/>
          <w:lang w:eastAsia="ko-KR"/>
        </w:rPr>
        <w:t>14.9</w:t>
      </w:r>
      <w:r w:rsidR="00912080" w:rsidRPr="002E55DE">
        <w:rPr>
          <w:rFonts w:eastAsiaTheme="minorEastAsia" w:hint="eastAsia"/>
          <w:lang w:eastAsia="ko-KR"/>
        </w:rPr>
        <w:t>%</w:t>
      </w:r>
      <w:r w:rsidR="00D452EC" w:rsidRPr="002E55DE">
        <w:t xml:space="preserve"> shorter durations, </w:t>
      </w:r>
      <w:r w:rsidR="006E46DA" w:rsidRPr="002E55DE">
        <w:t>though there is no variation in social accompaniment between income groups</w:t>
      </w:r>
      <w:r w:rsidR="00D452EC" w:rsidRPr="002E55DE">
        <w:t xml:space="preserve">. </w:t>
      </w:r>
      <w:r w:rsidR="006E46DA" w:rsidRPr="002E55DE">
        <w:t>Regardless, i</w:t>
      </w:r>
      <w:r w:rsidR="00851C48" w:rsidRPr="002E55DE">
        <w:t xml:space="preserve">nterventions focusing on </w:t>
      </w:r>
      <w:r w:rsidR="00D452EC" w:rsidRPr="002E55DE">
        <w:t xml:space="preserve">companionship can benefit </w:t>
      </w:r>
      <w:r w:rsidR="006E46DA" w:rsidRPr="002E55DE">
        <w:t xml:space="preserve">Black and </w:t>
      </w:r>
      <w:r w:rsidR="00D452EC" w:rsidRPr="002E55DE">
        <w:t>low-income populations</w:t>
      </w:r>
      <w:r w:rsidR="006E46DA" w:rsidRPr="002E55DE">
        <w:t>;</w:t>
      </w:r>
      <w:r w:rsidR="00D452EC" w:rsidRPr="002E55DE">
        <w:t xml:space="preserve"> </w:t>
      </w:r>
      <w:r w:rsidR="00851C48" w:rsidRPr="002E55DE">
        <w:rPr>
          <w:rFonts w:eastAsiaTheme="minorEastAsia"/>
          <w:lang w:eastAsia="ko-KR"/>
        </w:rPr>
        <w:t>p</w:t>
      </w:r>
      <w:r w:rsidR="00D452EC" w:rsidRPr="002E55DE">
        <w:t xml:space="preserve">revious studies </w:t>
      </w:r>
      <w:r w:rsidR="00851C48" w:rsidRPr="002E55DE">
        <w:t xml:space="preserve">have demonstrated the </w:t>
      </w:r>
      <w:r w:rsidR="00D452EC" w:rsidRPr="002E55DE">
        <w:t>importan</w:t>
      </w:r>
      <w:r w:rsidR="00851C48" w:rsidRPr="002E55DE">
        <w:t>t</w:t>
      </w:r>
      <w:r w:rsidR="00D452EC" w:rsidRPr="002E55DE">
        <w:t xml:space="preserve"> </w:t>
      </w:r>
      <w:r w:rsidR="00851C48" w:rsidRPr="002E55DE">
        <w:t xml:space="preserve">role that </w:t>
      </w:r>
      <w:r w:rsidR="00D452EC" w:rsidRPr="002E55DE">
        <w:t xml:space="preserve">fostering social cohesion and </w:t>
      </w:r>
      <w:r w:rsidR="00D1345E" w:rsidRPr="002E55DE">
        <w:t xml:space="preserve">social </w:t>
      </w:r>
      <w:r w:rsidR="00D452EC" w:rsidRPr="002E55DE">
        <w:t xml:space="preserve">capital </w:t>
      </w:r>
      <w:r w:rsidR="00851C48" w:rsidRPr="002E55DE">
        <w:t xml:space="preserve">plays </w:t>
      </w:r>
      <w:r w:rsidR="0027056D" w:rsidRPr="002E55DE">
        <w:t xml:space="preserve">in </w:t>
      </w:r>
      <w:r w:rsidR="00633F80" w:rsidRPr="002E55DE">
        <w:t xml:space="preserve">dealing with, and cushioning, the repercussions of systemic </w:t>
      </w:r>
      <w:r w:rsidR="00D452EC" w:rsidRPr="002E55DE">
        <w:t xml:space="preserve">inequalities </w:t>
      </w:r>
      <w:r w:rsidR="00633F80" w:rsidRPr="002E55DE">
        <w:t xml:space="preserve">in society, even beyond the physical health benefits of </w:t>
      </w:r>
      <w:r w:rsidR="00D452EC" w:rsidRPr="002E55DE">
        <w:t>walking groups (see</w:t>
      </w:r>
      <w:r w:rsidR="00D452EC" w:rsidRPr="002E55DE">
        <w:rPr>
          <w:rFonts w:eastAsiaTheme="minorEastAsia" w:hint="eastAsia"/>
          <w:lang w:eastAsia="ko-KR"/>
        </w:rPr>
        <w:t xml:space="preserve"> </w:t>
      </w:r>
      <w:r w:rsidR="00D452EC"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{"citationID":"pUiaux64","properties":{"formattedCitation":"(Rigby et al., 2020)","plainCitation":"(Rigby et al., 2020)","dontUpdate":true,"noteIndex":0},"citationItems":[{"id":"4nY7bDZH/bMtBkElA","uris":["http://zotero.org/users/10132210/items/JBS4TCYR"],"itemData":{"id":1156,"type":"article-journal","abstract":"Background: Outdoor walking groups are widely-used programmes aimed at improving physical activity and health outcomes. Despite being promoted as accessible and inclusive, emerging work highlights participation biases based on gender, age and socioeconomic status, for example. To explicate the impact of outdoor walking groups on physical activity inequities, we conducted a scoping review of published outdoor walking group literatures. Specifically, we critically examined: (a) equity integration strategies; (b) intervention reach; (c) effectiveness; and (d) potential social determinants of engagement relating to the World Health Organization’s conceptual framework.","container-title":"Public Health Reviews","DOI":"10.1186/s40985-020-00119-4","ISSN":"2107-6952","issue":"1","journalAbbreviation":"Public Health Rev","language":"en","page":"4","source":"DOI.org (Crossref)","title":"Inequities and inequalities in outdoor walking groups: a scoping review","title-short":"Inequities and inequalities in outdoor walking groups","volume":"41","author":[{"family":"Rigby","given":"Benjamin P."},{"family":"Dodd-Reynolds","given":"Caroline J."},{"family":"Oliver","given":"Emily J."}],"issued":{"date-parts":[["2020",12]]}}}],"schema":"https://github.com/citation-style-language/schema/raw/master/csl-citation.json"} </w:instrText>
      </w:r>
      <w:r w:rsidR="00D452EC" w:rsidRPr="002E55DE">
        <w:rPr>
          <w:rFonts w:eastAsiaTheme="minorEastAsia"/>
          <w:lang w:eastAsia="ko-KR"/>
        </w:rPr>
        <w:fldChar w:fldCharType="separate"/>
      </w:r>
      <w:r w:rsidR="00D452EC" w:rsidRPr="002E55DE">
        <w:rPr>
          <w:rFonts w:eastAsiaTheme="minorEastAsia"/>
        </w:rPr>
        <w:t>Rigby et al., 2020</w:t>
      </w:r>
      <w:r w:rsidR="00D452EC" w:rsidRPr="002E55DE">
        <w:rPr>
          <w:rFonts w:eastAsiaTheme="minorEastAsia"/>
          <w:lang w:eastAsia="ko-KR"/>
        </w:rPr>
        <w:fldChar w:fldCharType="end"/>
      </w:r>
      <w:r w:rsidR="00D452EC" w:rsidRPr="002E55DE">
        <w:t xml:space="preserve"> for a comprehensive review of the relevant literature). Potential strategies include forming groups with shared backgrounds to create a sense of belonging</w:t>
      </w:r>
      <w:r w:rsidR="00633F80" w:rsidRPr="002E55DE">
        <w:t>,</w:t>
      </w:r>
      <w:r w:rsidR="00D452EC" w:rsidRPr="002E55DE">
        <w:t xml:space="preserve"> and supporting the development of community-based walking programs that are led by trusted local organizations, such as churches or cultural centers</w:t>
      </w:r>
      <w:r w:rsidR="00934BF6">
        <w:t xml:space="preserve">, </w:t>
      </w:r>
      <w:r w:rsidR="00633F80" w:rsidRPr="002E55DE">
        <w:t xml:space="preserve">particularly for </w:t>
      </w:r>
      <w:r w:rsidR="00D452EC" w:rsidRPr="002E55DE">
        <w:t>racial minorities (see</w:t>
      </w:r>
      <w:r w:rsidR="0015667B" w:rsidRPr="002E55DE">
        <w:rPr>
          <w:rFonts w:eastAsiaTheme="minorEastAsia"/>
        </w:rPr>
        <w:t xml:space="preserve"> Wilkes </w:t>
      </w:r>
      <w:r w:rsidR="0015667B" w:rsidRPr="002E55DE">
        <w:rPr>
          <w:rFonts w:eastAsiaTheme="minorEastAsia"/>
          <w:lang w:eastAsia="ko-KR"/>
        </w:rPr>
        <w:t>and</w:t>
      </w:r>
      <w:r w:rsidR="0015667B" w:rsidRPr="002E55DE">
        <w:rPr>
          <w:rFonts w:eastAsiaTheme="minorEastAsia"/>
        </w:rPr>
        <w:t xml:space="preserve"> Wu, 2019, and</w:t>
      </w:r>
      <w:r w:rsidR="00D452EC" w:rsidRPr="002E55DE">
        <w:rPr>
          <w:rFonts w:eastAsiaTheme="minorEastAsia"/>
          <w:lang w:eastAsia="ko-KR"/>
        </w:rPr>
        <w:t xml:space="preserve"> </w:t>
      </w:r>
      <w:r w:rsidR="00D452EC"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{"citationID":"TxGHii3l","properties":{"formattedCitation":"(Evangelist, 2022; Wilkes &amp; Wu, 2019)","plainCitation":"(Evangelist, 2022; Wilkes &amp; Wu, 2019)","dontUpdate":true,"noteIndex":0},"citationItems":[{"id":"4nY7bDZH/8SQReD8Y","uris":["http://zotero.org/users/10132210/items/QWGDTKVN"],"itemData":{"id":1160,"type":"article-journal","abstract":"In the United States, survey research and qualitative studies consistently ﬁnd that people of color—and Blacks in particular—report substantially lower levels of trust than do whites. These racial differences in trust pervade a range of social contexts, from interpersonal relationships with friends, family, and neighbors to interactions with the health care and criminal justice systems. Scholars often attribute racial differences in trust to historical and contemporary forms of discrimination, yet few studies have assessed the relationship among race, discrimination, and trust in the context of the United States. Using the Chicago Community Adult Health Study, I examine how the experience of discrimination relates to generalized trust, trust in neighbors, and trust in community police. Findings reveal that personal experience with discrimination contributes modestly to racial differences in trust. In fact, the negative association between discrimination and generalized trust appears strongest for whites. These ﬁndings suggest that understanding distrust requires a richer conceptual framework that moves beyond personal experience with discrimination. I argue that the theory of systemic racism provides a framework for understanding distrust as a consequence of countervailing efforts to uphold and contest the racial hierarchy.","container-title":"Social Problems","DOI":"10.1093/socpro/spab011","ISSN":"0037-7791, 1533-8533","issue":"4","language":"en","license":"https://academic.oup.com/journals/pages/open_access/funder_policies/chorus/standard_publication_model","page":"1109-1136","source":"DOI.org (Crossref)","title":"Narrowing Racial Differences in Trust: How Discrimination Shapes Trust in a Racialized Society","title-short":"Narrowing Racial Differences in Trust","volume":"69","author":[{"family":"Evangelist","given":"Michael"}],"issued":{"date-parts":[["2022",10,11]]}}},{"id":"4nY7bDZH/hGPFlHzf","uris":["http://zotero.org/users/10132210/items/FEPYIPDV"],"itemData":{"id":1159,"type":"article-journal","abstract":"Many immigrants experience discrimination. In this paper we consider how discrimination affects their trust. We make a theoretical case for a formal mediation approach to studying the immigration, discrimination, and trust relationship. This approach shifts attention to the basic fact that the overall levels of discrimination experienced by different immigrant and native-born groups are not the same. We also build on previous empirical research by considering multiple forms of discrimination, multiple types of trust and multiple immigrant/native-born groups. Drawing on the 2013 Canadian General Social Survey data (N = 27,695) we analyze differences in three kinds of trust (generalized trust, trust in speciﬁc others, and political trust), and the role of perceived discrimination (ethnic, racial, any), between ﬁve immigrant-native groups (Canadian-born whites, Canadian-born people of color, foreign-born whites, foreign-born people of color, and Indigenous people). We ﬁnd that perceived discrimination is more relevant to general trust and trust in speciﬁc others than to political trust. We also ﬁnd that perceived discrimination explains more of the trust gap between racialized immigrants and the native-born than the gap between non-racialized immigrants and the native-born. The results illustrate that what appears to be a simple relationship is far more complex when attempting to explain group differences.","container-title":"Frontiers in Sociology","DOI":"10.3389/fsoc.2019.00032","ISSN":"2297-7775","journalAbbreviation":"Front. Sociol.","language":"en","page":"32","source":"DOI.org (Crossref)","title":"Immigration, Discrimination, and Trust: A Simply Complex Relationship","title-short":"Immigration, Discrimination, and Trust","volume":"4","author":[{"family":"Wilkes","given":"Rima"},{"family":"Wu","given":"Cary"}],"issued":{"date-parts":[["2019",5,17]]}}}],"schema":"https://github.com/citation-style-language/schema/raw/master/csl-citation.json"} </w:instrText>
      </w:r>
      <w:r w:rsidR="00D452EC" w:rsidRPr="002E55DE">
        <w:rPr>
          <w:rFonts w:eastAsiaTheme="minorEastAsia"/>
          <w:lang w:eastAsia="ko-KR"/>
        </w:rPr>
        <w:fldChar w:fldCharType="separate"/>
      </w:r>
      <w:r w:rsidR="00D452EC" w:rsidRPr="002E55DE">
        <w:rPr>
          <w:rFonts w:eastAsiaTheme="minorEastAsia"/>
        </w:rPr>
        <w:t>Evangelist, 2022</w:t>
      </w:r>
      <w:r w:rsidR="0015667B" w:rsidRPr="002E55DE">
        <w:rPr>
          <w:rFonts w:eastAsiaTheme="minorEastAsia"/>
        </w:rPr>
        <w:t>)</w:t>
      </w:r>
      <w:r w:rsidR="00D452EC" w:rsidRPr="002E55DE">
        <w:rPr>
          <w:rFonts w:eastAsiaTheme="minorEastAsia"/>
          <w:lang w:eastAsia="ko-KR"/>
        </w:rPr>
        <w:fldChar w:fldCharType="end"/>
      </w:r>
      <w:r w:rsidR="00851C48" w:rsidRPr="002E55DE">
        <w:rPr>
          <w:rFonts w:eastAsiaTheme="minorEastAsia"/>
          <w:lang w:eastAsia="ko-KR"/>
        </w:rPr>
        <w:t>.</w:t>
      </w:r>
      <w:r w:rsidR="00D452EC" w:rsidRPr="002E55DE">
        <w:t xml:space="preserve"> </w:t>
      </w:r>
    </w:p>
    <w:p w14:paraId="0900E6B2" w14:textId="77777777" w:rsidR="00662E40" w:rsidRPr="002E55DE" w:rsidRDefault="00662E40" w:rsidP="00662E40">
      <w:pPr>
        <w:pStyle w:val="whitespace-pre-wrap"/>
        <w:spacing w:before="0" w:beforeAutospacing="0" w:after="0" w:afterAutospacing="0"/>
        <w:ind w:firstLine="720"/>
        <w:jc w:val="both"/>
        <w:rPr>
          <w:rFonts w:eastAsiaTheme="minorEastAsia"/>
          <w:lang w:eastAsia="ko-KR"/>
        </w:rPr>
      </w:pPr>
    </w:p>
    <w:p w14:paraId="54F90582" w14:textId="41A520E4" w:rsidR="00FE6939" w:rsidRPr="002E55DE" w:rsidRDefault="00FE6939" w:rsidP="00742170">
      <w:pPr>
        <w:pStyle w:val="Heading2"/>
        <w:ind w:hanging="540"/>
        <w:rPr>
          <w:lang w:eastAsia="ko-KR"/>
        </w:rPr>
      </w:pPr>
      <w:r w:rsidRPr="002E55DE">
        <w:rPr>
          <w:lang w:eastAsia="ko-KR"/>
        </w:rPr>
        <w:t>Improving Infrastructure and the Built-Environment</w:t>
      </w:r>
    </w:p>
    <w:p w14:paraId="250B541E" w14:textId="3F028694" w:rsidR="00D452EC" w:rsidRPr="002E55DE" w:rsidRDefault="00D452EC" w:rsidP="00662E40">
      <w:pPr>
        <w:pStyle w:val="whitespace-pre-wrap"/>
        <w:spacing w:before="0" w:beforeAutospacing="0" w:after="0" w:afterAutospacing="0"/>
        <w:jc w:val="both"/>
      </w:pPr>
      <w:r w:rsidRPr="002E55DE">
        <w:t>Beyond the mediating effects of companionship, individual and household characteristics also direct</w:t>
      </w:r>
      <w:r w:rsidR="00851C48" w:rsidRPr="002E55DE">
        <w:t>ly</w:t>
      </w:r>
      <w:r w:rsidRPr="002E55DE">
        <w:t xml:space="preserve"> influence walking frequency and duration, </w:t>
      </w:r>
      <w:r w:rsidR="00AB095C" w:rsidRPr="002E55DE">
        <w:t>suggesting</w:t>
      </w:r>
      <w:r w:rsidRPr="002E55DE">
        <w:t xml:space="preserve"> </w:t>
      </w:r>
      <w:r w:rsidR="00AB095C" w:rsidRPr="002E55DE">
        <w:t>customized</w:t>
      </w:r>
      <w:r w:rsidRPr="002E55DE">
        <w:t xml:space="preserve"> measures to address the </w:t>
      </w:r>
      <w:r w:rsidR="00AB095C" w:rsidRPr="002E55DE">
        <w:t xml:space="preserve">walking </w:t>
      </w:r>
      <w:r w:rsidRPr="002E55DE">
        <w:t xml:space="preserve">barriers faced by different groups. </w:t>
      </w:r>
    </w:p>
    <w:p w14:paraId="3EA6C762" w14:textId="518780B1" w:rsidR="00D452EC" w:rsidRPr="002E55DE" w:rsidRDefault="00D452EC" w:rsidP="00662E40">
      <w:pPr>
        <w:pStyle w:val="whitespace-pre-wrap"/>
        <w:spacing w:before="0" w:beforeAutospacing="0" w:after="0" w:afterAutospacing="0"/>
        <w:ind w:firstLine="720"/>
        <w:jc w:val="both"/>
        <w:rPr>
          <w:rFonts w:eastAsiaTheme="minorEastAsia"/>
          <w:lang w:eastAsia="ko-KR"/>
        </w:rPr>
      </w:pPr>
      <w:r w:rsidRPr="002E55DE">
        <w:t>To improve the walking environment for seniors</w:t>
      </w:r>
      <w:r w:rsidR="00D1345E" w:rsidRPr="002E55DE">
        <w:t xml:space="preserve"> (</w:t>
      </w:r>
      <w:r w:rsidR="00851C48" w:rsidRPr="002E55DE">
        <w:t>aged</w:t>
      </w:r>
      <w:r w:rsidR="00D1345E" w:rsidRPr="002E55DE">
        <w:t xml:space="preserve"> 6</w:t>
      </w:r>
      <w:r w:rsidR="00851C48" w:rsidRPr="002E55DE">
        <w:t>5</w:t>
      </w:r>
      <w:r w:rsidR="00D1345E" w:rsidRPr="002E55DE">
        <w:t xml:space="preserve"> </w:t>
      </w:r>
      <w:r w:rsidR="00851C48" w:rsidRPr="002E55DE">
        <w:t>and older</w:t>
      </w:r>
      <w:r w:rsidR="00D1345E" w:rsidRPr="002E55DE">
        <w:t>)</w:t>
      </w:r>
      <w:r w:rsidRPr="002E55DE">
        <w:t xml:space="preserve">, </w:t>
      </w:r>
      <w:r w:rsidR="003B593B" w:rsidRPr="002E55DE">
        <w:t>age-</w:t>
      </w:r>
      <w:r w:rsidR="000F73C7" w:rsidRPr="002E55DE">
        <w:t>f</w:t>
      </w:r>
      <w:r w:rsidR="003B593B" w:rsidRPr="002E55DE">
        <w:t xml:space="preserve">riendly infrastructure </w:t>
      </w:r>
      <w:r w:rsidR="000F73C7" w:rsidRPr="002E55DE">
        <w:t xml:space="preserve">investments </w:t>
      </w:r>
      <w:r w:rsidR="005B4CDB" w:rsidRPr="002E55DE">
        <w:t>should help</w:t>
      </w:r>
      <w:r w:rsidR="003B593B" w:rsidRPr="002E55DE">
        <w:t xml:space="preserve">. </w:t>
      </w:r>
      <w:r w:rsidRPr="002E55DE">
        <w:t>This includes ensuring sidewalks and walking paths</w:t>
      </w:r>
      <w:r w:rsidR="00851C48" w:rsidRPr="002E55DE">
        <w:t xml:space="preserve"> are well-maintained</w:t>
      </w:r>
      <w:r w:rsidRPr="002E55DE">
        <w:t>, free of tripping hazards</w:t>
      </w:r>
      <w:r w:rsidR="00D1345E" w:rsidRPr="002E55DE">
        <w:t>,</w:t>
      </w:r>
      <w:r w:rsidRPr="002E55DE">
        <w:t xml:space="preserve"> and equipped with </w:t>
      </w:r>
      <w:r w:rsidR="00851C48" w:rsidRPr="002E55DE">
        <w:t xml:space="preserve">sufficient </w:t>
      </w:r>
      <w:r w:rsidRPr="002E55DE">
        <w:t xml:space="preserve">lighting and benches for resting. </w:t>
      </w:r>
      <w:r w:rsidR="003B593B" w:rsidRPr="002E55DE">
        <w:rPr>
          <w:rFonts w:eastAsiaTheme="minorEastAsia"/>
          <w:lang w:eastAsia="ko-KR"/>
        </w:rPr>
        <w:t>S</w:t>
      </w:r>
      <w:r w:rsidRPr="002E55DE">
        <w:rPr>
          <w:rFonts w:eastAsiaTheme="minorEastAsia"/>
          <w:lang w:eastAsia="ko-KR"/>
        </w:rPr>
        <w:t xml:space="preserve">eniors feel more comfortable and safe in parks that have places to sit, </w:t>
      </w:r>
      <w:r w:rsidRPr="002E55DE">
        <w:rPr>
          <w:rFonts w:eastAsiaTheme="minorEastAsia" w:hint="eastAsia"/>
          <w:lang w:eastAsia="ko-KR"/>
        </w:rPr>
        <w:t>are flat</w:t>
      </w:r>
      <w:r w:rsidRPr="002E55DE">
        <w:rPr>
          <w:rFonts w:eastAsiaTheme="minorEastAsia"/>
          <w:lang w:eastAsia="ko-KR"/>
        </w:rPr>
        <w:t xml:space="preserve">, and are well-maintained </w:t>
      </w:r>
      <w:r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{"citationID":"lMiDywWa","properties":{"formattedCitation":"(Veitch et al., 2020)","plainCitation":"(Veitch et al., 2020)","dontUpdate":true,"noteIndex":0},"citationItems":[{"id":"4nY7bDZH/vze1I6as","uris":["http://zotero.org/users/10132210/items/68XZ2CKK"],"itemData":{"id":1114,"type":"article-journal","abstract":"The proportion of older adults in the population is increasing and ageing is associated with poorer physical, mental and social health. Hence, there is increasing need for community facilities that are appealing and suitable to older adults and promote good health and well-being. Visiting parks has been shown to facilitate a multitude of physical, psychological, and social health beneﬁts; however, the frequency of park visitation by older adults is low. A better understanding of the needs and preferences of park features among older adults will help park designers to create parks that encourage their visitation. The aim of this qualitative walk-along study was to explore park features that inﬂuence park visitation, park-based physical activity and social interaction among older adults (65+ years). Participants (n = 30, mean age = 74.9 years [sd 5.4)], 50 % female) were interviewed by a researcher while walking in one of eight diverse parks located in varying socio-economic status areas of metropolitan Melbourne, Australia. All interviews were transcribed verbatim and analysed using NVivo 12 software. Participants primarily reported using parks for walking, sitting/relaxing, enjoying nature and socialising with others and walking was the preferred park-based activity. Park features highly valued for visitation included: a well-maintained, peaceful and attractive environment with established trees, gardens and birdlife; seating; pleasant paths; toilets; cafés; water features; shade/shelter; facilities for grandchildren; and the presence of other people. Features most valued for physical activity included walking paths, organised activities, and ﬁtness equipment. Features most valued for social interaction included picnic/barbecue facilities, organised events, a café and aesthetics. This evidence is important for policy and decision makers, urban planning, landscape architects, and local, state and national government organisations to ensure our parks are designed to support older adults to lead healthy and active lives.","container-title":"Urban Forestry &amp; Urban Greening","DOI":"10.1016/j.ufug.2020.126768","ISSN":"16188667","journalAbbreviation":"Urban Forestry &amp; Urban Greening","language":"en","page":"126768","source":"DOI.org (Crossref)","title":"Designing parks for older adults: A qualitative study using walk-along interviews","title-short":"Designing parks for older adults","volume":"54","author":[{"family":"Veitch","given":"Jenny"},{"family":"Flowers","given":"Elliott"},{"family":"Ball","given":"Kylie"},{"family":"Deforche","given":"Benedicte"},{"family":"Timperio","given":"Anna"}],"issued":{"date-parts":[["2020",10]]}}}],"schema":"https://github.com/citation-style-language/schema/raw/master/csl-citation.json"} </w:instrText>
      </w:r>
      <w:r w:rsidRPr="002E55DE">
        <w:rPr>
          <w:rFonts w:eastAsiaTheme="minorEastAsia"/>
          <w:lang w:eastAsia="ko-KR"/>
        </w:rPr>
        <w:fldChar w:fldCharType="separate"/>
      </w:r>
      <w:r w:rsidRPr="002E55DE">
        <w:t>(</w:t>
      </w:r>
      <w:r w:rsidR="00D1345E" w:rsidRPr="002E55DE">
        <w:t xml:space="preserve">see </w:t>
      </w:r>
      <w:r w:rsidRPr="002E55DE">
        <w:t>Veitch et al., 2020)</w:t>
      </w:r>
      <w:r w:rsidRPr="002E55DE">
        <w:rPr>
          <w:rFonts w:eastAsiaTheme="minorEastAsia"/>
          <w:lang w:eastAsia="ko-KR"/>
        </w:rPr>
        <w:fldChar w:fldCharType="end"/>
      </w:r>
      <w:r w:rsidRPr="002E55DE">
        <w:rPr>
          <w:rFonts w:eastAsiaTheme="minorEastAsia"/>
          <w:lang w:eastAsia="ko-KR"/>
        </w:rPr>
        <w:t>.</w:t>
      </w:r>
      <w:r w:rsidRPr="002E55DE">
        <w:rPr>
          <w:rFonts w:eastAsiaTheme="minorEastAsia" w:hint="eastAsia"/>
          <w:lang w:eastAsia="ko-KR"/>
        </w:rPr>
        <w:t xml:space="preserve"> </w:t>
      </w:r>
      <w:r w:rsidR="00851C48" w:rsidRPr="002E55DE">
        <w:t xml:space="preserve">Collaborating </w:t>
      </w:r>
      <w:r w:rsidRPr="002E55DE">
        <w:t xml:space="preserve">with local transportation agencies to </w:t>
      </w:r>
      <w:r w:rsidR="003B593B" w:rsidRPr="002E55DE">
        <w:lastRenderedPageBreak/>
        <w:t>implement road “diet” programs in areas nea</w:t>
      </w:r>
      <w:r w:rsidR="00371BC4" w:rsidRPr="002E55DE">
        <w:t>r</w:t>
      </w:r>
      <w:r w:rsidR="003B593B" w:rsidRPr="002E55DE">
        <w:t xml:space="preserve"> senior centers, and </w:t>
      </w:r>
      <w:r w:rsidRPr="002E55DE">
        <w:t xml:space="preserve">providing ample time for seniors to cross streets safely, </w:t>
      </w:r>
      <w:r w:rsidR="003B593B" w:rsidRPr="002E55DE">
        <w:t>are a</w:t>
      </w:r>
      <w:r w:rsidR="006A5674" w:rsidRPr="002E55DE">
        <w:t xml:space="preserve">dditional </w:t>
      </w:r>
      <w:r w:rsidR="003B593B" w:rsidRPr="002E55DE">
        <w:t>avenues</w:t>
      </w:r>
      <w:r w:rsidR="006A5674" w:rsidRPr="002E55DE">
        <w:t xml:space="preserve"> to promote walking</w:t>
      </w:r>
      <w:r w:rsidRPr="002E55DE">
        <w:t xml:space="preserve">. Furthermore, </w:t>
      </w:r>
      <w:r w:rsidR="006A5674" w:rsidRPr="002E55DE">
        <w:t xml:space="preserve">community efforts can be directed toward the design of </w:t>
      </w:r>
      <w:r w:rsidRPr="002E55DE">
        <w:t xml:space="preserve">walking trails </w:t>
      </w:r>
      <w:r w:rsidR="006A5674" w:rsidRPr="002E55DE">
        <w:t xml:space="preserve">and </w:t>
      </w:r>
      <w:r w:rsidRPr="002E55DE">
        <w:t>loops in parks</w:t>
      </w:r>
      <w:r w:rsidR="006A5674" w:rsidRPr="002E55DE">
        <w:t>/</w:t>
      </w:r>
      <w:r w:rsidRPr="002E55DE">
        <w:t xml:space="preserve">community spaces </w:t>
      </w:r>
      <w:r w:rsidR="006A5674" w:rsidRPr="002E55DE">
        <w:t xml:space="preserve">with </w:t>
      </w:r>
      <w:r w:rsidRPr="002E55DE">
        <w:t xml:space="preserve">gentle inclines, stable surfaces, and handrails, </w:t>
      </w:r>
      <w:r w:rsidR="006A5674" w:rsidRPr="002E55DE">
        <w:t xml:space="preserve">all of which </w:t>
      </w:r>
      <w:r w:rsidRPr="002E55DE">
        <w:t>can provide a secure</w:t>
      </w:r>
      <w:r w:rsidR="00851C48" w:rsidRPr="002E55DE">
        <w:t xml:space="preserve">, </w:t>
      </w:r>
      <w:r w:rsidRPr="002E55DE">
        <w:t>comfortable</w:t>
      </w:r>
      <w:r w:rsidR="00851C48" w:rsidRPr="002E55DE">
        <w:t>, and inviting</w:t>
      </w:r>
      <w:r w:rsidRPr="002E55DE">
        <w:t xml:space="preserve"> walking</w:t>
      </w:r>
      <w:r w:rsidR="00851C48" w:rsidRPr="002E55DE">
        <w:t xml:space="preserve"> environment</w:t>
      </w:r>
      <w:r w:rsidR="006A5674" w:rsidRPr="002E55DE">
        <w:t xml:space="preserve"> for older adults</w:t>
      </w:r>
      <w:r w:rsidRPr="002E55DE">
        <w:t>.</w:t>
      </w:r>
      <w:r w:rsidRPr="002E55DE">
        <w:rPr>
          <w:rFonts w:eastAsiaTheme="minorEastAsia"/>
          <w:lang w:eastAsia="ko-KR"/>
        </w:rPr>
        <w:t xml:space="preserve"> </w:t>
      </w:r>
    </w:p>
    <w:p w14:paraId="1F3BD531" w14:textId="568C7E05" w:rsidR="00D452EC" w:rsidRPr="002E55DE" w:rsidRDefault="00851C48" w:rsidP="00662E40">
      <w:pPr>
        <w:ind w:firstLine="720"/>
        <w:jc w:val="both"/>
        <w:rPr>
          <w:rFonts w:eastAsia="Times New Roman"/>
          <w:sz w:val="21"/>
          <w:szCs w:val="21"/>
        </w:rPr>
      </w:pPr>
      <w:r w:rsidRPr="002E55DE">
        <w:rPr>
          <w:rFonts w:eastAsiaTheme="minorEastAsia"/>
          <w:lang w:eastAsia="ko-KR"/>
        </w:rPr>
        <w:t xml:space="preserve">The presence of children in households </w:t>
      </w:r>
      <w:r w:rsidR="005B4CDB" w:rsidRPr="002E55DE">
        <w:rPr>
          <w:rFonts w:eastAsiaTheme="minorEastAsia"/>
          <w:lang w:eastAsia="ko-KR"/>
        </w:rPr>
        <w:t xml:space="preserve">(regardless of the number of adults) </w:t>
      </w:r>
      <w:r w:rsidRPr="002E55DE">
        <w:rPr>
          <w:rFonts w:eastAsiaTheme="minorEastAsia"/>
          <w:lang w:eastAsia="ko-KR"/>
        </w:rPr>
        <w:t xml:space="preserve">has </w:t>
      </w:r>
      <w:r w:rsidR="003B593B" w:rsidRPr="002E55DE">
        <w:rPr>
          <w:rFonts w:eastAsiaTheme="minorEastAsia"/>
          <w:lang w:eastAsia="ko-KR"/>
        </w:rPr>
        <w:t>a direct negative impact on walking intensity (both in terms of frequency and duration)</w:t>
      </w:r>
      <w:r w:rsidR="006F6F47" w:rsidRPr="002E55DE">
        <w:rPr>
          <w:rFonts w:eastAsiaTheme="minorEastAsia"/>
          <w:lang w:eastAsia="ko-KR"/>
        </w:rPr>
        <w:t>,</w:t>
      </w:r>
      <w:r w:rsidR="003B593B" w:rsidRPr="002E55DE">
        <w:rPr>
          <w:rFonts w:eastAsiaTheme="minorEastAsia"/>
          <w:lang w:eastAsia="ko-KR"/>
        </w:rPr>
        <w:t xml:space="preserve"> presumably due to </w:t>
      </w:r>
      <w:r w:rsidRPr="002E55DE">
        <w:rPr>
          <w:rFonts w:eastAsiaTheme="minorEastAsia"/>
          <w:lang w:eastAsia="ko-KR"/>
        </w:rPr>
        <w:t>childcare</w:t>
      </w:r>
      <w:r w:rsidR="003B593B" w:rsidRPr="002E55DE">
        <w:rPr>
          <w:rFonts w:eastAsiaTheme="minorEastAsia"/>
          <w:lang w:eastAsia="ko-KR"/>
        </w:rPr>
        <w:t>-related</w:t>
      </w:r>
      <w:r w:rsidRPr="002E55DE">
        <w:rPr>
          <w:rFonts w:eastAsiaTheme="minorEastAsia"/>
          <w:lang w:eastAsia="ko-KR"/>
        </w:rPr>
        <w:t xml:space="preserve"> time constraints, </w:t>
      </w:r>
      <w:r w:rsidR="003B593B" w:rsidRPr="002E55DE">
        <w:rPr>
          <w:rFonts w:eastAsiaTheme="minorEastAsia"/>
          <w:lang w:eastAsia="ko-KR"/>
        </w:rPr>
        <w:t xml:space="preserve">but also has a mediating positive impact </w:t>
      </w:r>
      <w:r w:rsidRPr="002E55DE">
        <w:rPr>
          <w:rFonts w:eastAsiaTheme="minorEastAsia"/>
          <w:lang w:eastAsia="ko-KR"/>
        </w:rPr>
        <w:t xml:space="preserve">through </w:t>
      </w:r>
      <w:r w:rsidR="003B593B" w:rsidRPr="002E55DE">
        <w:rPr>
          <w:rFonts w:eastAsiaTheme="minorEastAsia"/>
          <w:lang w:eastAsia="ko-KR"/>
        </w:rPr>
        <w:t xml:space="preserve">increased group walking. </w:t>
      </w:r>
      <w:r w:rsidRPr="002E55DE">
        <w:rPr>
          <w:rFonts w:eastAsiaTheme="minorEastAsia"/>
          <w:lang w:eastAsia="ko-KR"/>
        </w:rPr>
        <w:t xml:space="preserve">To leverage </w:t>
      </w:r>
      <w:r w:rsidR="003B593B" w:rsidRPr="002E55DE">
        <w:rPr>
          <w:rFonts w:eastAsiaTheme="minorEastAsia"/>
          <w:lang w:eastAsia="ko-KR"/>
        </w:rPr>
        <w:t xml:space="preserve">the positive inclination for group walking in such households, </w:t>
      </w:r>
      <w:r w:rsidRPr="002E55DE">
        <w:rPr>
          <w:rFonts w:eastAsiaTheme="minorEastAsia"/>
          <w:lang w:eastAsia="ko-KR"/>
        </w:rPr>
        <w:t xml:space="preserve">neighborhood walkability, particularly around schools, can </w:t>
      </w:r>
      <w:r w:rsidR="003B593B" w:rsidRPr="002E55DE">
        <w:rPr>
          <w:rFonts w:eastAsiaTheme="minorEastAsia"/>
          <w:lang w:eastAsia="ko-KR"/>
        </w:rPr>
        <w:t xml:space="preserve">be improved. Such interventions can take the form of </w:t>
      </w:r>
      <w:r w:rsidR="00D452EC" w:rsidRPr="002E55DE">
        <w:rPr>
          <w:rFonts w:eastAsiaTheme="minorEastAsia" w:hint="eastAsia"/>
          <w:lang w:eastAsia="ko-KR"/>
        </w:rPr>
        <w:t xml:space="preserve">traffic calming </w:t>
      </w:r>
      <w:r w:rsidR="00D452EC" w:rsidRPr="002E55DE">
        <w:rPr>
          <w:rFonts w:eastAsiaTheme="minorEastAsia"/>
          <w:lang w:eastAsia="ko-KR"/>
        </w:rPr>
        <w:t xml:space="preserve">measures </w:t>
      </w:r>
      <w:r w:rsidR="00D452EC" w:rsidRPr="002E55DE">
        <w:rPr>
          <w:rFonts w:eastAsiaTheme="minorEastAsia" w:hint="eastAsia"/>
          <w:lang w:eastAsia="ko-KR"/>
        </w:rPr>
        <w:t>around school</w:t>
      </w:r>
      <w:r w:rsidR="00D452EC" w:rsidRPr="002E55DE">
        <w:rPr>
          <w:rFonts w:eastAsiaTheme="minorEastAsia"/>
          <w:lang w:eastAsia="ko-KR"/>
        </w:rPr>
        <w:t xml:space="preserve"> zones</w:t>
      </w:r>
      <w:r w:rsidR="00D452EC" w:rsidRPr="002E55DE">
        <w:rPr>
          <w:rFonts w:eastAsiaTheme="minorEastAsia" w:hint="eastAsia"/>
          <w:lang w:eastAsia="ko-KR"/>
        </w:rPr>
        <w:t xml:space="preserve"> to </w:t>
      </w:r>
      <w:r w:rsidR="00D452EC" w:rsidRPr="002E55DE">
        <w:rPr>
          <w:rFonts w:eastAsiaTheme="minorEastAsia"/>
          <w:lang w:eastAsia="ko-KR"/>
        </w:rPr>
        <w:t xml:space="preserve">discourage through traffic, </w:t>
      </w:r>
      <w:r w:rsidRPr="002E55DE">
        <w:rPr>
          <w:rFonts w:eastAsiaTheme="minorEastAsia"/>
          <w:lang w:eastAsia="ko-KR"/>
        </w:rPr>
        <w:t xml:space="preserve">installing </w:t>
      </w:r>
      <w:r w:rsidR="00D452EC" w:rsidRPr="002E55DE">
        <w:rPr>
          <w:rFonts w:eastAsiaTheme="minorEastAsia"/>
          <w:lang w:eastAsia="ko-KR"/>
        </w:rPr>
        <w:t>high-visibility crosswalks and lighting</w:t>
      </w:r>
      <w:r w:rsidR="00A95D3D" w:rsidRPr="002E55DE">
        <w:rPr>
          <w:rFonts w:eastAsiaTheme="minorEastAsia"/>
          <w:lang w:eastAsia="ko-KR"/>
        </w:rPr>
        <w:t xml:space="preserve">, and the strict enforcement of speeding laws </w:t>
      </w:r>
      <w:r w:rsidR="00252572" w:rsidRPr="002E55DE">
        <w:rPr>
          <w:rFonts w:eastAsiaTheme="minorEastAsia" w:hint="eastAsia"/>
          <w:lang w:eastAsia="ko-KR"/>
        </w:rPr>
        <w:t>(</w:t>
      </w:r>
      <w:r w:rsidR="00252572" w:rsidRPr="002E55DE">
        <w:rPr>
          <w:rFonts w:eastAsiaTheme="minorEastAsia"/>
          <w:lang w:eastAsia="ko-KR"/>
        </w:rPr>
        <w:t xml:space="preserve">see </w:t>
      </w:r>
      <w:r w:rsidR="00252572"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{"citationID":"OLuO82HO","properties":{"formattedCitation":"(Rothman et al., 2022)","plainCitation":"(Rothman et al., 2022)","dontUpdate":true,"noteIndex":0},"citationItems":[{"id":"4nY7bDZH/D9jDAADv","uris":["http://zotero.org/users/10132210/items/TQAALXN8"],"itemData":{"id":1626,"type":"article-journal","abstract":"Background  School safety zones were created in 2017 under the City of Toronto’s Vision Zero Road Safety Plan. This pilot study examined the effect of built environment interventions on driver speeds, active school transportation (AST) and dangerous driving.\nMethods  Interventions were implemented at 34 schools and 45 matched controls (2017–2019). Drivers travelling over the speed limit of &gt;30 km/hour and 85th percentile speeds were measured using pneumatic speed tubes at school frontages. Observers examined AST and dangerous driving at school arrival times. Repeated measures beta and multiple regression analyses were used to study the intervention effects.\nResults  Most schools had posted speed limits of 40 km/hour (58%) or </w:instrText>
      </w:r>
      <w:r w:rsidR="00A254CC" w:rsidRPr="002E55DE">
        <w:rPr>
          <w:rFonts w:eastAsiaTheme="minorEastAsia" w:hint="eastAsia"/>
          <w:lang w:eastAsia="ko-KR"/>
        </w:rPr>
        <w:instrText>≥</w:instrText>
      </w:r>
      <w:r w:rsidR="00A254CC" w:rsidRPr="002E55DE">
        <w:rPr>
          <w:rFonts w:eastAsiaTheme="minorEastAsia"/>
          <w:lang w:eastAsia="ko-KR"/>
        </w:rPr>
        <w:instrText>50 km/hour (23%). A decrease in drivers travelling over the speed limit was observed at intervention schools post-­intervention (from 44% to 40%; OR 0.79, 95% CI 0.66 to 0.96). Seventy-o</w:instrText>
      </w:r>
      <w:r w:rsidR="00A254CC" w:rsidRPr="002E55DE">
        <w:rPr>
          <w:rFonts w:eastAsiaTheme="minorEastAsia" w:hint="eastAsia"/>
          <w:lang w:eastAsia="ko-KR"/>
        </w:rPr>
        <w:instrText>­</w:instrText>
      </w:r>
      <w:r w:rsidR="00A254CC" w:rsidRPr="002E55DE">
        <w:rPr>
          <w:rFonts w:eastAsiaTheme="minorEastAsia"/>
          <w:lang w:eastAsia="ko-KR"/>
        </w:rPr>
        <w:instrText xml:space="preserve"> ne per cent of drivers travelled &gt;30 km/hour and the 85th percentile speed was 47 km/hour at intervention schools, with no change in either postintervention. There were no changes in speed metrics in the controls. AST increased by 5% (OR 1.22, 95% CI 0.97 to 1.54) at intervention schools. Reductions in dangerous driving were observed at all schools.\nConclusions  Posted speed limits were &gt;30 km/hour at most schools and high proportions of drivers were travelling above the speed limits. There were reductions in drivers exceeding the speed limit and in dangerous driving, and modest increased AST post intervention. Bolder interventions to slow traffic are required to effectively reduce speeding around schools, which may increase safe AST.","container-title":"Injury Prevention","DOI":"10.1136/injuryprev-2021-044299","ISSN":"1353-8047, 1475-5785","issue":"3","journalAbbreviation":"Inj Prev","language":"en","page":"243-248","source":"DOI.org (Crossref)","title":"Pilot study to evaluate school safety zone built environment interventions","volume":"28","author":[{"family":"Rothman","given":"Linda"},{"family":"Ling","given":"Rebecca"},{"family":"Hagel","given":"Brent E"},{"family":"Macarthur","given":"Colin"},{"family":"Macpherson","given":"Alison K"},{"family":"Buliung","given":"Ron"},{"family":"Fuselli","given":"Pamela"},{"family":"Howard","given":"Andrew William"}],"issued":{"date-parts":[["2022",6]]}}}],"schema":"https://github.com/citation-style-language/schema/raw/master/csl-citation.json"} </w:instrText>
      </w:r>
      <w:r w:rsidR="00252572" w:rsidRPr="002E55DE">
        <w:rPr>
          <w:rFonts w:eastAsiaTheme="minorEastAsia"/>
          <w:lang w:eastAsia="ko-KR"/>
        </w:rPr>
        <w:fldChar w:fldCharType="separate"/>
      </w:r>
      <w:r w:rsidR="00FE2ECE" w:rsidRPr="002E55DE">
        <w:rPr>
          <w:rFonts w:cs="Times"/>
        </w:rPr>
        <w:t>Rothman et al., 2022</w:t>
      </w:r>
      <w:r w:rsidR="00252572" w:rsidRPr="002E55DE">
        <w:rPr>
          <w:rFonts w:eastAsiaTheme="minorEastAsia"/>
          <w:lang w:eastAsia="ko-KR"/>
        </w:rPr>
        <w:fldChar w:fldCharType="end"/>
      </w:r>
      <w:r w:rsidR="00FE2ECE" w:rsidRPr="002E55DE">
        <w:rPr>
          <w:rFonts w:eastAsiaTheme="minorEastAsia" w:hint="eastAsia"/>
          <w:lang w:eastAsia="ko-KR"/>
        </w:rPr>
        <w:t>)</w:t>
      </w:r>
      <w:r w:rsidR="00252572" w:rsidRPr="002E55DE">
        <w:rPr>
          <w:rFonts w:eastAsiaTheme="minorEastAsia"/>
          <w:lang w:eastAsia="ko-KR"/>
        </w:rPr>
        <w:t xml:space="preserve">. </w:t>
      </w:r>
      <w:r w:rsidRPr="002E55DE">
        <w:rPr>
          <w:rFonts w:eastAsiaTheme="minorEastAsia"/>
          <w:lang w:eastAsia="ko-KR"/>
        </w:rPr>
        <w:t xml:space="preserve">These </w:t>
      </w:r>
      <w:r w:rsidR="00D452EC" w:rsidRPr="002E55DE">
        <w:rPr>
          <w:rFonts w:eastAsiaTheme="minorEastAsia"/>
          <w:lang w:eastAsia="ko-KR"/>
        </w:rPr>
        <w:t xml:space="preserve">measures can </w:t>
      </w:r>
      <w:r w:rsidR="00A95D3D" w:rsidRPr="002E55DE">
        <w:rPr>
          <w:rFonts w:eastAsiaTheme="minorEastAsia"/>
          <w:lang w:eastAsia="ko-KR"/>
        </w:rPr>
        <w:t xml:space="preserve">lead to increased walking of </w:t>
      </w:r>
      <w:r w:rsidR="00D452EC" w:rsidRPr="002E55DE">
        <w:rPr>
          <w:rFonts w:eastAsiaTheme="minorEastAsia"/>
          <w:lang w:eastAsia="ko-KR"/>
        </w:rPr>
        <w:t>caregivers to</w:t>
      </w:r>
      <w:r w:rsidR="00A95D3D" w:rsidRPr="002E55DE">
        <w:rPr>
          <w:rFonts w:eastAsiaTheme="minorEastAsia"/>
          <w:lang w:eastAsia="ko-KR"/>
        </w:rPr>
        <w:t xml:space="preserve"> </w:t>
      </w:r>
      <w:r w:rsidR="00D452EC" w:rsidRPr="002E55DE">
        <w:rPr>
          <w:rFonts w:eastAsiaTheme="minorEastAsia"/>
          <w:lang w:eastAsia="ko-KR"/>
        </w:rPr>
        <w:t xml:space="preserve">school with their children/grandchildren, while </w:t>
      </w:r>
      <w:r w:rsidR="00A95D3D" w:rsidRPr="002E55DE">
        <w:rPr>
          <w:rFonts w:eastAsiaTheme="minorEastAsia"/>
          <w:lang w:eastAsia="ko-KR"/>
        </w:rPr>
        <w:t xml:space="preserve">also bringing the </w:t>
      </w:r>
      <w:r w:rsidRPr="002E55DE">
        <w:rPr>
          <w:rFonts w:eastAsiaTheme="minorEastAsia"/>
          <w:lang w:eastAsia="ko-KR"/>
        </w:rPr>
        <w:t>benefit</w:t>
      </w:r>
      <w:r w:rsidR="00A95D3D" w:rsidRPr="002E55DE">
        <w:rPr>
          <w:rFonts w:eastAsiaTheme="minorEastAsia"/>
          <w:lang w:eastAsia="ko-KR"/>
        </w:rPr>
        <w:t>s</w:t>
      </w:r>
      <w:r w:rsidR="00252572" w:rsidRPr="002E55DE">
        <w:rPr>
          <w:rFonts w:eastAsiaTheme="minorEastAsia"/>
          <w:lang w:eastAsia="ko-KR"/>
        </w:rPr>
        <w:t xml:space="preserve"> </w:t>
      </w:r>
      <w:r w:rsidR="00A95D3D" w:rsidRPr="002E55DE">
        <w:rPr>
          <w:rFonts w:eastAsiaTheme="minorEastAsia"/>
          <w:lang w:eastAsia="ko-KR"/>
        </w:rPr>
        <w:t xml:space="preserve">of </w:t>
      </w:r>
      <w:r w:rsidR="00D452EC" w:rsidRPr="002E55DE">
        <w:rPr>
          <w:rFonts w:eastAsiaTheme="minorEastAsia"/>
          <w:lang w:eastAsia="ko-KR"/>
        </w:rPr>
        <w:t>multi-generational companionship.</w:t>
      </w:r>
      <w:r w:rsidR="00252572" w:rsidRPr="002E55DE">
        <w:rPr>
          <w:rFonts w:eastAsiaTheme="minorEastAsia"/>
          <w:lang w:eastAsia="ko-KR"/>
        </w:rPr>
        <w:t xml:space="preserve"> In this context, some studies suggest that pedestrian-related crashes in and around schools are because </w:t>
      </w:r>
      <w:r w:rsidR="008B7629" w:rsidRPr="002E55DE">
        <w:rPr>
          <w:rFonts w:eastAsiaTheme="minorEastAsia"/>
          <w:lang w:eastAsia="ko-KR"/>
        </w:rPr>
        <w:t>parents</w:t>
      </w:r>
      <w:r w:rsidR="007B3FB7" w:rsidRPr="002E55DE">
        <w:rPr>
          <w:rFonts w:eastAsiaTheme="minorEastAsia"/>
          <w:lang w:eastAsia="ko-KR"/>
        </w:rPr>
        <w:t>’</w:t>
      </w:r>
      <w:r w:rsidR="008B7629" w:rsidRPr="002E55DE">
        <w:rPr>
          <w:rFonts w:eastAsiaTheme="minorEastAsia"/>
          <w:lang w:eastAsia="ko-KR"/>
        </w:rPr>
        <w:t xml:space="preserve"> inadequate education of their children on safe</w:t>
      </w:r>
      <w:r w:rsidR="008B7629" w:rsidRPr="002E55DE">
        <w:rPr>
          <w:rFonts w:eastAsiaTheme="minorEastAsia" w:hint="eastAsia"/>
          <w:lang w:eastAsia="ko-KR"/>
        </w:rPr>
        <w:t xml:space="preserve"> walking</w:t>
      </w:r>
      <w:r w:rsidR="00040710" w:rsidRPr="002E55DE">
        <w:rPr>
          <w:rFonts w:eastAsiaTheme="minorEastAsia" w:hint="eastAsia"/>
          <w:lang w:eastAsia="ko-KR"/>
        </w:rPr>
        <w:t xml:space="preserve"> </w:t>
      </w:r>
      <w:r w:rsidR="009A20DD"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{"citationID":"EOqaPKU8","properties":{"formattedCitation":"(Cloutier et al., 2021)","plainCitation":"(Cloutier et al., 2021)","dontUpdate":true,"noteIndex":0},"citationItems":[{"id":"4nY7bDZH/4fymQDGp","uris":["http://zotero.org/users/10132210/items/P3S85ZQ3"],"itemData":{"id":1631,"type":"article-journal","abstract":"Methods  Articles on risk factors were identified through a search of English language publications listed in Medline, Embase, Transport, SafetyLit, Web of Science, CINHAL, Scopus and PsycINFO within the last 30 years (~1989 onwards).\nResults  This state-­of-­the-­art review uses the road safety Safe System approach as a new lens to examine three risk factor domains affecting child pedestrian safety (built environment, drivers and vehicles) and four cross-­cutting critical issues (reliable collision and exposure data, evaluation of interventions, evidence-­based policy and intersectoral collaboration).\nConclusions  Research conducted over the past 30 years has reported extensively on child PMVC risk factors. The challenge facing us now is how to move these findings into action and intervene to reduce the child PMVC injury and fatality rates worldwide.","container-title":"Injury Prevention","DOI":"10.1136/injuryprev-2020-043829","ISSN":"1353-8047, 1475-5785","issue":"1","journalAbbreviation":"Inj Prev","language":"en","page":"77-84","source":"DOI.org (Crossref)","title":"State-of-the-art review: preventing child and youth pedestrian motor vehicle collisions: critical issues and future directions","title-short":"State-of-the-art review","volume":"27","author":[{"family":"Cloutier","given":"Marie-Soleil"},{"family":"Beaulieu","given":"Emilie"},{"family":"Fridman","given":"Liraz"},{"family":"Macpherson","given":"Alison K"},{"family":"Hagel","given":"Brent E"},{"family":"Howard","given":"Andrew William"},{"family":"Churchill","given":"Tony"},{"family":"Fuselli","given":"Pamela"},{"family":"Macarthur","given":"Colin"},{"family":"Rothman","given":"Linda"}],"issued":{"date-parts":[["2021",2]]}}}],"schema":"https://github.com/citation-style-language/schema/raw/master/csl-citation.json"} </w:instrText>
      </w:r>
      <w:r w:rsidR="009A20DD" w:rsidRPr="002E55DE">
        <w:rPr>
          <w:rFonts w:eastAsiaTheme="minorEastAsia"/>
          <w:lang w:eastAsia="ko-KR"/>
        </w:rPr>
        <w:fldChar w:fldCharType="separate"/>
      </w:r>
      <w:r w:rsidR="009A20DD" w:rsidRPr="002E55DE">
        <w:rPr>
          <w:rFonts w:cs="Times"/>
        </w:rPr>
        <w:t>(</w:t>
      </w:r>
      <w:r w:rsidR="00092687" w:rsidRPr="002E55DE">
        <w:rPr>
          <w:rFonts w:eastAsiaTheme="minorEastAsia" w:cs="Times" w:hint="eastAsia"/>
          <w:lang w:eastAsia="ko-KR"/>
        </w:rPr>
        <w:t xml:space="preserve">see </w:t>
      </w:r>
      <w:r w:rsidR="009A20DD" w:rsidRPr="002E55DE">
        <w:rPr>
          <w:rFonts w:cs="Times"/>
        </w:rPr>
        <w:t>Cloutier et al., 2021)</w:t>
      </w:r>
      <w:r w:rsidR="009A20DD" w:rsidRPr="002E55DE">
        <w:rPr>
          <w:rFonts w:eastAsiaTheme="minorEastAsia"/>
          <w:lang w:eastAsia="ko-KR"/>
        </w:rPr>
        <w:fldChar w:fldCharType="end"/>
      </w:r>
      <w:r w:rsidR="00AF54F4" w:rsidRPr="002E55DE">
        <w:rPr>
          <w:rFonts w:eastAsiaTheme="minorEastAsia" w:hint="eastAsia"/>
          <w:lang w:eastAsia="ko-KR"/>
        </w:rPr>
        <w:t xml:space="preserve">, </w:t>
      </w:r>
      <w:r w:rsidR="00B67DB6" w:rsidRPr="002E55DE">
        <w:rPr>
          <w:rFonts w:eastAsiaTheme="minorEastAsia"/>
          <w:lang w:eastAsia="ko-KR"/>
        </w:rPr>
        <w:t xml:space="preserve">as well as their </w:t>
      </w:r>
      <w:r w:rsidR="002224B8" w:rsidRPr="002E55DE">
        <w:rPr>
          <w:rFonts w:eastAsiaTheme="minorEastAsia" w:hint="eastAsia"/>
          <w:lang w:eastAsia="ko-KR"/>
        </w:rPr>
        <w:t xml:space="preserve">parking </w:t>
      </w:r>
      <w:r w:rsidR="00C222A5" w:rsidRPr="002E55DE">
        <w:rPr>
          <w:rFonts w:eastAsiaTheme="minorEastAsia" w:hint="eastAsia"/>
          <w:lang w:eastAsia="ko-KR"/>
        </w:rPr>
        <w:t>habits</w:t>
      </w:r>
      <w:r w:rsidR="00B67DB6" w:rsidRPr="002E55DE">
        <w:rPr>
          <w:rFonts w:eastAsiaTheme="minorEastAsia"/>
          <w:lang w:eastAsia="ko-KR"/>
        </w:rPr>
        <w:t xml:space="preserve"> </w:t>
      </w:r>
      <w:r w:rsidR="002224B8" w:rsidRPr="002E55DE">
        <w:rPr>
          <w:rFonts w:eastAsiaTheme="minorEastAsia"/>
          <w:lang w:eastAsia="ko-KR"/>
        </w:rPr>
        <w:t xml:space="preserve">during pick-up and drop-off </w:t>
      </w:r>
      <w:r w:rsidR="002224B8" w:rsidRPr="002E55DE">
        <w:rPr>
          <w:rFonts w:eastAsiaTheme="minorEastAsia" w:hint="eastAsia"/>
          <w:lang w:eastAsia="ko-KR"/>
        </w:rPr>
        <w:t xml:space="preserve">, such as </w:t>
      </w:r>
      <w:r w:rsidR="00B67DB6" w:rsidRPr="002E55DE">
        <w:rPr>
          <w:rFonts w:eastAsiaTheme="minorEastAsia"/>
          <w:lang w:eastAsia="ko-KR"/>
        </w:rPr>
        <w:t>double-park</w:t>
      </w:r>
      <w:r w:rsidR="004E4711" w:rsidRPr="002E55DE">
        <w:rPr>
          <w:rFonts w:eastAsiaTheme="minorEastAsia" w:hint="eastAsia"/>
          <w:lang w:eastAsia="ko-KR"/>
        </w:rPr>
        <w:t xml:space="preserve"> or</w:t>
      </w:r>
      <w:r w:rsidR="00B67DB6" w:rsidRPr="002E55DE">
        <w:rPr>
          <w:rFonts w:eastAsiaTheme="minorEastAsia"/>
          <w:lang w:eastAsia="ko-KR"/>
        </w:rPr>
        <w:t xml:space="preserve"> block bus stops, which can result in students being in the street and obstructing </w:t>
      </w:r>
      <w:r w:rsidR="005329A9" w:rsidRPr="002E55DE">
        <w:rPr>
          <w:rFonts w:eastAsiaTheme="minorEastAsia" w:hint="eastAsia"/>
          <w:lang w:eastAsia="ko-KR"/>
        </w:rPr>
        <w:t>sights of drivers</w:t>
      </w:r>
      <w:r w:rsidR="004E4711" w:rsidRPr="002E55DE">
        <w:rPr>
          <w:rFonts w:eastAsiaTheme="minorEastAsia" w:hint="eastAsia"/>
          <w:lang w:eastAsia="ko-KR"/>
        </w:rPr>
        <w:t xml:space="preserve">, and </w:t>
      </w:r>
      <w:r w:rsidR="00BE46D0" w:rsidRPr="002E55DE">
        <w:rPr>
          <w:rFonts w:eastAsiaTheme="minorEastAsia" w:hint="eastAsia"/>
          <w:lang w:eastAsia="ko-KR"/>
        </w:rPr>
        <w:t xml:space="preserve">dropping children at the opposite side of the road from schools that can cause </w:t>
      </w:r>
      <w:r w:rsidR="00434077" w:rsidRPr="002E55DE">
        <w:rPr>
          <w:rFonts w:eastAsiaTheme="minorEastAsia" w:hint="eastAsia"/>
          <w:lang w:eastAsia="ko-KR"/>
        </w:rPr>
        <w:t>uncontrolled, dangerous crossing</w:t>
      </w:r>
      <w:r w:rsidR="00FE2ECE" w:rsidRPr="002E55DE">
        <w:rPr>
          <w:rFonts w:eastAsiaTheme="minorEastAsia" w:hint="eastAsia"/>
          <w:lang w:eastAsia="ko-KR"/>
        </w:rPr>
        <w:t xml:space="preserve"> </w:t>
      </w:r>
      <w:r w:rsidR="00F9520E"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{"citationID":"BoNWHwru","properties":{"formattedCitation":"(Abd El-Shafy et al., 2017; Rothman et al., 2017)","plainCitation":"(Abd El-Shafy et al., 2017; Rothman et al., 2017)","dontUpdate":true,"noteIndex":0},"citationItems":[{"id":"4nY7bDZH/K2xG7FoE","uris":["http://zotero.org/users/10132210/items/MV39CI3J"],"itemData":{"id":1628,"type":"article-journal","abstract":"BACKGROUND: In 2012, 76,000 pedestrians were struck by motor vehicles. This resulted in 20% of all pediatric mortalities between the ages of 5 and 15. We hypothesize that children are exposed to increased risk as pedestrians to motor vehicle injury when arriving to school and that identification of these hazards would improve targeting of injury prevention efforts.\nMETHODS: Within a county containing 355 public schools, we identified a primary school with 588 students located in an urban setting with concerns for a high-risk traffic environment. Field surveys observed traffic patterns and established an optimal surveillance period 30 minutes before school. Three observation periods, from two discreet and blinded locations, were conducted from January to March 2016. Videos were evaluated by two independent reviewers to identify and score quantifiable hazards. Three controlled observations were conducted on non-school days, followed by three post-intervention observations from October to December 2016. Comparison was made using Student’s t test. Data was analyzed using SAS version 9.4 (SAS Institute Inc., Cary, NC).\nRESULTS: We identified nine safety hazards including double parking (29.3 ± 5.5), dropping off in a bus stop (23.3 ± 7.6), and jaywalking (9.3 ± 3.1). Combining all hazards seen in each observation resulted in an overall hazard average of 83.0 ± 3.6 events/period. Comparing control periods to school observation identified significantly increased hazard events on school days (p &lt; 0.0001). Targeted safety intervention demonstrated a 26% reduction in hazard events (p &lt; 0.0005).\nCONCLUSION:","container-title":"Journal of Trauma and Acute Care Surgery","DOI":"10.1097/TA.0000000000001599","ISSN":"2163-0763, 2163-0755","issue":"5S","journalAbbreviation":"J Trauma Acute Care Surg","language":"en","page":"S227-S232","source":"DOI.org (Crossref)","title":"Reduction of pediatric pedestrian hazardous road conditions in a school drop-off zone using video review","volume":"83","author":[{"family":"Abd El-Shafy","given":"Ibrahim"},{"family":"Savino","given":"Jillian"},{"family":"Christopherson","given":"Nathan A.M."},{"family":"Prince","given":"Jose M."}],"issued":{"date-parts":[["2017",11]]}}},{"id":"4nY7bDZH/OLadcM9k","uris":["http://zotero.org/users/10132210/items/8BZAGQGC"],"itemData":{"id":1633,"type":"article-journal","abstract":"There has been an increase in vulnerable road user fatalities in the City of Toronto, Canada, necessitating greater emphasis on trafﬁc safety measures. Potentially risky student drop-off behaviours by private vehicle drivers are frequently observed around schools which may contribute to collision risk. A crosssectional observational study conducted in the spring, 2015 at 100 Toronto elementary schools, examined built environment features associated with risky student drop-off and pedestrian behaviours. Observers completed a checklist to identify risky behaviour outcomes. Covariates included the proportion of children observed dropped off by private vehicles, built environment features (within 200 m of schools) and school social disadvantage. Logistic regression was conducted for each outcome. The most common risky behaviours observed were dropping children at the opposite side of the road from schools (79%) and reversing dangerously (64%). The most common child pedestrian behaviours were crossing at uncontrolled midblock locations (85%) and crossing between parked cars (61%). Trafﬁc congestion around schools was associated with double parking (OR 5.96), reversing (OR 4.14) and crossing between parked cars (OR 2.71, children). Less parking blocking crossing controls (OR 0.26) reversing (OR 0.37) uncontrolled midblock crossing (OR 0.26, children) and crossing between parked cars (OR 0.31, children) was observed where there were designated car drop-off areas. Driver texting appeared less common when crossing guards were present (OR 0.18). Greater school disadvantage was associated with uncontrolled pedestrian midblock crossings (OR 14.37, children). Findings will help develop policy and interventions targeting collision risk around schools as part of Toronto’s new Road Safety Plan.","container-title":"Travel Behaviour and Society","DOI":"10.1016/j.tbs.2017.03.001","ISSN":"2214367X","journalAbbreviation":"Travel Behaviour and Society","language":"en","page":"50-57","source":"DOI.org (Crossref)","title":"The school environment and student car drop-off at elementary schools","volume":"9","author":[{"family":"Rothman","given":"Linda"},{"family":"Buliung","given":"Ron"},{"family":"Howard","given":"Andrew"},{"family":"Macarthur","given":"Colin"},{"family":"Macpherson","given":"Alison"}],"issued":{"date-parts":[["2017",10]]}}}],"schema":"https://github.com/citation-style-language/schema/raw/master/csl-citation.json"} </w:instrText>
      </w:r>
      <w:r w:rsidR="00F9520E" w:rsidRPr="002E55DE">
        <w:rPr>
          <w:rFonts w:eastAsiaTheme="minorEastAsia"/>
          <w:lang w:eastAsia="ko-KR"/>
        </w:rPr>
        <w:fldChar w:fldCharType="separate"/>
      </w:r>
      <w:r w:rsidR="000135F9" w:rsidRPr="002E55DE">
        <w:rPr>
          <w:rFonts w:cs="Times"/>
        </w:rPr>
        <w:t>(</w:t>
      </w:r>
      <w:r w:rsidR="000135F9" w:rsidRPr="002E55DE">
        <w:rPr>
          <w:rFonts w:eastAsiaTheme="minorEastAsia" w:cs="Times" w:hint="eastAsia"/>
          <w:lang w:eastAsia="ko-KR"/>
        </w:rPr>
        <w:t xml:space="preserve">see </w:t>
      </w:r>
      <w:r w:rsidR="000135F9" w:rsidRPr="002E55DE">
        <w:rPr>
          <w:rFonts w:cs="Times"/>
        </w:rPr>
        <w:t>Abd El-Shafy et al., 2017</w:t>
      </w:r>
      <w:r w:rsidR="000135F9" w:rsidRPr="002E55DE">
        <w:rPr>
          <w:rFonts w:eastAsiaTheme="minorEastAsia" w:cs="Times" w:hint="eastAsia"/>
          <w:lang w:eastAsia="ko-KR"/>
        </w:rPr>
        <w:t xml:space="preserve"> and</w:t>
      </w:r>
      <w:r w:rsidR="000135F9" w:rsidRPr="002E55DE">
        <w:rPr>
          <w:rFonts w:cs="Times"/>
        </w:rPr>
        <w:t xml:space="preserve"> Rothman et al., 2017</w:t>
      </w:r>
      <w:r w:rsidR="000135F9" w:rsidRPr="002E55DE">
        <w:rPr>
          <w:rFonts w:eastAsiaTheme="minorEastAsia" w:cs="Times" w:hint="eastAsia"/>
          <w:lang w:eastAsia="ko-KR"/>
        </w:rPr>
        <w:t xml:space="preserve"> for observation results</w:t>
      </w:r>
      <w:r w:rsidR="000135F9" w:rsidRPr="002E55DE">
        <w:rPr>
          <w:rFonts w:cs="Times"/>
        </w:rPr>
        <w:t>)</w:t>
      </w:r>
      <w:r w:rsidR="00F9520E" w:rsidRPr="002E55DE">
        <w:rPr>
          <w:rFonts w:eastAsiaTheme="minorEastAsia"/>
          <w:lang w:eastAsia="ko-KR"/>
        </w:rPr>
        <w:fldChar w:fldCharType="end"/>
      </w:r>
      <w:r w:rsidR="00AF54F4" w:rsidRPr="002E55DE">
        <w:rPr>
          <w:rFonts w:eastAsiaTheme="minorEastAsia" w:hint="eastAsia"/>
          <w:lang w:eastAsia="ko-KR"/>
        </w:rPr>
        <w:t>.</w:t>
      </w:r>
      <w:r w:rsidR="00252572" w:rsidRPr="002E55DE">
        <w:rPr>
          <w:rFonts w:eastAsiaTheme="minorEastAsia"/>
          <w:lang w:eastAsia="ko-KR"/>
        </w:rPr>
        <w:t xml:space="preserve"> Adult </w:t>
      </w:r>
      <w:r w:rsidR="006A5674" w:rsidRPr="002E55DE">
        <w:rPr>
          <w:rFonts w:eastAsiaTheme="minorEastAsia"/>
          <w:lang w:eastAsia="ko-KR"/>
        </w:rPr>
        <w:t xml:space="preserve">traffic safety </w:t>
      </w:r>
      <w:r w:rsidR="00252572" w:rsidRPr="002E55DE">
        <w:rPr>
          <w:rFonts w:eastAsiaTheme="minorEastAsia"/>
          <w:lang w:eastAsia="ko-KR"/>
        </w:rPr>
        <w:t xml:space="preserve">training classes </w:t>
      </w:r>
      <w:r w:rsidR="00A95D3D" w:rsidRPr="002E55DE">
        <w:rPr>
          <w:rFonts w:eastAsiaTheme="minorEastAsia"/>
          <w:lang w:eastAsia="ko-KR"/>
        </w:rPr>
        <w:t xml:space="preserve">conducted </w:t>
      </w:r>
      <w:r w:rsidR="006A5674" w:rsidRPr="002E55DE">
        <w:rPr>
          <w:rFonts w:eastAsiaTheme="minorEastAsia"/>
          <w:lang w:eastAsia="ko-KR"/>
        </w:rPr>
        <w:t>through</w:t>
      </w:r>
      <w:r w:rsidR="00A95D3D" w:rsidRPr="002E55DE">
        <w:rPr>
          <w:rFonts w:eastAsiaTheme="minorEastAsia"/>
          <w:lang w:eastAsia="ko-KR"/>
        </w:rPr>
        <w:t xml:space="preserve"> </w:t>
      </w:r>
      <w:r w:rsidR="00252572" w:rsidRPr="002E55DE">
        <w:rPr>
          <w:rFonts w:eastAsiaTheme="minorEastAsia"/>
          <w:lang w:eastAsia="ko-KR"/>
        </w:rPr>
        <w:t xml:space="preserve">parent teacher </w:t>
      </w:r>
      <w:r w:rsidR="00A95D3D" w:rsidRPr="002E55DE">
        <w:rPr>
          <w:rFonts w:eastAsiaTheme="minorEastAsia"/>
          <w:lang w:eastAsia="ko-KR"/>
        </w:rPr>
        <w:t xml:space="preserve">associations (PTAs) can be helpful in reducing such unsafe driving and walking practices. </w:t>
      </w:r>
      <w:r w:rsidR="00252572" w:rsidRPr="002E55DE">
        <w:rPr>
          <w:rFonts w:eastAsiaTheme="minorEastAsia"/>
          <w:lang w:eastAsia="ko-KR"/>
        </w:rPr>
        <w:t>Another approach would be to work through schools to promote active living among students in middle and high schools, which</w:t>
      </w:r>
      <w:r w:rsidR="00A95D3D" w:rsidRPr="002E55DE">
        <w:rPr>
          <w:rFonts w:eastAsiaTheme="minorEastAsia"/>
          <w:lang w:eastAsia="ko-KR"/>
        </w:rPr>
        <w:t xml:space="preserve"> </w:t>
      </w:r>
      <w:r w:rsidR="00252572" w:rsidRPr="002E55DE">
        <w:rPr>
          <w:rFonts w:eastAsiaTheme="minorEastAsia"/>
          <w:lang w:eastAsia="ko-KR"/>
        </w:rPr>
        <w:t xml:space="preserve">then </w:t>
      </w:r>
      <w:r w:rsidR="00A95D3D" w:rsidRPr="002E55DE">
        <w:rPr>
          <w:rFonts w:eastAsiaTheme="minorEastAsia"/>
          <w:lang w:eastAsia="ko-KR"/>
        </w:rPr>
        <w:t xml:space="preserve">can increase </w:t>
      </w:r>
      <w:r w:rsidR="00252572" w:rsidRPr="002E55DE">
        <w:rPr>
          <w:rFonts w:eastAsiaTheme="minorEastAsia"/>
          <w:lang w:eastAsia="ko-KR"/>
        </w:rPr>
        <w:t xml:space="preserve">walking among older adults in the household through social companionship effects. </w:t>
      </w:r>
    </w:p>
    <w:p w14:paraId="626074B5" w14:textId="39BA7879" w:rsidR="00371BC4" w:rsidRPr="002E55DE" w:rsidRDefault="00A95D3D" w:rsidP="00662E40">
      <w:pPr>
        <w:pStyle w:val="whitespace-pre-wrap"/>
        <w:spacing w:before="0" w:beforeAutospacing="0" w:after="0" w:afterAutospacing="0"/>
        <w:ind w:firstLine="720"/>
        <w:jc w:val="both"/>
      </w:pPr>
      <w:r w:rsidRPr="002E55DE">
        <w:t>S</w:t>
      </w:r>
      <w:r w:rsidR="00D452EC" w:rsidRPr="002E55DE">
        <w:t>ocioeconomic status</w:t>
      </w:r>
      <w:r w:rsidR="009B59C5" w:rsidRPr="002E55DE">
        <w:t xml:space="preserve"> (SES)</w:t>
      </w:r>
      <w:r w:rsidR="00D452EC" w:rsidRPr="002E55DE">
        <w:t>, including income</w:t>
      </w:r>
      <w:r w:rsidR="00BB0B32" w:rsidRPr="002E55DE">
        <w:t xml:space="preserve"> and race</w:t>
      </w:r>
      <w:r w:rsidR="00D452EC" w:rsidRPr="002E55DE">
        <w:t xml:space="preserve">, </w:t>
      </w:r>
      <w:r w:rsidRPr="002E55DE">
        <w:t xml:space="preserve">also </w:t>
      </w:r>
      <w:r w:rsidR="00D452EC" w:rsidRPr="002E55DE">
        <w:t xml:space="preserve">emerges as a significant factor influencing walking habits, with lower-income individuals and racial minorities often facing </w:t>
      </w:r>
      <w:r w:rsidR="00BB0B32" w:rsidRPr="002E55DE">
        <w:t xml:space="preserve">physical </w:t>
      </w:r>
      <w:r w:rsidR="00D452EC" w:rsidRPr="002E55DE">
        <w:t>barriers to safe and accessible walking infrastructure</w:t>
      </w:r>
      <w:r w:rsidR="009B59C5" w:rsidRPr="002E55DE">
        <w:t xml:space="preserve">. </w:t>
      </w:r>
      <w:r w:rsidR="00371BC4" w:rsidRPr="002E55DE">
        <w:t>For example, w</w:t>
      </w:r>
      <w:r w:rsidR="009B59C5" w:rsidRPr="002E55DE">
        <w:t>hile there are many considerations related to the walking environment in</w:t>
      </w:r>
      <w:r w:rsidR="00CD43F1" w:rsidRPr="002E55DE">
        <w:t xml:space="preserve"> SES </w:t>
      </w:r>
      <w:r w:rsidR="009B59C5" w:rsidRPr="002E55DE">
        <w:t>neighborhoods,</w:t>
      </w:r>
      <w:r w:rsidR="00262A27" w:rsidRPr="002E55DE">
        <w:rPr>
          <w:rFonts w:eastAsiaTheme="minorEastAsia" w:hint="eastAsia"/>
          <w:lang w:eastAsia="ko-KR"/>
        </w:rPr>
        <w:t xml:space="preserve"> </w:t>
      </w:r>
      <w:r w:rsidR="00262A27"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{"citationID":"mK1KKll3","properties":{"formattedCitation":"(Haddad et al., 2023)","plainCitation":"(Haddad et al., 2023)","dontUpdate":true,"noteIndex":0},"citationItems":[{"id":"4nY7bDZH/5Yd8HiMJ","uris":["http://zotero.org/users/10132210/items/8D4Z6V34"],"itemData":{"id":1164,"type":"article-journal","abstract":"In this paper, we unpack the magnitude effects of the determinants of pedestrian crashes using a multivariate analysis approach. We consider four sets of exogenous factors that characterize residential neighborhoods as well as potentially affect pedestrian crashes and the racial composition of such crashes: (1) crash risk exposure (CE) attributes, (2) cultural variables, (3) built environment (BE) features, and (4) sociodemographic (SD) factors. Our investigation uses pedestrian crash and related data from the City of Houston, Texas, which we analyze at the spatial Census Block Group (CBG) level. Our results indicate that social resistance considerations (that is, minorities resisting norms as they are perceived as being set by the majority group), density of transit stops, and road design considerations (in particular in and around areas with high land-use diversity) are the three strongest determinants of pedestrian crashes, particularly in CBGs with a majority of the resident population being Black. The findings of this study can enable policymakers and planners to develop more effective countermeasures and interventions to contain the growing number of pedestrian crashes in recent years, as well as racial disparities in pedestrian crashes. Importantly, transportation safety engineers need to work with social scientists and engage with community leaders to build trust before leaping into implementing planning countermeasures and interventions. Issues of social resistance, in particular, need to be kept in mind.","container-title":"Accident Analysis &amp; Prevention","DOI":"10.1016/j.aap.2023.106954","ISSN":"00014575","journalAbbreviation":"Accident Analysis &amp; Prevention","language":"en","page":"106954","source":"DOI.org (Crossref)","title":"Pedestrian crash frequency: Unpacking the effects of contributing factors and racial disparities","title-short":"Pedestrian crash frequency","volume":"182","author":[{"family":"Haddad","given":"Angela J."},{"family":"Mondal","given":"Aupal"},{"family":"Bhat","given":"Chandra R."},{"family":"Zhang","given":"Angie"},{"family":"Liao","given":"Madison C."},{"family":"Macias","given":"Lisa J."},{"family":"Lee","given":"Min Kyung"},{"family":"Watkins","given":"S. Craig"}],"issued":{"date-parts":[["2023",3]]}}}],"schema":"https://github.com/citation-style-language/schema/raw/master/csl-citation.json"} </w:instrText>
      </w:r>
      <w:r w:rsidR="00262A27" w:rsidRPr="002E55DE">
        <w:rPr>
          <w:rFonts w:eastAsiaTheme="minorEastAsia"/>
          <w:lang w:eastAsia="ko-KR"/>
        </w:rPr>
        <w:fldChar w:fldCharType="separate"/>
      </w:r>
      <w:r w:rsidR="00262A27" w:rsidRPr="002E55DE">
        <w:rPr>
          <w:rFonts w:eastAsiaTheme="minorEastAsia"/>
        </w:rPr>
        <w:t xml:space="preserve">Haddad et al. </w:t>
      </w:r>
      <w:r w:rsidR="00680E11" w:rsidRPr="002E55DE">
        <w:rPr>
          <w:rFonts w:eastAsiaTheme="minorEastAsia" w:hint="eastAsia"/>
          <w:lang w:eastAsia="ko-KR"/>
        </w:rPr>
        <w:t>(</w:t>
      </w:r>
      <w:r w:rsidR="00262A27" w:rsidRPr="002E55DE">
        <w:rPr>
          <w:rFonts w:eastAsiaTheme="minorEastAsia"/>
        </w:rPr>
        <w:t>2023)</w:t>
      </w:r>
      <w:r w:rsidR="00262A27" w:rsidRPr="002E55DE">
        <w:rPr>
          <w:rFonts w:eastAsiaTheme="minorEastAsia"/>
          <w:lang w:eastAsia="ko-KR"/>
        </w:rPr>
        <w:fldChar w:fldCharType="end"/>
      </w:r>
      <w:r w:rsidR="00680E11" w:rsidRPr="002E55DE">
        <w:rPr>
          <w:rFonts w:eastAsiaTheme="minorEastAsia" w:hint="eastAsia"/>
          <w:lang w:eastAsia="ko-KR"/>
        </w:rPr>
        <w:t xml:space="preserve"> </w:t>
      </w:r>
      <w:r w:rsidR="009B59C5" w:rsidRPr="002E55DE">
        <w:t>observed that high transit use (typical in SES neighborhoods), combined with the traditional bus stop</w:t>
      </w:r>
      <w:r w:rsidR="00CD43F1" w:rsidRPr="002E55DE">
        <w:t xml:space="preserve"> placement </w:t>
      </w:r>
      <w:r w:rsidR="009B59C5" w:rsidRPr="002E55DE">
        <w:t xml:space="preserve">in close proximity of intersection crosswalks, contribute </w:t>
      </w:r>
      <w:r w:rsidR="006F6F47" w:rsidRPr="002E55DE">
        <w:t>substantially to</w:t>
      </w:r>
      <w:r w:rsidR="009B59C5" w:rsidRPr="002E55DE">
        <w:t xml:space="preserve"> pedestrian crashes. This </w:t>
      </w:r>
      <w:r w:rsidR="00CD43F1" w:rsidRPr="002E55DE">
        <w:t xml:space="preserve">traditional </w:t>
      </w:r>
      <w:r w:rsidR="00371BC4" w:rsidRPr="002E55DE">
        <w:t xml:space="preserve">stop </w:t>
      </w:r>
      <w:r w:rsidR="00CD43F1" w:rsidRPr="002E55DE">
        <w:t xml:space="preserve">placement serves to reduce </w:t>
      </w:r>
      <w:r w:rsidR="009B59C5" w:rsidRPr="002E55DE">
        <w:t xml:space="preserve">the </w:t>
      </w:r>
      <w:r w:rsidR="00C82D72" w:rsidRPr="002E55DE">
        <w:t>walking</w:t>
      </w:r>
      <w:r w:rsidR="009B59C5" w:rsidRPr="002E55DE">
        <w:t xml:space="preserve"> distance from across the street to a bus stop. </w:t>
      </w:r>
      <w:r w:rsidR="00CD43F1" w:rsidRPr="002E55DE">
        <w:t xml:space="preserve">But it </w:t>
      </w:r>
      <w:r w:rsidR="009B59C5" w:rsidRPr="002E55DE">
        <w:t xml:space="preserve">also reduces the field of vision </w:t>
      </w:r>
      <w:r w:rsidR="00CD43F1" w:rsidRPr="002E55DE">
        <w:t xml:space="preserve">of a crossing pedestrian </w:t>
      </w:r>
      <w:r w:rsidR="009B59C5" w:rsidRPr="002E55DE">
        <w:t xml:space="preserve">and also </w:t>
      </w:r>
      <w:r w:rsidR="005B4CDB" w:rsidRPr="002E55DE">
        <w:t xml:space="preserve">lowers the ability of </w:t>
      </w:r>
      <w:r w:rsidR="00CD43F1" w:rsidRPr="002E55DE">
        <w:t>bus drivers</w:t>
      </w:r>
      <w:r w:rsidR="005B4CDB" w:rsidRPr="002E55DE">
        <w:t xml:space="preserve"> </w:t>
      </w:r>
      <w:r w:rsidR="00CD43F1" w:rsidRPr="002E55DE">
        <w:t>to spot crossing pedestrians (especially when making left turns;</w:t>
      </w:r>
      <w:r w:rsidR="00DD375F" w:rsidRPr="002E55DE">
        <w:rPr>
          <w:rFonts w:eastAsiaTheme="minorEastAsia" w:hint="eastAsia"/>
          <w:lang w:eastAsia="ko-KR"/>
        </w:rPr>
        <w:t xml:space="preserve"> </w:t>
      </w:r>
      <w:r w:rsidR="00DD375F" w:rsidRPr="002E55DE">
        <w:rPr>
          <w:rFonts w:eastAsiaTheme="minorEastAsia"/>
          <w:lang w:eastAsia="ko-KR"/>
        </w:rPr>
        <w:fldChar w:fldCharType="begin"/>
      </w:r>
      <w:r w:rsidR="00A254CC" w:rsidRPr="002E55DE">
        <w:rPr>
          <w:rFonts w:eastAsiaTheme="minorEastAsia"/>
          <w:lang w:eastAsia="ko-KR"/>
        </w:rPr>
        <w:instrText xml:space="preserve"> ADDIN ZOTERO_ITEM CSL_CITATION {"citationID":"NpFhaMVe","properties":{"formattedCitation":"(Samerei et al., 2021)","plainCitation":"(Samerei et al., 2021)","dontUpdate":true,"noteIndex":0},"citationItems":[{"id":"4nY7bDZH/OB74Ag2e","uris":["http://zotero.org/users/10132210/items/BDIQ9YCL"],"itemData":{"id":1622,"type":"article-journal","abstract":"Understanding the relationship between bus-pedestrian crash severity and factors contributing to such crashes is important. However, there exists a dearth of research on the factors affecting bus-pedestrian crash severity. This study aims to fulfil this gap by investigating the factors affecting the severity of pedestrian injuries. A data set of bus-pedestrian crashes in the State of Victoria, Australia was analysed over the period of 2006 À 2019. Through the results of association rule discovery method, the factors that increase the risk of pedestrian fatality are darkness, pedestrian walking on carriageway with traffic, intersections, high speed zone, old pedestrian, young bus driver and weekend holidays. Furthermore, co-occurrence of factors that increase the risk of a pedestrian fatality were extracted. To reduce the injuries of bus-pedestrian crashes, we recommend improving the light conditions, reducing the jaywalking behaviour of pedestrians, implementing speed bumps in high speed zones and installing pedestrian detection systems on buses.","container-title":"International Journal of Injury Control and Safety Promotion","DOI":"10.1080/17457300.2021.1907597","ISSN":"1745-7300, 1745-7319","issue":"2","journalAbbreviation":"International Journal of Injury Control and Safety Promotion","language":"en","page":"233-242","source":"DOI.org (Crossref)","title":"Modelling bus-pedestrian crash severity in the state of Victoria, Australia","volume":"28","author":[{"family":"Samerei","given":"Seyed Alireza"},{"family":"Aghabayk","given":"Kayvan"},{"family":"Shiwakoti","given":"Nirajan"},{"family":"Karimi","given":"Sajjad"}],"issued":{"date-parts":[["2021",4,3]]}}}],"schema":"https://github.com/citation-style-language/schema/raw/master/csl-citation.json"} </w:instrText>
      </w:r>
      <w:r w:rsidR="00DD375F" w:rsidRPr="002E55DE">
        <w:rPr>
          <w:rFonts w:eastAsiaTheme="minorEastAsia"/>
          <w:lang w:eastAsia="ko-KR"/>
        </w:rPr>
        <w:fldChar w:fldCharType="separate"/>
      </w:r>
      <w:r w:rsidR="00DD375F" w:rsidRPr="002E55DE">
        <w:rPr>
          <w:rFonts w:eastAsiaTheme="minorEastAsia"/>
        </w:rPr>
        <w:t>Samerei et al., 2021)</w:t>
      </w:r>
      <w:r w:rsidR="00DD375F" w:rsidRPr="002E55DE">
        <w:rPr>
          <w:rFonts w:eastAsiaTheme="minorEastAsia"/>
          <w:lang w:eastAsia="ko-KR"/>
        </w:rPr>
        <w:fldChar w:fldCharType="end"/>
      </w:r>
      <w:r w:rsidR="00C1629F" w:rsidRPr="002E55DE">
        <w:rPr>
          <w:rFonts w:eastAsiaTheme="minorEastAsia"/>
          <w:lang w:eastAsia="ko-KR"/>
        </w:rPr>
        <w:t>.</w:t>
      </w:r>
      <w:r w:rsidR="005E47BF" w:rsidRPr="002E55DE">
        <w:rPr>
          <w:rFonts w:eastAsiaTheme="minorEastAsia" w:hint="eastAsia"/>
          <w:lang w:eastAsia="ko-KR"/>
        </w:rPr>
        <w:t xml:space="preserve"> </w:t>
      </w:r>
      <w:r w:rsidR="00CD43F1" w:rsidRPr="002E55DE">
        <w:t>Focused bus driver training programs</w:t>
      </w:r>
      <w:r w:rsidR="00371BC4" w:rsidRPr="002E55DE">
        <w:t>, particularly for drivers traveling</w:t>
      </w:r>
      <w:r w:rsidR="00CD43F1" w:rsidRPr="002E55DE">
        <w:t xml:space="preserve"> </w:t>
      </w:r>
      <w:r w:rsidR="00371BC4" w:rsidRPr="002E55DE">
        <w:t xml:space="preserve">routes through neighborhoods with a high share of transit users and pedestrian movement, </w:t>
      </w:r>
      <w:r w:rsidR="00CD43F1" w:rsidRPr="002E55DE">
        <w:t xml:space="preserve">can help </w:t>
      </w:r>
      <w:r w:rsidR="00371BC4" w:rsidRPr="002E55DE">
        <w:t>improve</w:t>
      </w:r>
      <w:r w:rsidR="00CD43F1" w:rsidRPr="002E55DE">
        <w:t xml:space="preserve"> </w:t>
      </w:r>
      <w:r w:rsidR="00371BC4" w:rsidRPr="002E55DE">
        <w:t xml:space="preserve">traffic </w:t>
      </w:r>
      <w:r w:rsidR="00CD43F1" w:rsidRPr="002E55DE">
        <w:t xml:space="preserve">safety at </w:t>
      </w:r>
      <w:r w:rsidR="009B59C5" w:rsidRPr="002E55DE">
        <w:t>transit-embarking and transit-disembarking points</w:t>
      </w:r>
      <w:r w:rsidR="00371BC4" w:rsidRPr="002E55DE">
        <w:t xml:space="preserve">. Other investments to promote walking in SES neighborhoods can include providing adequate lighting, benches, and green spaces. </w:t>
      </w:r>
      <w:r w:rsidR="0066557C" w:rsidRPr="002E55DE">
        <w:fldChar w:fldCharType="begin"/>
      </w:r>
      <w:r w:rsidR="00A254CC" w:rsidRPr="002E55DE">
        <w:instrText xml:space="preserve"> ADDIN ZOTERO_ITEM CSL_CITATION {"citationID":"mO3Ma4zI","properties":{"formattedCitation":"(Richardson et al., 2020)","plainCitation":"(Richardson et al., 2020)","dontUpdate":true,"noteIndex":0},"citationItems":[{"id":"4nY7bDZH/XTYrSX65","uris":["http://zotero.org/users/10132210/items/FCPXKT4Y"],"itemData":{"id":1163,"type":"article-journal","container-title":"Journal of Urban Health","DOI":"10.1007/s11524-019-00416-7","ISSN":"1099-3460, 1468-2869","issue":"2","journalAbbreviation":"J Urban Health","language":"en","page":"204-212","source":"DOI.org (Crossref)","title":"Improved Street Walkability, Incivilities, and Esthetics Are Associated with Greater Park Use in Two Low-Income Neighborhoods","volume":"97","author":[{"family":"Richardson","given":"Andrea S."},{"family":"Ghosh-Dastidar","given":"Madhumita"},{"family":"Collins","given":"Rebecca L."},{"family":"Hunter","given":"Gerald P."},{"family":"Troxel","given":"Wendy M."},{"family":"Colabianchi","given":"Natalie"},{"family":"Cohen","given":"Deborah A."},{"family":"Dubowitz","given":"Tamara"}],"issued":{"date-parts":[["2020",4]]}}}],"schema":"https://github.com/citation-style-language/schema/raw/master/csl-citation.json"} </w:instrText>
      </w:r>
      <w:r w:rsidR="0066557C" w:rsidRPr="002E55DE">
        <w:fldChar w:fldCharType="separate"/>
      </w:r>
      <w:r w:rsidR="0066557C" w:rsidRPr="002E55DE">
        <w:t>Richardson et al.</w:t>
      </w:r>
      <w:r w:rsidR="00B95DB3" w:rsidRPr="002E55DE">
        <w:rPr>
          <w:rFonts w:eastAsiaTheme="minorEastAsia" w:hint="eastAsia"/>
          <w:lang w:eastAsia="ko-KR"/>
        </w:rPr>
        <w:t xml:space="preserve"> (</w:t>
      </w:r>
      <w:r w:rsidR="0066557C" w:rsidRPr="002E55DE">
        <w:t>2020)</w:t>
      </w:r>
      <w:r w:rsidR="0066557C" w:rsidRPr="002E55DE">
        <w:fldChar w:fldCharType="end"/>
      </w:r>
      <w:r w:rsidR="00371BC4" w:rsidRPr="002E55DE">
        <w:t xml:space="preserve"> reported an increase in walking within parks when such safety </w:t>
      </w:r>
      <w:r w:rsidR="00532A4C" w:rsidRPr="002E55DE">
        <w:t xml:space="preserve">investments were made in the immediate proximity of SES neighborhoods. </w:t>
      </w:r>
    </w:p>
    <w:p w14:paraId="39F4E4F9" w14:textId="77777777" w:rsidR="00662E40" w:rsidRPr="002E55DE" w:rsidRDefault="00662E40" w:rsidP="00662E40">
      <w:pPr>
        <w:pStyle w:val="whitespace-pre-wrap"/>
        <w:spacing w:before="0" w:beforeAutospacing="0" w:after="0" w:afterAutospacing="0"/>
        <w:ind w:firstLine="720"/>
        <w:jc w:val="both"/>
        <w:rPr>
          <w:rFonts w:eastAsiaTheme="minorEastAsia"/>
          <w:lang w:eastAsia="ko-KR"/>
        </w:rPr>
      </w:pPr>
    </w:p>
    <w:p w14:paraId="599AA1DF" w14:textId="1E821DD0" w:rsidR="0056012E" w:rsidRPr="002E55DE" w:rsidRDefault="00426A6E" w:rsidP="00742170">
      <w:pPr>
        <w:pStyle w:val="Heading2"/>
        <w:ind w:hanging="540"/>
        <w:rPr>
          <w:lang w:eastAsia="ko-KR"/>
        </w:rPr>
      </w:pPr>
      <w:r w:rsidRPr="002E55DE">
        <w:rPr>
          <w:lang w:eastAsia="ko-KR"/>
        </w:rPr>
        <w:t xml:space="preserve">Technology and </w:t>
      </w:r>
      <w:r w:rsidR="006A5674" w:rsidRPr="002E55DE">
        <w:rPr>
          <w:lang w:eastAsia="ko-KR"/>
        </w:rPr>
        <w:t>Awareness</w:t>
      </w:r>
      <w:r w:rsidR="00AA00B5" w:rsidRPr="002E55DE">
        <w:rPr>
          <w:lang w:eastAsia="ko-KR"/>
        </w:rPr>
        <w:t xml:space="preserve"> </w:t>
      </w:r>
      <w:r w:rsidR="006A5674" w:rsidRPr="002E55DE">
        <w:rPr>
          <w:lang w:eastAsia="ko-KR"/>
        </w:rPr>
        <w:t>Programs</w:t>
      </w:r>
    </w:p>
    <w:p w14:paraId="366ECBD6" w14:textId="6A082FDF" w:rsidR="00D452EC" w:rsidRPr="002E55DE" w:rsidRDefault="00D452EC" w:rsidP="00662E40">
      <w:pPr>
        <w:jc w:val="both"/>
        <w:rPr>
          <w:rFonts w:ascii="Times New Roman" w:hAnsi="Times New Roman"/>
        </w:rPr>
      </w:pPr>
      <w:r w:rsidRPr="002E55DE">
        <w:rPr>
          <w:rFonts w:ascii="Times New Roman" w:hAnsi="Times New Roman"/>
        </w:rPr>
        <w:t xml:space="preserve">Raising awareness </w:t>
      </w:r>
      <w:r w:rsidR="0027056D" w:rsidRPr="002E55DE">
        <w:rPr>
          <w:rFonts w:ascii="Times New Roman" w:hAnsi="Times New Roman" w:hint="eastAsia"/>
        </w:rPr>
        <w:t>o</w:t>
      </w:r>
      <w:r w:rsidR="0027056D" w:rsidRPr="002E55DE">
        <w:rPr>
          <w:rFonts w:ascii="Times New Roman" w:hAnsi="Times New Roman"/>
        </w:rPr>
        <w:t xml:space="preserve">f </w:t>
      </w:r>
      <w:r w:rsidRPr="002E55DE">
        <w:rPr>
          <w:rFonts w:ascii="Times New Roman" w:hAnsi="Times New Roman" w:hint="eastAsia"/>
        </w:rPr>
        <w:t xml:space="preserve">the </w:t>
      </w:r>
      <w:r w:rsidRPr="002E55DE">
        <w:rPr>
          <w:rFonts w:ascii="Times New Roman" w:hAnsi="Times New Roman"/>
        </w:rPr>
        <w:t>physical and mental health benefits of regular walking</w:t>
      </w:r>
      <w:r w:rsidRPr="002E55DE">
        <w:rPr>
          <w:rFonts w:ascii="Times New Roman" w:hAnsi="Times New Roman" w:hint="eastAsia"/>
        </w:rPr>
        <w:t xml:space="preserve"> </w:t>
      </w:r>
      <w:r w:rsidR="0027056D" w:rsidRPr="002E55DE">
        <w:rPr>
          <w:rFonts w:ascii="Times New Roman" w:hAnsi="Times New Roman"/>
        </w:rPr>
        <w:t>can be</w:t>
      </w:r>
      <w:r w:rsidRPr="002E55DE">
        <w:rPr>
          <w:rFonts w:ascii="Times New Roman" w:hAnsi="Times New Roman"/>
        </w:rPr>
        <w:t xml:space="preserve"> a</w:t>
      </w:r>
      <w:r w:rsidR="00532A4C" w:rsidRPr="002E55DE">
        <w:rPr>
          <w:rFonts w:ascii="Times New Roman" w:hAnsi="Times New Roman"/>
        </w:rPr>
        <w:t>nother</w:t>
      </w:r>
      <w:r w:rsidRPr="002E55DE">
        <w:rPr>
          <w:rFonts w:ascii="Times New Roman" w:hAnsi="Times New Roman"/>
        </w:rPr>
        <w:t xml:space="preserve"> useful strategy</w:t>
      </w:r>
      <w:r w:rsidR="00532A4C" w:rsidRPr="002E55DE">
        <w:rPr>
          <w:rFonts w:ascii="Times New Roman" w:hAnsi="Times New Roman"/>
        </w:rPr>
        <w:t xml:space="preserve"> </w:t>
      </w:r>
      <w:r w:rsidRPr="002E55DE">
        <w:rPr>
          <w:rFonts w:ascii="Times New Roman" w:hAnsi="Times New Roman"/>
        </w:rPr>
        <w:t>for promoting active lifestyles among seniors</w:t>
      </w:r>
      <w:r w:rsidR="003123FA" w:rsidRPr="002E55DE">
        <w:rPr>
          <w:rFonts w:ascii="Times New Roman" w:hAnsi="Times New Roman"/>
        </w:rPr>
        <w:t xml:space="preserve">. </w:t>
      </w:r>
      <w:r w:rsidR="00D1345E" w:rsidRPr="002E55DE">
        <w:rPr>
          <w:rFonts w:ascii="Times New Roman" w:hAnsi="Times New Roman"/>
        </w:rPr>
        <w:t>Impactful</w:t>
      </w:r>
      <w:r w:rsidR="00D1345E" w:rsidRPr="002E55DE">
        <w:t xml:space="preserve"> education campaigns </w:t>
      </w:r>
      <w:r w:rsidR="005B4CDB" w:rsidRPr="002E55DE">
        <w:t>through both traditional</w:t>
      </w:r>
      <w:r w:rsidR="00D1345E" w:rsidRPr="002E55DE">
        <w:t xml:space="preserve"> media channels</w:t>
      </w:r>
      <w:r w:rsidR="005B4CDB" w:rsidRPr="002E55DE">
        <w:t xml:space="preserve"> (</w:t>
      </w:r>
      <w:r w:rsidR="00D1345E" w:rsidRPr="002E55DE">
        <w:t>television</w:t>
      </w:r>
      <w:r w:rsidR="005B4CDB" w:rsidRPr="002E55DE">
        <w:t xml:space="preserve"> and radio) and digital social media can be effective, as </w:t>
      </w:r>
      <w:r w:rsidR="00D1345E" w:rsidRPr="002E55DE">
        <w:t xml:space="preserve">adults over 50 spend </w:t>
      </w:r>
      <w:r w:rsidR="006F6F47" w:rsidRPr="002E55DE">
        <w:t xml:space="preserve">a good part of their awake </w:t>
      </w:r>
      <w:r w:rsidR="005B4CDB" w:rsidRPr="002E55DE">
        <w:t xml:space="preserve">time watching TV and spend a comparable amount of time on social media relative to their younger peers </w:t>
      </w:r>
      <w:r w:rsidR="00062FFF" w:rsidRPr="002E55DE">
        <w:fldChar w:fldCharType="begin"/>
      </w:r>
      <w:r w:rsidR="00A254CC" w:rsidRPr="002E55DE">
        <w:instrText xml:space="preserve"> ADDIN ZOTERO_ITEM CSL_CITATION {"citationID":"y7qf3Hi3","properties":{"formattedCitation":"(Sheldon et al., 2021)","plainCitation":"(Sheldon et al., 2021)","dontUpdate":true,"noteIndex":0},"citationItems":[{"id":"4nY7bDZH/v6WwISlM","uris":["http://zotero.org/users/10132210/items/HHZKGSXP"],"itemData":{"id":1174,"type":"article-journal","abstract":"Social media research tends to prioritize how young adults – and college students, in particular – use social network sites. While several studies have focused on how Facebook can help alleviate loneliness among older adults, the motives for using other social media platforms, including Instagram, have not been adequately explored. This study therefore focuses on how a uses and gratiﬁcations framework applies to older users of Facebook and Instagram, including the relationship to contextual age. A survey of 414 Baby Boomers and Traditionalists was conducted in the Fall of 2019. The results revealed that older adults rely on Facebook and Instagram to compensate for the lack of social activity and face-to-face interactions in their daily lives. These patterns are consistent with social compensation hypothesis and contradict the ﬁndings of studies done with college students. In addition, the older adults' life satisfaction was a negative predictor of using these sites for companionship and diversion. Future research should furthermore explore how other personality traits and social situations might inﬂuence older individuals use of social media. This knowledge can be particularly useful in times of health pandemic, such as COVID-19, when so many older individuals are conﬁned to their homes and rely on social media for interaction and entertainment. Insight into intergenerational social media usage differences can also beneﬁt advertisers, policy makers, recreational groups, healthcare and social services.","container-title":"Heliyon","DOI":"10.1016/j.heliyon.2021.e06670","ISSN":"24058440","issue":"4","journalAbbreviation":"Heliyon","language":"en","page":"e06670","source":"DOI.org (Crossref)","title":"Baby Boomers' use of Facebook and Instagram: uses and gratifications theory and contextual age indicators","title-short":"Baby Boomers' use of Facebook and Instagram","volume":"7","author":[{"family":"Sheldon","given":"Pavica"},{"family":"Antony","given":"Mary Grace"},{"family":"Ware","given":"Lynn Johnson"}],"issued":{"date-parts":[["2021",4]]}}}],"schema":"https://github.com/citation-style-language/schema/raw/master/csl-citation.json"} </w:instrText>
      </w:r>
      <w:r w:rsidR="00062FFF" w:rsidRPr="002E55DE">
        <w:fldChar w:fldCharType="separate"/>
      </w:r>
      <w:r w:rsidR="00062FFF" w:rsidRPr="002E55DE">
        <w:rPr>
          <w:rFonts w:cs="Times"/>
        </w:rPr>
        <w:t xml:space="preserve">(see Sheldon et al., </w:t>
      </w:r>
      <w:r w:rsidR="00062FFF" w:rsidRPr="002E55DE">
        <w:rPr>
          <w:rFonts w:cs="Times"/>
        </w:rPr>
        <w:lastRenderedPageBreak/>
        <w:t>2021)</w:t>
      </w:r>
      <w:r w:rsidR="00062FFF" w:rsidRPr="002E55DE">
        <w:fldChar w:fldCharType="end"/>
      </w:r>
      <w:r w:rsidR="00062FFF" w:rsidRPr="002E55DE">
        <w:t xml:space="preserve">. </w:t>
      </w:r>
      <w:r w:rsidRPr="002E55DE">
        <w:rPr>
          <w:rFonts w:ascii="Times New Roman" w:hAnsi="Times New Roman"/>
        </w:rPr>
        <w:t>Similarly, culturally relevant campaigns spearheaded by influencers from underserved communities can effectively communicate the availability of safe, accessible walking environments</w:t>
      </w:r>
      <w:r w:rsidR="006A5674" w:rsidRPr="002E55DE">
        <w:rPr>
          <w:rFonts w:ascii="Times New Roman" w:hAnsi="Times New Roman"/>
        </w:rPr>
        <w:t>,</w:t>
      </w:r>
      <w:r w:rsidRPr="002E55DE">
        <w:rPr>
          <w:rFonts w:ascii="Times New Roman" w:hAnsi="Times New Roman"/>
        </w:rPr>
        <w:t xml:space="preserve"> while </w:t>
      </w:r>
      <w:r w:rsidR="006A5674" w:rsidRPr="002E55DE">
        <w:rPr>
          <w:rFonts w:ascii="Times New Roman" w:hAnsi="Times New Roman"/>
        </w:rPr>
        <w:t xml:space="preserve">providing </w:t>
      </w:r>
      <w:r w:rsidRPr="002E55DE">
        <w:rPr>
          <w:rFonts w:ascii="Times New Roman" w:hAnsi="Times New Roman"/>
        </w:rPr>
        <w:t xml:space="preserve">practical tips and strategies tailored to the specific needs and concerns of each target audience. </w:t>
      </w:r>
    </w:p>
    <w:p w14:paraId="538E9FA4" w14:textId="00BE7322" w:rsidR="00D452EC" w:rsidRPr="002E55DE" w:rsidRDefault="006A5674" w:rsidP="007B3FB7">
      <w:pPr>
        <w:ind w:firstLine="720"/>
        <w:jc w:val="both"/>
        <w:rPr>
          <w:rFonts w:ascii="Times New Roman" w:hAnsi="Times New Roman"/>
          <w:szCs w:val="24"/>
        </w:rPr>
      </w:pPr>
      <w:r w:rsidRPr="002E55DE">
        <w:rPr>
          <w:rFonts w:ascii="Times New Roman" w:hAnsi="Times New Roman"/>
        </w:rPr>
        <w:t xml:space="preserve">Awareness </w:t>
      </w:r>
      <w:r w:rsidR="00D1345E" w:rsidRPr="002E55DE">
        <w:rPr>
          <w:rFonts w:ascii="Times New Roman" w:hAnsi="Times New Roman"/>
        </w:rPr>
        <w:t xml:space="preserve">campaigns </w:t>
      </w:r>
      <w:r w:rsidRPr="002E55DE">
        <w:rPr>
          <w:rFonts w:ascii="Times New Roman" w:hAnsi="Times New Roman"/>
        </w:rPr>
        <w:t xml:space="preserve">can also be complemented </w:t>
      </w:r>
      <w:r w:rsidR="00D1345E" w:rsidRPr="002E55DE">
        <w:rPr>
          <w:rFonts w:ascii="Times New Roman" w:hAnsi="Times New Roman"/>
        </w:rPr>
        <w:t xml:space="preserve">with </w:t>
      </w:r>
      <w:r w:rsidR="00062FFF" w:rsidRPr="002E55DE">
        <w:rPr>
          <w:rFonts w:ascii="Times New Roman" w:hAnsi="Times New Roman"/>
        </w:rPr>
        <w:t xml:space="preserve">approaches </w:t>
      </w:r>
      <w:r w:rsidRPr="002E55DE">
        <w:rPr>
          <w:rFonts w:ascii="Times New Roman" w:hAnsi="Times New Roman"/>
        </w:rPr>
        <w:t xml:space="preserve">that </w:t>
      </w:r>
      <w:r w:rsidR="00062FFF" w:rsidRPr="002E55DE">
        <w:rPr>
          <w:rFonts w:ascii="Times New Roman" w:hAnsi="Times New Roman"/>
        </w:rPr>
        <w:t>leverag</w:t>
      </w:r>
      <w:r w:rsidRPr="002E55DE">
        <w:rPr>
          <w:rFonts w:ascii="Times New Roman" w:hAnsi="Times New Roman"/>
        </w:rPr>
        <w:t>e</w:t>
      </w:r>
      <w:r w:rsidR="00062FFF" w:rsidRPr="002E55DE">
        <w:rPr>
          <w:rFonts w:ascii="Times New Roman" w:hAnsi="Times New Roman"/>
        </w:rPr>
        <w:t xml:space="preserve"> </w:t>
      </w:r>
      <w:r w:rsidR="00BB0B32" w:rsidRPr="002E55DE">
        <w:rPr>
          <w:rFonts w:ascii="Times New Roman" w:hAnsi="Times New Roman"/>
        </w:rPr>
        <w:t xml:space="preserve">wearable </w:t>
      </w:r>
      <w:r w:rsidR="00D1345E" w:rsidRPr="002E55DE">
        <w:rPr>
          <w:rFonts w:ascii="Times New Roman" w:hAnsi="Times New Roman"/>
        </w:rPr>
        <w:t>activity</w:t>
      </w:r>
      <w:r w:rsidRPr="002E55DE">
        <w:rPr>
          <w:rFonts w:ascii="Times New Roman" w:hAnsi="Times New Roman"/>
        </w:rPr>
        <w:t>-</w:t>
      </w:r>
      <w:r w:rsidR="00BB0B32" w:rsidRPr="002E55DE">
        <w:rPr>
          <w:rFonts w:ascii="Times New Roman" w:hAnsi="Times New Roman"/>
        </w:rPr>
        <w:t xml:space="preserve"> and fitness</w:t>
      </w:r>
      <w:r w:rsidR="0027056D" w:rsidRPr="002E55DE">
        <w:rPr>
          <w:rFonts w:ascii="Times New Roman" w:hAnsi="Times New Roman"/>
        </w:rPr>
        <w:t>-</w:t>
      </w:r>
      <w:r w:rsidR="00D1345E" w:rsidRPr="002E55DE">
        <w:rPr>
          <w:rFonts w:ascii="Times New Roman" w:hAnsi="Times New Roman"/>
        </w:rPr>
        <w:t xml:space="preserve">tracking </w:t>
      </w:r>
      <w:r w:rsidR="00BB0B32" w:rsidRPr="002E55DE">
        <w:rPr>
          <w:rFonts w:ascii="Times New Roman" w:hAnsi="Times New Roman"/>
        </w:rPr>
        <w:t>devices</w:t>
      </w:r>
      <w:r w:rsidR="00D1345E" w:rsidRPr="002E55DE">
        <w:rPr>
          <w:rFonts w:ascii="Times New Roman" w:hAnsi="Times New Roman"/>
        </w:rPr>
        <w:t xml:space="preserve">. </w:t>
      </w:r>
      <w:r w:rsidR="00BB0B32" w:rsidRPr="002E55DE">
        <w:rPr>
          <w:rFonts w:ascii="Times New Roman" w:hAnsi="Times New Roman"/>
        </w:rPr>
        <w:t>Although</w:t>
      </w:r>
      <w:r w:rsidR="00D1345E" w:rsidRPr="002E55DE">
        <w:rPr>
          <w:rFonts w:ascii="Times New Roman" w:hAnsi="Times New Roman"/>
        </w:rPr>
        <w:t xml:space="preserve"> the</w:t>
      </w:r>
      <w:r w:rsidR="00BB0B32" w:rsidRPr="002E55DE">
        <w:rPr>
          <w:rFonts w:ascii="Times New Roman" w:hAnsi="Times New Roman"/>
        </w:rPr>
        <w:t>ir</w:t>
      </w:r>
      <w:r w:rsidR="00D1345E" w:rsidRPr="002E55DE">
        <w:rPr>
          <w:rFonts w:ascii="Times New Roman" w:hAnsi="Times New Roman"/>
        </w:rPr>
        <w:t xml:space="preserve"> long-term impact on user behavior </w:t>
      </w:r>
      <w:r w:rsidR="00BB0B32" w:rsidRPr="002E55DE">
        <w:rPr>
          <w:rFonts w:ascii="Times New Roman" w:hAnsi="Times New Roman"/>
        </w:rPr>
        <w:t>is still being studied</w:t>
      </w:r>
      <w:r w:rsidR="00D1345E" w:rsidRPr="002E55DE">
        <w:rPr>
          <w:rFonts w:ascii="Times New Roman" w:hAnsi="Times New Roman"/>
        </w:rPr>
        <w:t xml:space="preserve"> (</w:t>
      </w:r>
      <w:r w:rsidR="00D1345E" w:rsidRPr="002E55DE">
        <w:rPr>
          <w:rFonts w:ascii="Times New Roman" w:hAnsi="Times New Roman" w:hint="eastAsia"/>
        </w:rPr>
        <w:t>as</w:t>
      </w:r>
      <w:r w:rsidR="00D1345E" w:rsidRPr="002E55DE">
        <w:rPr>
          <w:rFonts w:ascii="Times New Roman" w:hAnsi="Times New Roman"/>
        </w:rPr>
        <w:t xml:space="preserve"> reported by </w:t>
      </w:r>
      <w:r w:rsidR="00D1345E" w:rsidRPr="002E55DE">
        <w:rPr>
          <w:rFonts w:ascii="Times New Roman" w:hAnsi="Times New Roman"/>
        </w:rPr>
        <w:fldChar w:fldCharType="begin"/>
      </w:r>
      <w:r w:rsidR="00A254CC" w:rsidRPr="002E55DE">
        <w:rPr>
          <w:rFonts w:ascii="Times New Roman" w:hAnsi="Times New Roman"/>
        </w:rPr>
        <w:instrText xml:space="preserve"> ADDIN ZOTERO_ITEM CSL_CITATION {"citationID":"Jqx6KGG9","properties":{"formattedCitation":"(Heidel &amp; Hagist, 2020)","plainCitation":"(Heidel &amp; Hagist, 2020)","dontUpdate":true,"noteIndex":0},"citationItems":[{"id":"4nY7bDZH/AcRT5nQx","uris":["http://zotero.org/users/10132210/items/QCU64ULZ"],"itemData":{"id":1171,"type":"article-journal","abstract":"Background: Germany is the first country worldwide that has introduced a digital care act as an incentive system to enhance the use of digital health devices, namely health apps and wearables, among its population. The act allows physicians to prescribe statutory financed and previously certified health apps and wearables to patients. This initiative has the potential to improve treatment quality through better disease management and monitoring.\nObjective: The aim of this paper was to outline the key concepts related to the potential risks and benefits discussed in the current literature about health apps and wearables. Furthermore, this study aimed to answer the research question: Which risks and benefits may result from the implementation of the digital care act in Germany?\nMethods: We conducted the scoping study by searching the databases PubMed, Google Scholar, and JMIR using the keywords health apps and wearables. We discussed 55 of 136 identified articles published in the English language from 2015 to March 2019 in this paper using a qualitative thematic analysis approach.\nResults: We identified four key themes within the articles: Effectivity of health apps and wearables to improve health; users of health apps and wearables; the potential of bring-your-own, self-tracked data; and concerns and data privacy risks. Within these themes, we identified three main stages of benefits for the German health care system: Usage of health apps and wearables; continuing to use health apps and wearables; and sharing bring-your-own; self-tracked data with different agents in the health care sector.\nConclusions: The digital care act could lead to an improvement in treatment quality through better patient monitoring, disease management, personalized therapy, and better health education. However, physicians should play an active role in recommending and supervising health app use to reach digital-illiterate or health-illiterate people. Age must not be an exclusion criterion. Yet, concerns about data privacy and security are very strong in Germany. Transparency about data processing should be provided at all times for continuing success of the digital care act in Germany.","container-title":"JMIR mHealth and uHealth","DOI":"10.2196/16444","ISSN":"2291-5222","issue":"9","journalAbbreviation":"JMIR Mhealth Uhealth","language":"en","page":"e16444","source":"DOI.org (Crossref)","title":"Potential Benefits and Risks Resulting From the Introduction of Health Apps and Wearables Into the German Statutory Health Care System: Scoping Review","title-short":"Potential Benefits and Risks Resulting From the Introduction of Health Apps and Wearables Into the German Statutory Health Care System","volume":"8","author":[{"family":"Heidel","given":"Alexandra"},{"family":"Hagist","given":"Christian"}],"issued":{"date-parts":[["2020",9,23]]}}}],"schema":"https://github.com/citation-style-language/schema/raw/master/csl-citation.json"} </w:instrText>
      </w:r>
      <w:r w:rsidR="00D1345E" w:rsidRPr="002E55DE">
        <w:rPr>
          <w:rFonts w:ascii="Times New Roman" w:hAnsi="Times New Roman"/>
        </w:rPr>
        <w:fldChar w:fldCharType="separate"/>
      </w:r>
      <w:r w:rsidR="00D1345E" w:rsidRPr="002E55DE">
        <w:rPr>
          <w:rFonts w:ascii="Times New Roman" w:hAnsi="Times New Roman"/>
        </w:rPr>
        <w:t>Heidel and Hagist, 2020</w:t>
      </w:r>
      <w:r w:rsidR="00D1345E" w:rsidRPr="002E55DE">
        <w:rPr>
          <w:rFonts w:ascii="Times New Roman" w:hAnsi="Times New Roman"/>
        </w:rPr>
        <w:fldChar w:fldCharType="end"/>
      </w:r>
      <w:r w:rsidR="00D1345E" w:rsidRPr="002E55DE">
        <w:rPr>
          <w:rFonts w:ascii="Times New Roman" w:hAnsi="Times New Roman"/>
        </w:rPr>
        <w:t>), the</w:t>
      </w:r>
      <w:r w:rsidR="00BB0B32" w:rsidRPr="002E55DE">
        <w:rPr>
          <w:rFonts w:ascii="Times New Roman" w:hAnsi="Times New Roman"/>
        </w:rPr>
        <w:t>se devices</w:t>
      </w:r>
      <w:r w:rsidR="00D1345E" w:rsidRPr="002E55DE">
        <w:rPr>
          <w:rFonts w:ascii="Times New Roman" w:hAnsi="Times New Roman"/>
        </w:rPr>
        <w:t xml:space="preserve"> </w:t>
      </w:r>
      <w:r w:rsidR="00BB0B32" w:rsidRPr="002E55DE">
        <w:rPr>
          <w:rFonts w:ascii="Times New Roman" w:hAnsi="Times New Roman"/>
        </w:rPr>
        <w:t>show</w:t>
      </w:r>
      <w:r w:rsidR="00D1345E" w:rsidRPr="002E55DE">
        <w:rPr>
          <w:rFonts w:ascii="Times New Roman" w:hAnsi="Times New Roman"/>
        </w:rPr>
        <w:t xml:space="preserve"> promise. </w:t>
      </w:r>
      <w:r w:rsidR="00D452EC" w:rsidRPr="002E55DE">
        <w:rPr>
          <w:rFonts w:ascii="Times New Roman" w:hAnsi="Times New Roman"/>
        </w:rPr>
        <w:t xml:space="preserve">Services based on </w:t>
      </w:r>
      <w:r w:rsidR="00D452EC" w:rsidRPr="002E55DE">
        <w:rPr>
          <w:rFonts w:ascii="Times New Roman" w:hAnsi="Times New Roman" w:hint="eastAsia"/>
        </w:rPr>
        <w:t>activity tracking</w:t>
      </w:r>
      <w:r w:rsidR="00D452EC" w:rsidRPr="002E55DE">
        <w:rPr>
          <w:rFonts w:ascii="Times New Roman" w:hAnsi="Times New Roman"/>
        </w:rPr>
        <w:t xml:space="preserve"> can boost walking among older adults in </w:t>
      </w:r>
      <w:r w:rsidR="00BB0B32" w:rsidRPr="002E55DE">
        <w:rPr>
          <w:rFonts w:ascii="Times New Roman" w:eastAsiaTheme="minorEastAsia" w:hAnsi="Times New Roman"/>
          <w:lang w:eastAsia="ko-KR"/>
        </w:rPr>
        <w:t>three</w:t>
      </w:r>
      <w:r w:rsidR="00D452EC" w:rsidRPr="002E55DE">
        <w:rPr>
          <w:rFonts w:ascii="Times New Roman" w:hAnsi="Times New Roman"/>
        </w:rPr>
        <w:t xml:space="preserve"> ways</w:t>
      </w:r>
      <w:r w:rsidR="005B4CDB" w:rsidRPr="002E55DE">
        <w:rPr>
          <w:rFonts w:ascii="Times New Roman" w:hAnsi="Times New Roman"/>
        </w:rPr>
        <w:t xml:space="preserve">. </w:t>
      </w:r>
      <w:r w:rsidR="00D1345E" w:rsidRPr="002E55DE">
        <w:rPr>
          <w:rFonts w:ascii="Times New Roman" w:hAnsi="Times New Roman"/>
        </w:rPr>
        <w:t>First,</w:t>
      </w:r>
      <w:r w:rsidR="00D1345E" w:rsidRPr="002E55DE">
        <w:t xml:space="preserve"> </w:t>
      </w:r>
      <w:r w:rsidRPr="002E55DE">
        <w:t xml:space="preserve">older adults can </w:t>
      </w:r>
      <w:r w:rsidR="00D1345E" w:rsidRPr="002E55DE">
        <w:rPr>
          <w:rFonts w:ascii="Times New Roman" w:hAnsi="Times New Roman"/>
        </w:rPr>
        <w:t>shar</w:t>
      </w:r>
      <w:r w:rsidRPr="002E55DE">
        <w:rPr>
          <w:rFonts w:ascii="Times New Roman" w:hAnsi="Times New Roman"/>
        </w:rPr>
        <w:t>e</w:t>
      </w:r>
      <w:r w:rsidR="00D1345E" w:rsidRPr="002E55DE">
        <w:rPr>
          <w:rFonts w:ascii="Times New Roman" w:hAnsi="Times New Roman"/>
        </w:rPr>
        <w:t xml:space="preserve"> and compar</w:t>
      </w:r>
      <w:r w:rsidRPr="002E55DE">
        <w:rPr>
          <w:rFonts w:ascii="Times New Roman" w:hAnsi="Times New Roman"/>
        </w:rPr>
        <w:t>e</w:t>
      </w:r>
      <w:r w:rsidR="00D1345E" w:rsidRPr="002E55DE">
        <w:rPr>
          <w:rFonts w:ascii="Times New Roman" w:hAnsi="Times New Roman"/>
        </w:rPr>
        <w:t xml:space="preserve"> walking records</w:t>
      </w:r>
      <w:r w:rsidR="001B4C95" w:rsidRPr="002E55DE">
        <w:rPr>
          <w:rFonts w:ascii="Times New Roman" w:hAnsi="Times New Roman"/>
        </w:rPr>
        <w:t xml:space="preserve"> virtually, such as daily step counts</w:t>
      </w:r>
      <w:r w:rsidRPr="002E55DE">
        <w:rPr>
          <w:rFonts w:ascii="Times New Roman" w:hAnsi="Times New Roman"/>
        </w:rPr>
        <w:t xml:space="preserve"> as collected by tracking devices</w:t>
      </w:r>
      <w:r w:rsidR="001B4C95" w:rsidRPr="002E55DE">
        <w:rPr>
          <w:rFonts w:ascii="Times New Roman" w:hAnsi="Times New Roman"/>
        </w:rPr>
        <w:t>. This</w:t>
      </w:r>
      <w:r w:rsidR="00D1345E" w:rsidRPr="002E55DE">
        <w:rPr>
          <w:rFonts w:ascii="Times New Roman" w:hAnsi="Times New Roman"/>
        </w:rPr>
        <w:t xml:space="preserve"> can create a sense of community and accountability (see </w:t>
      </w:r>
      <w:r w:rsidR="00D452EC" w:rsidRPr="002E55DE">
        <w:rPr>
          <w:rFonts w:ascii="Times New Roman" w:hAnsi="Times New Roman"/>
        </w:rPr>
        <w:fldChar w:fldCharType="begin"/>
      </w:r>
      <w:r w:rsidR="00A254CC" w:rsidRPr="002E55DE">
        <w:rPr>
          <w:rFonts w:ascii="Times New Roman" w:hAnsi="Times New Roman"/>
        </w:rPr>
        <w:instrText xml:space="preserve"> ADDIN ZOTERO_ITEM CSL_CITATION {"citationID":"DXAY52Y4","properties":{"formattedCitation":"(Foster et al., 2010; Liu &amp; Lachman, 2021)","plainCitation":"(Foster et al., 2010; Liu &amp; Lachman, 2021)","dontUpdate":true,"noteIndex":0},"citationItems":[{"id":"4nY7bDZH/2cnWjWdz","uris":["http://zotero.org/users/10132210/items/Y2NVKN93"],"itemData":{"id":1146,"type":"paper-conference","container-title":"Proceedings of the 14th International Academic MindTrek Conference: Envisioning Future Media Environments","DOI":"10.1145/1930488.1930510","event-place":"Tampere Finland","event-title":"MindTrek '10: Academic MindTrek 2010","ISBN":"978-1-4503-0011-7","language":"en","page":"111-116","publisher":"ACM","publisher-place":"Tampere Finland","source":"DOI.org (Crossref)","title":"Motivating physical activity at work: using persuasive social media for competitive step counting","title-short":"Motivating physical activity at work","URL":"https://dl.acm.org/doi/10.1145/1930488.1930510","author":[{"family":"Foster","given":"Derek"},{"family":"Linehan","given":"Conor"},{"family":"Kirman","given":"Ben"},{"family":"Lawson","given":"Shaun"},{"family":"James","given":"Gary"}],"accessed":{"date-parts":[["2024",5,26]]},"issued":{"date-parts":[["2010",10,6]]}}},{"id":"4nY7bDZH/JyWeJIjC","uris":["http://zotero.org/users/10132210/items/DSGY58IF"],"itemData":{"id":939,"type":"article-journal","abstract":"Objectives. The aim of this study was to explore social engagement and social comparisons as mechanisms to increase physical activity among older adults. Methods. Participants (N ¼ 60, mean age ¼ 65.7) were randomly assigned to one of two conditions. Participants in the treatment condition used the application to track their daily walking steps and interact via text messages with their group members for 4 weeks. Participants in the control group used the application only to track their own walking steps. Outcome variables included mean weekly steps, exercise self-efficacy, and social engagement. Results. The results revealed that participants in the experimental condition significantly increased their mean weekly steps and social engagement from the pretest to the posttest whereas the control group did not. These effects were maintained at the 1-month follow up. Discussion. The study expands our understanding of the motivational role of social engagement and social comparison in increasing PA among older adults.","container-title":"Research on Aging","DOI":"10.1177/0164027520963613","ISSN":"0164-0275, 1552-7573","issue":"9-10","journalAbbreviation":"Res Aging","language":"en","page":"368-377","source":"DOI.org (Crossref)","title":"A Group-Based Walking Study to Enhance Physical Activity Among Older Adults: The Role of Social Engagement","title-short":"A Group-Based Walking Study to Enhance Physical Activity Among Older Adults","volume":"43","author":[{"family":"Liu","given":"Yujun"},{"family":"Lachman","given":"Margie E."}],"issued":{"date-parts":[["2021",10]]}}}],"schema":"https://github.com/citation-style-language/schema/raw/master/csl-citation.json"} </w:instrText>
      </w:r>
      <w:r w:rsidR="00D452EC" w:rsidRPr="002E55DE">
        <w:rPr>
          <w:rFonts w:ascii="Times New Roman" w:hAnsi="Times New Roman"/>
        </w:rPr>
        <w:fldChar w:fldCharType="separate"/>
      </w:r>
      <w:r w:rsidR="00D452EC" w:rsidRPr="002E55DE">
        <w:rPr>
          <w:rFonts w:ascii="Times New Roman" w:hAnsi="Times New Roman"/>
        </w:rPr>
        <w:t>Foster et al., 2010</w:t>
      </w:r>
      <w:r w:rsidR="00D1345E" w:rsidRPr="002E55DE">
        <w:rPr>
          <w:rFonts w:ascii="Times New Roman" w:hAnsi="Times New Roman"/>
        </w:rPr>
        <w:t>,</w:t>
      </w:r>
      <w:r w:rsidR="00D452EC" w:rsidRPr="002E55DE">
        <w:rPr>
          <w:rFonts w:ascii="Times New Roman" w:hAnsi="Times New Roman"/>
        </w:rPr>
        <w:t xml:space="preserve"> and Liu and Lachman,</w:t>
      </w:r>
      <w:r w:rsidR="00D1345E" w:rsidRPr="002E55DE">
        <w:rPr>
          <w:rFonts w:ascii="Times New Roman" w:hAnsi="Times New Roman"/>
        </w:rPr>
        <w:t xml:space="preserve"> </w:t>
      </w:r>
      <w:r w:rsidR="00D452EC" w:rsidRPr="002E55DE">
        <w:rPr>
          <w:rFonts w:ascii="Times New Roman" w:hAnsi="Times New Roman"/>
        </w:rPr>
        <w:t>2021)</w:t>
      </w:r>
      <w:r w:rsidR="00D452EC" w:rsidRPr="002E55DE">
        <w:rPr>
          <w:rFonts w:ascii="Times New Roman" w:hAnsi="Times New Roman"/>
        </w:rPr>
        <w:fldChar w:fldCharType="end"/>
      </w:r>
      <w:r w:rsidR="001B4C95" w:rsidRPr="002E55DE">
        <w:rPr>
          <w:rFonts w:ascii="Times New Roman" w:hAnsi="Times New Roman"/>
        </w:rPr>
        <w:t xml:space="preserve">, </w:t>
      </w:r>
      <w:r w:rsidR="005B4CDB" w:rsidRPr="002E55DE">
        <w:rPr>
          <w:rFonts w:ascii="Times New Roman" w:hAnsi="Times New Roman"/>
        </w:rPr>
        <w:t xml:space="preserve">even if only virtually, </w:t>
      </w:r>
      <w:r w:rsidR="00D452EC" w:rsidRPr="002E55DE">
        <w:rPr>
          <w:rFonts w:ascii="Times New Roman" w:hAnsi="Times New Roman"/>
        </w:rPr>
        <w:t>particularly</w:t>
      </w:r>
      <w:r w:rsidR="001B4C95" w:rsidRPr="002E55DE">
        <w:rPr>
          <w:rFonts w:ascii="Times New Roman" w:hAnsi="Times New Roman"/>
        </w:rPr>
        <w:t xml:space="preserve"> </w:t>
      </w:r>
      <w:r w:rsidR="00D452EC" w:rsidRPr="002E55DE">
        <w:rPr>
          <w:rFonts w:ascii="Times New Roman" w:hAnsi="Times New Roman"/>
        </w:rPr>
        <w:t xml:space="preserve">for those facing barriers to group activities. </w:t>
      </w:r>
      <w:r w:rsidR="00BB0B32" w:rsidRPr="002E55DE">
        <w:rPr>
          <w:rFonts w:ascii="Times New Roman" w:hAnsi="Times New Roman"/>
        </w:rPr>
        <w:t xml:space="preserve">Second, most wearable devices are equipped with </w:t>
      </w:r>
      <w:r w:rsidR="0027056D" w:rsidRPr="002E55DE">
        <w:rPr>
          <w:rFonts w:ascii="Times New Roman" w:hAnsi="Times New Roman"/>
        </w:rPr>
        <w:t>heart rate and blood oxygen</w:t>
      </w:r>
      <w:r w:rsidR="00BB0B32" w:rsidRPr="002E55DE">
        <w:rPr>
          <w:rFonts w:ascii="Times New Roman" w:hAnsi="Times New Roman"/>
        </w:rPr>
        <w:t xml:space="preserve"> sensors that can monitor vital signs. In case of emergencies, these </w:t>
      </w:r>
      <w:r w:rsidR="0014658B" w:rsidRPr="002E55DE">
        <w:rPr>
          <w:rFonts w:ascii="Times New Roman" w:hAnsi="Times New Roman"/>
        </w:rPr>
        <w:t>device</w:t>
      </w:r>
      <w:r w:rsidR="00BB0B32" w:rsidRPr="002E55DE">
        <w:rPr>
          <w:rFonts w:ascii="Times New Roman" w:hAnsi="Times New Roman"/>
        </w:rPr>
        <w:t>s can alert emergency services, providing immediate assistance if the wearer is injured or immobilized after a fall. This feature helps alleviate safety concerns that might otherwise discourage older adults from outdoor walking. Third</w:t>
      </w:r>
      <w:r w:rsidR="00D1345E" w:rsidRPr="002E55DE">
        <w:rPr>
          <w:rFonts w:ascii="Times New Roman" w:hAnsi="Times New Roman"/>
        </w:rPr>
        <w:t xml:space="preserve">, </w:t>
      </w:r>
      <w:r w:rsidR="00BB0B32" w:rsidRPr="002E55DE">
        <w:rPr>
          <w:rFonts w:ascii="Times New Roman" w:hAnsi="Times New Roman"/>
        </w:rPr>
        <w:t>smartphone applications paired with wearable devices offer users the chance to set up and engage in weekly challenges and competitions, earning badges and rewards upon completion. This feature can boost motivation and accountability, encouraging users to maintain their physical activity levels, including walking. Also, s</w:t>
      </w:r>
      <w:r w:rsidR="00D452EC" w:rsidRPr="002E55DE">
        <w:rPr>
          <w:rFonts w:ascii="Times New Roman" w:hAnsi="Times New Roman"/>
        </w:rPr>
        <w:t>everal health insurance providers currently offer discounts on premiums for meeting physical activity goals</w:t>
      </w:r>
      <w:r w:rsidR="00BB0B32" w:rsidRPr="002E55DE">
        <w:rPr>
          <w:rFonts w:ascii="Times New Roman" w:hAnsi="Times New Roman"/>
        </w:rPr>
        <w:t>.</w:t>
      </w:r>
      <w:r w:rsidR="00D452EC" w:rsidRPr="002E55DE">
        <w:rPr>
          <w:rFonts w:ascii="Times New Roman" w:hAnsi="Times New Roman"/>
        </w:rPr>
        <w:t xml:space="preserve"> For instance, some insurance companies provide policyholders with up to $100 annually for achieving daily step targets when syncing a step tracker with their mobile app</w:t>
      </w:r>
      <w:r w:rsidR="0027056D" w:rsidRPr="002E55DE">
        <w:rPr>
          <w:rFonts w:ascii="Times New Roman" w:hAnsi="Times New Roman"/>
        </w:rPr>
        <w:t>lication</w:t>
      </w:r>
      <w:r w:rsidR="00D452EC" w:rsidRPr="002E55DE">
        <w:rPr>
          <w:rFonts w:ascii="Times New Roman" w:hAnsi="Times New Roman"/>
        </w:rPr>
        <w:t xml:space="preserve"> (see </w:t>
      </w:r>
      <w:r w:rsidR="00D452EC" w:rsidRPr="002E55DE">
        <w:rPr>
          <w:rFonts w:ascii="Times New Roman" w:hAnsi="Times New Roman"/>
        </w:rPr>
        <w:fldChar w:fldCharType="begin"/>
      </w:r>
      <w:r w:rsidR="00A254CC" w:rsidRPr="002E55DE">
        <w:rPr>
          <w:rFonts w:ascii="Times New Roman" w:hAnsi="Times New Roman"/>
        </w:rPr>
        <w:instrText xml:space="preserve"> ADDIN ZOTERO_ITEM CSL_CITATION {"citationID":"NrTlws1q","properties":{"formattedCitation":"(Bengfort, 2023)","plainCitation":"(Bengfort, 2023)","dontUpdate":true,"noteIndex":0},"citationItems":[{"id":"4nY7bDZH/yWNAxuxQ","uris":["http://zotero.org/users/10132210/items/4574M2IC"],"itemData":{"id":1165,"type":"post-weblog","title":"What are health insurance rewards programs, and how do they impact HRAs?","URL":"https://www.peoplekeep.com/blog/what-are-health-insurance-rewards-programs","author":[{"family":"Bengfort","given":"Holly"}],"accessed":{"date-parts":[["2024",6,1]]},"issued":{"date-parts":[["2023"]]}}}],"schema":"https://github.com/citation-style-language/schema/raw/master/csl-citation.json"} </w:instrText>
      </w:r>
      <w:r w:rsidR="00D452EC" w:rsidRPr="002E55DE">
        <w:rPr>
          <w:rFonts w:ascii="Times New Roman" w:hAnsi="Times New Roman"/>
        </w:rPr>
        <w:fldChar w:fldCharType="separate"/>
      </w:r>
      <w:r w:rsidR="00D452EC" w:rsidRPr="002E55DE">
        <w:rPr>
          <w:rFonts w:ascii="Times New Roman" w:hAnsi="Times New Roman"/>
        </w:rPr>
        <w:t>Bengfort, 2023)</w:t>
      </w:r>
      <w:r w:rsidR="00D452EC" w:rsidRPr="002E55DE">
        <w:rPr>
          <w:rFonts w:ascii="Times New Roman" w:hAnsi="Times New Roman"/>
        </w:rPr>
        <w:fldChar w:fldCharType="end"/>
      </w:r>
      <w:r w:rsidR="00D452EC" w:rsidRPr="002E55DE">
        <w:rPr>
          <w:rFonts w:ascii="Times New Roman" w:hAnsi="Times New Roman"/>
        </w:rPr>
        <w:t>. Similarly</w:t>
      </w:r>
      <w:r w:rsidR="001B4C95" w:rsidRPr="002E55DE">
        <w:rPr>
          <w:rFonts w:ascii="Times New Roman" w:hAnsi="Times New Roman"/>
        </w:rPr>
        <w:t>,</w:t>
      </w:r>
      <w:r w:rsidR="00D452EC" w:rsidRPr="002E55DE">
        <w:rPr>
          <w:rFonts w:ascii="Times New Roman" w:hAnsi="Times New Roman"/>
        </w:rPr>
        <w:t xml:space="preserve"> partnerships with local</w:t>
      </w:r>
      <w:r w:rsidR="00D452EC" w:rsidRPr="002E55DE">
        <w:rPr>
          <w:rFonts w:ascii="Times New Roman" w:hAnsi="Times New Roman" w:hint="eastAsia"/>
        </w:rPr>
        <w:t xml:space="preserve"> or online</w:t>
      </w:r>
      <w:r w:rsidR="00D452EC" w:rsidRPr="002E55DE">
        <w:rPr>
          <w:rFonts w:ascii="Times New Roman" w:hAnsi="Times New Roman"/>
        </w:rPr>
        <w:t xml:space="preserve"> businesses </w:t>
      </w:r>
      <w:r w:rsidR="001B4C95" w:rsidRPr="002E55DE">
        <w:rPr>
          <w:rFonts w:ascii="Times New Roman" w:hAnsi="Times New Roman"/>
        </w:rPr>
        <w:t>(</w:t>
      </w:r>
      <w:r w:rsidR="00D452EC" w:rsidRPr="002E55DE">
        <w:rPr>
          <w:rFonts w:ascii="Times New Roman" w:hAnsi="Times New Roman"/>
        </w:rPr>
        <w:t>such as sports stores</w:t>
      </w:r>
      <w:r w:rsidR="001B4C95" w:rsidRPr="002E55DE">
        <w:rPr>
          <w:rFonts w:ascii="Times New Roman" w:hAnsi="Times New Roman"/>
        </w:rPr>
        <w:t>)</w:t>
      </w:r>
      <w:r w:rsidR="00D452EC" w:rsidRPr="002E55DE">
        <w:rPr>
          <w:rFonts w:ascii="Times New Roman" w:hAnsi="Times New Roman"/>
        </w:rPr>
        <w:t xml:space="preserve"> </w:t>
      </w:r>
      <w:r w:rsidR="001B4C95" w:rsidRPr="002E55DE">
        <w:rPr>
          <w:rFonts w:ascii="Times New Roman" w:hAnsi="Times New Roman"/>
        </w:rPr>
        <w:t xml:space="preserve">to </w:t>
      </w:r>
      <w:r w:rsidR="00D452EC" w:rsidRPr="002E55DE">
        <w:rPr>
          <w:rFonts w:ascii="Times New Roman" w:hAnsi="Times New Roman"/>
        </w:rPr>
        <w:t>offer</w:t>
      </w:r>
      <w:r w:rsidR="00D452EC" w:rsidRPr="002E55DE">
        <w:rPr>
          <w:rFonts w:ascii="Times New Roman" w:hAnsi="Times New Roman" w:hint="eastAsia"/>
        </w:rPr>
        <w:t xml:space="preserve"> rewards </w:t>
      </w:r>
      <w:r w:rsidR="00D452EC" w:rsidRPr="002E55DE">
        <w:rPr>
          <w:rFonts w:ascii="Times New Roman" w:hAnsi="Times New Roman"/>
        </w:rPr>
        <w:t>to</w:t>
      </w:r>
      <w:r w:rsidR="00D452EC" w:rsidRPr="002E55DE">
        <w:rPr>
          <w:rFonts w:ascii="Times New Roman" w:hAnsi="Times New Roman" w:hint="eastAsia"/>
        </w:rPr>
        <w:t xml:space="preserve"> individuals </w:t>
      </w:r>
      <w:r w:rsidR="00D452EC" w:rsidRPr="002E55DE">
        <w:rPr>
          <w:rFonts w:ascii="Times New Roman" w:hAnsi="Times New Roman"/>
        </w:rPr>
        <w:t xml:space="preserve">who </w:t>
      </w:r>
      <w:r w:rsidR="00D452EC" w:rsidRPr="002E55DE">
        <w:rPr>
          <w:rFonts w:ascii="Times New Roman" w:hAnsi="Times New Roman" w:hint="eastAsia"/>
        </w:rPr>
        <w:t xml:space="preserve">meet </w:t>
      </w:r>
      <w:r w:rsidR="00D452EC" w:rsidRPr="002E55DE">
        <w:rPr>
          <w:rFonts w:ascii="Times New Roman" w:hAnsi="Times New Roman"/>
        </w:rPr>
        <w:t>a certain</w:t>
      </w:r>
      <w:r w:rsidR="00D452EC" w:rsidRPr="002E55DE">
        <w:rPr>
          <w:rFonts w:ascii="Times New Roman" w:hAnsi="Times New Roman" w:hint="eastAsia"/>
        </w:rPr>
        <w:t xml:space="preserve"> number of </w:t>
      </w:r>
      <w:r w:rsidR="00D452EC" w:rsidRPr="002E55DE">
        <w:rPr>
          <w:rFonts w:ascii="Times New Roman" w:hAnsi="Times New Roman"/>
        </w:rPr>
        <w:t xml:space="preserve">daily </w:t>
      </w:r>
      <w:r w:rsidR="00D452EC" w:rsidRPr="002E55DE">
        <w:rPr>
          <w:rFonts w:ascii="Times New Roman" w:hAnsi="Times New Roman" w:hint="eastAsia"/>
        </w:rPr>
        <w:t>steps or</w:t>
      </w:r>
      <w:r w:rsidR="00D452EC" w:rsidRPr="002E55DE">
        <w:rPr>
          <w:rFonts w:ascii="Times New Roman" w:hAnsi="Times New Roman"/>
        </w:rPr>
        <w:t xml:space="preserve"> </w:t>
      </w:r>
      <w:r w:rsidR="00D452EC" w:rsidRPr="002E55DE">
        <w:rPr>
          <w:rFonts w:ascii="Times New Roman" w:hAnsi="Times New Roman"/>
          <w:szCs w:val="24"/>
        </w:rPr>
        <w:t xml:space="preserve">who visit scenic outdoor </w:t>
      </w:r>
      <w:r w:rsidR="00062FFF" w:rsidRPr="002E55DE">
        <w:rPr>
          <w:rFonts w:ascii="Times New Roman" w:hAnsi="Times New Roman"/>
          <w:szCs w:val="24"/>
        </w:rPr>
        <w:t xml:space="preserve">sites </w:t>
      </w:r>
      <w:r w:rsidR="00D452EC" w:rsidRPr="002E55DE">
        <w:rPr>
          <w:rFonts w:ascii="Times New Roman" w:hAnsi="Times New Roman"/>
          <w:szCs w:val="24"/>
        </w:rPr>
        <w:fldChar w:fldCharType="begin"/>
      </w:r>
      <w:r w:rsidR="00A254CC" w:rsidRPr="002E55DE">
        <w:rPr>
          <w:rFonts w:ascii="Times New Roman" w:hAnsi="Times New Roman"/>
          <w:szCs w:val="24"/>
        </w:rPr>
        <w:instrText xml:space="preserve"> ADDIN ZOTERO_ITEM CSL_CITATION {"citationID":"aL9T5Rtm","properties":{"formattedCitation":"(D.-J. Kim et al., 2024)","plainCitation":"(D.-J. Kim et al., 2024)","dontUpdate":true,"noteIndex":0},"citationItems":[{"id":"4nY7bDZH/9dIZ6lUm","uris":["http://zotero.org/users/10132210/items/483PETJC"],"itemData":{"id":1167,"type":"article-journal","abstract":"South Korea is promoting digital healthcare services in the public sector. One notable initiative is the “artificial intelligence and the internet of things (AI–IoT)-based healthcare project for senior citizens”, which was implemented by the Korea Health Promotion Institute (KHPI). This project utilized an IoT-based digital healthcare service that integrates information technology and screen-based AI speaker functions. Services through this project are intended for senior citizens aged 65 years (or older) who face challenges in visiting public healthcare institutions owing to limitations on outdoor activities, especially in the post-coronavirus 2019 era. This article shares the recent outcomes of this project and outlines the mid-to-long-term development strategies for this style of South Korean digital healthcare initiatives.","container-title":"Healthcare","DOI":"10.3390/healthcare12020281","ISSN":"2227-9032","issue":"2","journalAbbreviation":"Healthcare","language":"en","license":"https://creativecommons.org/licenses/by/4.0/","page":"281","source":"DOI.org (Crossref)","title":"Present and Future of AI-IoT-Based Healthcare Services for Senior Citizens in Local Communities: A Review of a South Korean Government Digital Healthcare Initiatives","title-short":"Present and Future of AI-IoT-Based Healthcare Services for Senior Citizens in Local Communities","volume":"12","author":[{"family":"Kim","given":"Dong-Jin"},{"family":"Lee","given":"Yun-Su"},{"family":"Jeon","given":"Eun-Raye"},{"family":"Kim","given":"Kwang Joon"}],"issued":{"date-parts":[["2024",1,22]]}}}],"schema":"https://github.com/citation-style-language/schema/raw/master/csl-citation.json"} </w:instrText>
      </w:r>
      <w:r w:rsidR="00D452EC" w:rsidRPr="002E55DE">
        <w:rPr>
          <w:rFonts w:ascii="Times New Roman" w:hAnsi="Times New Roman"/>
          <w:szCs w:val="24"/>
        </w:rPr>
        <w:fldChar w:fldCharType="separate"/>
      </w:r>
      <w:r w:rsidR="00352190" w:rsidRPr="002E55DE">
        <w:rPr>
          <w:rFonts w:ascii="Times New Roman" w:hAnsi="Times New Roman"/>
          <w:szCs w:val="24"/>
        </w:rPr>
        <w:t>(Kim et al., 2024)</w:t>
      </w:r>
      <w:r w:rsidR="00D452EC" w:rsidRPr="002E55DE">
        <w:rPr>
          <w:rFonts w:ascii="Times New Roman" w:hAnsi="Times New Roman"/>
          <w:szCs w:val="24"/>
        </w:rPr>
        <w:fldChar w:fldCharType="end"/>
      </w:r>
      <w:r w:rsidR="00D452EC" w:rsidRPr="002E55DE">
        <w:rPr>
          <w:rFonts w:ascii="Times New Roman" w:hAnsi="Times New Roman"/>
          <w:szCs w:val="24"/>
        </w:rPr>
        <w:t xml:space="preserve"> can </w:t>
      </w:r>
      <w:r w:rsidR="001B4C95" w:rsidRPr="002E55DE">
        <w:rPr>
          <w:rFonts w:ascii="Times New Roman" w:hAnsi="Times New Roman"/>
          <w:szCs w:val="24"/>
        </w:rPr>
        <w:t xml:space="preserve">serve as a </w:t>
      </w:r>
      <w:r w:rsidR="00D452EC" w:rsidRPr="002E55DE">
        <w:rPr>
          <w:rFonts w:ascii="Times New Roman" w:hAnsi="Times New Roman"/>
          <w:szCs w:val="24"/>
        </w:rPr>
        <w:t>tangible motivator for older adu</w:t>
      </w:r>
      <w:r w:rsidR="001B4C95" w:rsidRPr="002E55DE">
        <w:rPr>
          <w:rFonts w:ascii="Times New Roman" w:hAnsi="Times New Roman"/>
          <w:szCs w:val="24"/>
        </w:rPr>
        <w:t>lts</w:t>
      </w:r>
      <w:r w:rsidR="00D452EC" w:rsidRPr="002E55DE">
        <w:rPr>
          <w:rFonts w:ascii="Times New Roman" w:hAnsi="Times New Roman"/>
          <w:szCs w:val="24"/>
        </w:rPr>
        <w:t>.</w:t>
      </w:r>
      <w:r w:rsidR="00BB0B32" w:rsidRPr="002E55DE">
        <w:rPr>
          <w:rFonts w:ascii="Times New Roman" w:hAnsi="Times New Roman"/>
          <w:szCs w:val="24"/>
        </w:rPr>
        <w:t xml:space="preserve"> </w:t>
      </w:r>
      <w:r w:rsidR="001B4C95" w:rsidRPr="002E55DE">
        <w:rPr>
          <w:rFonts w:ascii="Times New Roman" w:hAnsi="Times New Roman"/>
          <w:szCs w:val="24"/>
        </w:rPr>
        <w:t xml:space="preserve">However, also to note is that </w:t>
      </w:r>
      <w:r w:rsidR="00BB0B32" w:rsidRPr="002E55DE">
        <w:rPr>
          <w:rFonts w:ascii="Times New Roman" w:hAnsi="Times New Roman"/>
          <w:szCs w:val="24"/>
        </w:rPr>
        <w:t xml:space="preserve">only a quarter of seniors </w:t>
      </w:r>
      <w:r w:rsidR="001B4C95" w:rsidRPr="002E55DE">
        <w:rPr>
          <w:rFonts w:ascii="Times New Roman" w:hAnsi="Times New Roman"/>
          <w:szCs w:val="24"/>
        </w:rPr>
        <w:t xml:space="preserve">in the U.S. are estimated to </w:t>
      </w:r>
      <w:r w:rsidR="00BB0B32" w:rsidRPr="002E55DE">
        <w:rPr>
          <w:rFonts w:ascii="Times New Roman" w:hAnsi="Times New Roman"/>
          <w:szCs w:val="24"/>
        </w:rPr>
        <w:t>wear</w:t>
      </w:r>
      <w:r w:rsidR="001B4C95" w:rsidRPr="002E55DE">
        <w:rPr>
          <w:rFonts w:ascii="Times New Roman" w:hAnsi="Times New Roman"/>
          <w:szCs w:val="24"/>
        </w:rPr>
        <w:t xml:space="preserve"> </w:t>
      </w:r>
      <w:r w:rsidR="00BB0B32" w:rsidRPr="002E55DE">
        <w:rPr>
          <w:rFonts w:ascii="Times New Roman" w:hAnsi="Times New Roman"/>
          <w:szCs w:val="24"/>
        </w:rPr>
        <w:t>fitness devices</w:t>
      </w:r>
      <w:r w:rsidR="001B4C95" w:rsidRPr="002E55DE">
        <w:rPr>
          <w:rFonts w:ascii="Times New Roman" w:eastAsiaTheme="minorEastAsia" w:hAnsi="Times New Roman"/>
          <w:szCs w:val="24"/>
          <w:lang w:eastAsia="ko-KR"/>
        </w:rPr>
        <w:t xml:space="preserve"> </w:t>
      </w:r>
      <w:r w:rsidR="00177866"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{"citationID":"RHmjuyIL","properties":{"formattedCitation":"(Morning Consult, 2023)","plainCitation":"(Morning Consult, 2023)","noteIndex":0},"citationItems":[{"id":"4nY7bDZH/c7cFnQKV","uris":["http://zotero.org/users/10132210/items/JDCWMQ3Y"],"itemData":{"id":1604,"type":"dataset","title":"Use of wearable fitness or wellness technologies in the United States as of 2023, by age","URL":"https://www.statista.com/statistics/1424304/use-of-fitness-wearables-in-the-us-by-age/","author":[{"family":"Morning Consult","given":""}],"accessed":{"date-parts":[["2024",6,22]]},"issued":{"date-parts":[["2023"]]}}}],"schema":"https://github.com/citation-style-language/schema/raw/master/csl-citation.json"} </w:instrText>
      </w:r>
      <w:r w:rsidR="00177866" w:rsidRPr="002E55DE">
        <w:rPr>
          <w:rFonts w:ascii="Times New Roman" w:eastAsiaTheme="minorEastAsia" w:hAnsi="Times New Roman"/>
          <w:szCs w:val="24"/>
          <w:lang w:eastAsia="ko-KR"/>
        </w:rPr>
        <w:fldChar w:fldCharType="separate"/>
      </w:r>
      <w:r w:rsidR="00177866" w:rsidRPr="002E55DE">
        <w:rPr>
          <w:rFonts w:ascii="Times New Roman" w:hAnsi="Times New Roman"/>
          <w:szCs w:val="24"/>
        </w:rPr>
        <w:t>(Morning Consult, 2023)</w:t>
      </w:r>
      <w:r w:rsidR="00177866" w:rsidRPr="002E55DE">
        <w:rPr>
          <w:rFonts w:ascii="Times New Roman" w:eastAsiaTheme="minorEastAsia" w:hAnsi="Times New Roman"/>
          <w:szCs w:val="24"/>
          <w:lang w:eastAsia="ko-KR"/>
        </w:rPr>
        <w:fldChar w:fldCharType="end"/>
      </w:r>
      <w:r w:rsidR="00BB0B32" w:rsidRPr="002E55DE">
        <w:rPr>
          <w:rFonts w:ascii="Times New Roman" w:hAnsi="Times New Roman"/>
          <w:szCs w:val="24"/>
        </w:rPr>
        <w:t xml:space="preserve">. Implementing programs and services that offer educational resources and the opportunity to rent or borrow devices can further encourage their use among older adults. Additionally, manufacturers </w:t>
      </w:r>
      <w:r w:rsidR="001B4C95" w:rsidRPr="002E55DE">
        <w:rPr>
          <w:rFonts w:ascii="Times New Roman" w:hAnsi="Times New Roman"/>
          <w:szCs w:val="24"/>
        </w:rPr>
        <w:t xml:space="preserve">of activity-tracking devices </w:t>
      </w:r>
      <w:r w:rsidR="00BB0B32" w:rsidRPr="002E55DE">
        <w:rPr>
          <w:rFonts w:ascii="Times New Roman" w:hAnsi="Times New Roman"/>
          <w:szCs w:val="24"/>
        </w:rPr>
        <w:t>should consider the needs of older adults, such as ensuring that the display screens are large and well-lit for eas</w:t>
      </w:r>
      <w:r w:rsidR="001B4C95" w:rsidRPr="002E55DE">
        <w:rPr>
          <w:rFonts w:ascii="Times New Roman" w:hAnsi="Times New Roman"/>
          <w:szCs w:val="24"/>
        </w:rPr>
        <w:t xml:space="preserve">y </w:t>
      </w:r>
      <w:r w:rsidR="00BB0B32" w:rsidRPr="002E55DE">
        <w:rPr>
          <w:rFonts w:ascii="Times New Roman" w:hAnsi="Times New Roman"/>
          <w:szCs w:val="24"/>
        </w:rPr>
        <w:t>readability.</w:t>
      </w:r>
    </w:p>
    <w:p w14:paraId="65EBF970" w14:textId="2C6CAEF9" w:rsidR="00BB0B32" w:rsidRPr="002E55DE" w:rsidRDefault="00BB0B32" w:rsidP="007B3FB7">
      <w:pPr>
        <w:ind w:firstLine="720"/>
        <w:jc w:val="both"/>
        <w:rPr>
          <w:rFonts w:ascii="Times New Roman" w:eastAsiaTheme="minorEastAsia" w:hAnsi="Times New Roman"/>
          <w:szCs w:val="24"/>
          <w:lang w:eastAsia="ko-KR"/>
        </w:rPr>
      </w:pPr>
      <w:r w:rsidRPr="002E55DE">
        <w:rPr>
          <w:rFonts w:ascii="Times New Roman" w:eastAsiaTheme="minorEastAsia" w:hAnsi="Times New Roman"/>
          <w:szCs w:val="24"/>
          <w:lang w:eastAsia="ko-KR"/>
        </w:rPr>
        <w:t xml:space="preserve">Another emerging technology with the potential to improve walking habits among older adults is Intelligent Conversational </w:t>
      </w:r>
      <w:r w:rsidR="0027056D" w:rsidRPr="002E55DE">
        <w:rPr>
          <w:rFonts w:ascii="Times New Roman" w:eastAsiaTheme="minorEastAsia" w:hAnsi="Times New Roman"/>
          <w:szCs w:val="24"/>
          <w:lang w:eastAsia="ko-KR"/>
        </w:rPr>
        <w:t xml:space="preserve">voice </w:t>
      </w:r>
      <w:r w:rsidRPr="002E55DE">
        <w:rPr>
          <w:rFonts w:ascii="Times New Roman" w:eastAsiaTheme="minorEastAsia" w:hAnsi="Times New Roman"/>
          <w:szCs w:val="24"/>
          <w:lang w:eastAsia="ko-KR"/>
        </w:rPr>
        <w:t>assistants (ICV</w:t>
      </w:r>
      <w:r w:rsidR="00295663" w:rsidRPr="002E55DE">
        <w:rPr>
          <w:rFonts w:ascii="Times New Roman" w:eastAsiaTheme="minorEastAsia" w:hAnsi="Times New Roman"/>
          <w:szCs w:val="24"/>
          <w:lang w:eastAsia="ko-KR"/>
        </w:rPr>
        <w:t>s</w:t>
      </w:r>
      <w:r w:rsidRPr="002E55DE">
        <w:rPr>
          <w:rFonts w:ascii="Times New Roman" w:eastAsiaTheme="minorEastAsia" w:hAnsi="Times New Roman"/>
          <w:szCs w:val="24"/>
          <w:lang w:eastAsia="ko-KR"/>
        </w:rPr>
        <w:t xml:space="preserve">), such as Siri on the iPhone. These ICVs provide real-time, voice-activated support, making them particularly beneficial for older adults who may be less familiar with technology or face challenges </w:t>
      </w:r>
      <w:r w:rsidR="0027056D" w:rsidRPr="002E55DE">
        <w:rPr>
          <w:rFonts w:ascii="Times New Roman" w:eastAsiaTheme="minorEastAsia" w:hAnsi="Times New Roman"/>
          <w:szCs w:val="24"/>
          <w:lang w:eastAsia="ko-KR"/>
        </w:rPr>
        <w:t xml:space="preserve">in navigating </w:t>
      </w:r>
      <w:r w:rsidR="005B4CDB" w:rsidRPr="002E55DE">
        <w:rPr>
          <w:rFonts w:ascii="Times New Roman" w:eastAsiaTheme="minorEastAsia" w:hAnsi="Times New Roman"/>
          <w:szCs w:val="24"/>
          <w:lang w:eastAsia="ko-KR"/>
        </w:rPr>
        <w:t>screen-based</w:t>
      </w:r>
      <w:r w:rsidRPr="002E55DE">
        <w:rPr>
          <w:rFonts w:ascii="Times New Roman" w:eastAsiaTheme="minorEastAsia" w:hAnsi="Times New Roman"/>
          <w:szCs w:val="24"/>
          <w:lang w:eastAsia="ko-KR"/>
        </w:rPr>
        <w:t xml:space="preserve"> interfaces (</w:t>
      </w:r>
      <w:r w:rsidR="0027056D" w:rsidRPr="002E55DE">
        <w:rPr>
          <w:rFonts w:ascii="Times New Roman" w:eastAsiaTheme="minorEastAsia" w:hAnsi="Times New Roman"/>
          <w:szCs w:val="24"/>
          <w:lang w:eastAsia="ko-KR"/>
        </w:rPr>
        <w:t xml:space="preserve">see </w:t>
      </w:r>
      <w:r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{"citationID":"7EsvjEb2","properties":{"formattedCitation":"(Bokolo Jnr, 2024)","plainCitation":"(Bokolo Jnr, 2024)","dontUpdate":true,"noteIndex":0},"citationItems":[{"id":"4nY7bDZH/ArkOZekY","uris":["http://zotero.org/users/10132210/items/3SWHSCFL"],"itemData":{"id":1214,"type":"article-journal","abstract":"Intelligent Conversational Voice-assistants (ICV) can interpret the speech of human and respond back using synthesized voices and are increasingly employed for interacting with different applications. ICV offers promising tool to address the increasing mobility accessibility challenge faced by older people. Yet, irrespective of the increased ageing population, studies that employed ICV to improve the mobil­ ity, walkability, and wayfinding of older people are scarce. This is because the development of ICV in the mobility domain presents several designs, technical, and linguistic challenges. A systematic litera­ ture review was adopted grounded on secondary data from the literature and descriptive analysis was employed. Grounded on user-centred design perspective based on the “ability-based design frame­ work” and “ISO 9241-110 framework for ergonomics of human-system interaction.” Therefore, this study describes the requirement specifications needed to design an ICV suitable for supporting the mobility behavior of older people. Findings from this paper identifies the perceived factors that influ­ ences the use of ICV by older people. Additionally, findings from this study discusses how ICV that simulates human-like behavior can provide personalized mobility, walkability, and wayfinding guide when older people walk in cities. This study provides recommendations for the implementation of a user-centred ICV for safe, independent, accessible mobility for older people in urban environment.","container-title":"International Journal of Human–Computer Interaction","DOI":"10.1080/10447318.2024.2344145","ISSN":"1044-7318, 1532-7590","journalAbbreviation":"International Journal of Human–Computer Interaction","language":"en","page":"1-22","source":"DOI.org (Crossref)","title":"Examining the Use of Intelligent Conversational Voice-Assistants for Improved Mobility Behavior of Older Adults in Smart Cities","author":[{"family":"Bokolo Jnr","given":"Anthony"}],"issued":{"date-parts":[["2024",4,24]]}}}],"schema":"https://github.com/citation-style-language/schema/raw/master/csl-citation.json"} </w:instrText>
      </w:r>
      <w:r w:rsidRPr="002E55DE">
        <w:rPr>
          <w:rFonts w:ascii="Times New Roman" w:eastAsiaTheme="minorEastAsia" w:hAnsi="Times New Roman"/>
          <w:szCs w:val="24"/>
          <w:lang w:eastAsia="ko-KR"/>
        </w:rPr>
        <w:fldChar w:fldCharType="separate"/>
      </w:r>
      <w:r w:rsidRPr="002E55DE">
        <w:rPr>
          <w:rFonts w:ascii="Times New Roman" w:hAnsi="Times New Roman"/>
          <w:szCs w:val="24"/>
        </w:rPr>
        <w:t>Bokolo Jnr</w:t>
      </w:r>
      <w:r w:rsidR="0027056D" w:rsidRPr="002E55DE">
        <w:rPr>
          <w:rFonts w:ascii="Times New Roman" w:hAnsi="Times New Roman"/>
          <w:szCs w:val="24"/>
        </w:rPr>
        <w:t xml:space="preserve">, </w:t>
      </w:r>
      <w:r w:rsidRPr="002E55DE">
        <w:rPr>
          <w:rFonts w:ascii="Times New Roman" w:hAnsi="Times New Roman"/>
          <w:szCs w:val="24"/>
        </w:rPr>
        <w:t>2024)</w:t>
      </w:r>
      <w:r w:rsidRPr="002E55DE">
        <w:rPr>
          <w:rFonts w:ascii="Times New Roman" w:eastAsiaTheme="minorEastAsia" w:hAnsi="Times New Roman"/>
          <w:szCs w:val="24"/>
          <w:lang w:eastAsia="ko-KR"/>
        </w:rPr>
        <w:fldChar w:fldCharType="end"/>
      </w:r>
      <w:r w:rsidRPr="002E55DE">
        <w:rPr>
          <w:rFonts w:ascii="Times New Roman" w:eastAsiaTheme="minorEastAsia" w:hAnsi="Times New Roman"/>
          <w:szCs w:val="24"/>
          <w:lang w:eastAsia="ko-KR"/>
        </w:rPr>
        <w:t xml:space="preserve">. </w:t>
      </w:r>
      <w:r w:rsidR="005B4CDB" w:rsidRPr="002E55DE">
        <w:rPr>
          <w:rFonts w:ascii="Times New Roman" w:eastAsiaTheme="minorEastAsia" w:hAnsi="Times New Roman"/>
          <w:szCs w:val="24"/>
          <w:lang w:eastAsia="ko-KR"/>
        </w:rPr>
        <w:t xml:space="preserve">ICVs can promote walking </w:t>
      </w:r>
      <w:r w:rsidRPr="002E55DE">
        <w:rPr>
          <w:rFonts w:ascii="Times New Roman" w:eastAsiaTheme="minorEastAsia" w:hAnsi="Times New Roman"/>
          <w:szCs w:val="24"/>
          <w:lang w:eastAsia="ko-KR"/>
        </w:rPr>
        <w:t xml:space="preserve">through two primary functions. </w:t>
      </w:r>
      <w:r w:rsidR="001B4C95" w:rsidRPr="002E55DE">
        <w:rPr>
          <w:rFonts w:ascii="Times New Roman" w:eastAsiaTheme="minorEastAsia" w:hAnsi="Times New Roman"/>
          <w:szCs w:val="24"/>
          <w:lang w:eastAsia="ko-KR"/>
        </w:rPr>
        <w:t xml:space="preserve">First, </w:t>
      </w:r>
      <w:r w:rsidRPr="002E55DE">
        <w:rPr>
          <w:rFonts w:ascii="Times New Roman" w:eastAsiaTheme="minorEastAsia" w:hAnsi="Times New Roman"/>
          <w:szCs w:val="24"/>
          <w:lang w:eastAsia="ko-KR"/>
        </w:rPr>
        <w:t xml:space="preserve">ICVs </w:t>
      </w:r>
      <w:r w:rsidR="001B4C95" w:rsidRPr="002E55DE">
        <w:rPr>
          <w:rFonts w:ascii="Times New Roman" w:eastAsiaTheme="minorEastAsia" w:hAnsi="Times New Roman"/>
          <w:szCs w:val="24"/>
          <w:lang w:eastAsia="ko-KR"/>
        </w:rPr>
        <w:t xml:space="preserve">can </w:t>
      </w:r>
      <w:r w:rsidRPr="002E55DE">
        <w:rPr>
          <w:rFonts w:ascii="Times New Roman" w:eastAsiaTheme="minorEastAsia" w:hAnsi="Times New Roman"/>
          <w:szCs w:val="24"/>
          <w:lang w:eastAsia="ko-KR"/>
        </w:rPr>
        <w:t>assist users in finding and navigating safe</w:t>
      </w:r>
      <w:r w:rsidR="001B4C95" w:rsidRPr="002E55DE">
        <w:rPr>
          <w:rFonts w:ascii="Times New Roman" w:eastAsiaTheme="minorEastAsia" w:hAnsi="Times New Roman"/>
          <w:szCs w:val="24"/>
          <w:lang w:eastAsia="ko-KR"/>
        </w:rPr>
        <w:t xml:space="preserve"> and </w:t>
      </w:r>
      <w:r w:rsidRPr="002E55DE">
        <w:rPr>
          <w:rFonts w:ascii="Times New Roman" w:eastAsiaTheme="minorEastAsia" w:hAnsi="Times New Roman"/>
          <w:szCs w:val="24"/>
          <w:lang w:eastAsia="ko-KR"/>
        </w:rPr>
        <w:t>walkable routes</w:t>
      </w:r>
      <w:r w:rsidR="001B4C95" w:rsidRPr="002E55DE">
        <w:rPr>
          <w:rFonts w:ascii="Times New Roman" w:eastAsiaTheme="minorEastAsia" w:hAnsi="Times New Roman"/>
          <w:szCs w:val="24"/>
          <w:lang w:eastAsia="ko-KR"/>
        </w:rPr>
        <w:t xml:space="preserve">, thereby </w:t>
      </w:r>
      <w:r w:rsidRPr="002E55DE">
        <w:rPr>
          <w:rFonts w:ascii="Times New Roman" w:eastAsiaTheme="minorEastAsia" w:hAnsi="Times New Roman"/>
          <w:szCs w:val="24"/>
          <w:lang w:eastAsia="ko-KR"/>
        </w:rPr>
        <w:t>reduc</w:t>
      </w:r>
      <w:r w:rsidR="001B4C95" w:rsidRPr="002E55DE">
        <w:rPr>
          <w:rFonts w:ascii="Times New Roman" w:eastAsiaTheme="minorEastAsia" w:hAnsi="Times New Roman"/>
          <w:szCs w:val="24"/>
          <w:lang w:eastAsia="ko-KR"/>
        </w:rPr>
        <w:t xml:space="preserve">ing </w:t>
      </w:r>
      <w:r w:rsidRPr="002E55DE">
        <w:rPr>
          <w:rFonts w:ascii="Times New Roman" w:eastAsiaTheme="minorEastAsia" w:hAnsi="Times New Roman"/>
          <w:szCs w:val="24"/>
          <w:lang w:eastAsia="ko-KR"/>
        </w:rPr>
        <w:t xml:space="preserve">the fear of getting lost or concerns about route safety. </w:t>
      </w:r>
      <w:r w:rsidR="001B4C95" w:rsidRPr="002E55DE">
        <w:rPr>
          <w:rFonts w:ascii="Times New Roman" w:eastAsiaTheme="minorEastAsia" w:hAnsi="Times New Roman"/>
          <w:szCs w:val="24"/>
          <w:lang w:eastAsia="ko-KR"/>
        </w:rPr>
        <w:t>Second</w:t>
      </w:r>
      <w:r w:rsidRPr="002E55DE">
        <w:rPr>
          <w:rFonts w:ascii="Times New Roman" w:eastAsiaTheme="minorEastAsia" w:hAnsi="Times New Roman"/>
          <w:szCs w:val="24"/>
          <w:lang w:eastAsia="ko-KR"/>
        </w:rPr>
        <w:t xml:space="preserve">, ICVs can serve as an accessible alternative to </w:t>
      </w:r>
      <w:r w:rsidR="005B4CDB" w:rsidRPr="002E55DE">
        <w:rPr>
          <w:rFonts w:ascii="Times New Roman" w:eastAsiaTheme="minorEastAsia" w:hAnsi="Times New Roman"/>
          <w:szCs w:val="24"/>
          <w:lang w:eastAsia="ko-KR"/>
        </w:rPr>
        <w:t xml:space="preserve">individualized </w:t>
      </w:r>
      <w:r w:rsidRPr="002E55DE">
        <w:rPr>
          <w:rFonts w:ascii="Times New Roman" w:eastAsiaTheme="minorEastAsia" w:hAnsi="Times New Roman"/>
          <w:szCs w:val="24"/>
          <w:lang w:eastAsia="ko-KR"/>
        </w:rPr>
        <w:t xml:space="preserve">professional coaching, </w:t>
      </w:r>
      <w:r w:rsidR="00295663" w:rsidRPr="002E55DE">
        <w:rPr>
          <w:rFonts w:ascii="Times New Roman" w:eastAsiaTheme="minorEastAsia" w:hAnsi="Times New Roman"/>
          <w:szCs w:val="24"/>
          <w:lang w:eastAsia="ko-KR"/>
        </w:rPr>
        <w:t xml:space="preserve">which </w:t>
      </w:r>
      <w:r w:rsidRPr="002E55DE">
        <w:rPr>
          <w:rFonts w:ascii="Times New Roman" w:eastAsiaTheme="minorEastAsia" w:hAnsi="Times New Roman"/>
          <w:szCs w:val="24"/>
          <w:lang w:eastAsia="ko-KR"/>
        </w:rPr>
        <w:t xml:space="preserve">has been shown to positively impact physical activity participation </w:t>
      </w:r>
      <w:r w:rsidR="00A35DEF"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{"citationID":"BkPo4zfD","properties":{"formattedCitation":"(Oliveira et al., 2017)","plainCitation":"(Oliveira et al., 2017)","dontUpdate":true,"noteIndex":0},"citationItems":[{"id":"4nY7bDZH/X7Uuo6km","uris":["http://zotero.org/users/10132210/items/KLUVEANY"],"itemData":{"id":1259,"type":"article-journal","abstract":"Background  Physical inactivity is common in older age, yet increased activity benefits older people in terms of preventing chronic disease and maximising independence. Health coaching is a behaviour change intervention that has been shown to increase physical activity in clinical populations. This systematic review and meta-analysis investigated the effect of health coaching on physical activity, mobility, quality of life and mood in older people.\nMethods  MEDLINE, EMBASE, CENTRAL, PsycINFO, PEDro, SPORTDiscus, LILACS and CINAHL databases were used to identify randomised controlled trials which evaluated the effect of health coaching on physical activity (primary outcome) among people aged 60+. Secondary outcomes were mobility, quality of life and mood. We calculated standardised mean differences (SMDs, Hedges’ g) with 95% CIs from random effects meta-analyses.\nResults  27 eligible trials were included. Health coaching had a small, statistically significant effect on physical activity (27 studies; SMD = 0.27; 95% CI 0.18 to 0.37; p&lt;0.001). There was no evidence of an effect of health coaching on mobility (eight studies; SMD = 0.10; 95% CI −0.03 to 0.23; p=0.13), quality of life (eight studies; SMD = 0.07; 95% CI −0.06 to 0.20; p&lt;0.05) or mood (five studies; SMD = 0.02; 95% CI −0.12 to 0.16; p=0.83).\nConclusions  Health coaching significantly increased physical activity in people aged 60+. There was no evidence of an effect of health coaching on quality of life, mobility and mood, so different approaches may be required to impact on these outcomes.","container-title":"British Journal of Sports Medicine","DOI":"10.1136/bjsports-2016-096943","ISSN":"0306-3674, 1473-0480","issue":"19","journalAbbreviation":"Br J Sports Med","language":"en","page":"1425-1432","source":"DOI.org (Crossref)","title":"What is the effect of health coaching on physical activity participation in people aged 60 years and over? A systematic review of randomised controlled trials","title-short":"What is the effect of health coaching on physical activity participation in people aged 60 years and over?","volume":"51","author":[{"family":"Oliveira","given":"Juliana S"},{"family":"Sherrington","given":"Catherine"},{"family":"Amorim","given":"Anita B"},{"family":"Dario","given":"Amabile B"},{"family":"Tiedemann","given":"Anne"}],"issued":{"date-parts":[["2017",10]]}}}],"schema":"https://github.com/citation-style-language/schema/raw/master/csl-citation.json"} </w:instrText>
      </w:r>
      <w:r w:rsidR="00A35DEF" w:rsidRPr="002E55DE">
        <w:rPr>
          <w:rFonts w:ascii="Times New Roman" w:eastAsiaTheme="minorEastAsia" w:hAnsi="Times New Roman"/>
          <w:szCs w:val="24"/>
          <w:lang w:eastAsia="ko-KR"/>
        </w:rPr>
        <w:fldChar w:fldCharType="separate"/>
      </w:r>
      <w:r w:rsidR="00A35DEF" w:rsidRPr="002E55DE">
        <w:rPr>
          <w:rFonts w:ascii="Times New Roman" w:hAnsi="Times New Roman"/>
          <w:szCs w:val="24"/>
        </w:rPr>
        <w:t>(</w:t>
      </w:r>
      <w:r w:rsidR="00714083" w:rsidRPr="002E55DE">
        <w:rPr>
          <w:rFonts w:ascii="Times New Roman" w:eastAsiaTheme="minorEastAsia" w:hAnsi="Times New Roman"/>
          <w:szCs w:val="24"/>
          <w:lang w:eastAsia="ko-KR"/>
        </w:rPr>
        <w:t xml:space="preserve">see </w:t>
      </w:r>
      <w:r w:rsidR="00A35DEF" w:rsidRPr="002E55DE">
        <w:rPr>
          <w:rFonts w:ascii="Times New Roman" w:hAnsi="Times New Roman"/>
          <w:szCs w:val="24"/>
        </w:rPr>
        <w:t>Oliveira et al., 2017)</w:t>
      </w:r>
      <w:r w:rsidR="00A35DEF" w:rsidRPr="002E55DE">
        <w:rPr>
          <w:rFonts w:ascii="Times New Roman" w:eastAsiaTheme="minorEastAsia" w:hAnsi="Times New Roman"/>
          <w:szCs w:val="24"/>
          <w:lang w:eastAsia="ko-KR"/>
        </w:rPr>
        <w:fldChar w:fldCharType="end"/>
      </w:r>
      <w:r w:rsidR="00714083" w:rsidRPr="002E55DE">
        <w:rPr>
          <w:rStyle w:val="CommentReference"/>
          <w:rFonts w:ascii="Times New Roman" w:eastAsiaTheme="minorEastAsia" w:hAnsi="Times New Roman"/>
          <w:sz w:val="24"/>
          <w:szCs w:val="24"/>
          <w:lang w:eastAsia="ko-KR"/>
        </w:rPr>
        <w:t>.</w:t>
      </w:r>
      <w:r w:rsidR="00714083" w:rsidRPr="002E55DE">
        <w:rPr>
          <w:rFonts w:ascii="Times New Roman" w:eastAsiaTheme="minorEastAsia" w:hAnsi="Times New Roman"/>
          <w:szCs w:val="24"/>
          <w:lang w:eastAsia="ko-KR"/>
        </w:rPr>
        <w:t xml:space="preserve"> </w:t>
      </w:r>
      <w:r w:rsidRPr="002E55DE">
        <w:rPr>
          <w:rFonts w:ascii="Times New Roman" w:eastAsiaTheme="minorEastAsia" w:hAnsi="Times New Roman"/>
          <w:szCs w:val="24"/>
          <w:lang w:eastAsia="ko-KR"/>
        </w:rPr>
        <w:t xml:space="preserve">As AI technology advances, the </w:t>
      </w:r>
      <w:r w:rsidR="00295663" w:rsidRPr="002E55DE">
        <w:rPr>
          <w:rFonts w:ascii="Times New Roman" w:eastAsiaTheme="minorEastAsia" w:hAnsi="Times New Roman"/>
          <w:szCs w:val="24"/>
          <w:lang w:eastAsia="ko-KR"/>
        </w:rPr>
        <w:t xml:space="preserve">chasm </w:t>
      </w:r>
      <w:r w:rsidRPr="002E55DE">
        <w:rPr>
          <w:rFonts w:ascii="Times New Roman" w:eastAsiaTheme="minorEastAsia" w:hAnsi="Times New Roman"/>
          <w:szCs w:val="24"/>
          <w:lang w:eastAsia="ko-KR"/>
        </w:rPr>
        <w:t xml:space="preserve">between human coaching and ICV support may narrow, making ICVs an increasingly valuable and reliable tool </w:t>
      </w:r>
      <w:r w:rsidR="00295663" w:rsidRPr="002E55DE">
        <w:rPr>
          <w:rFonts w:ascii="Times New Roman" w:eastAsiaTheme="minorEastAsia" w:hAnsi="Times New Roman"/>
          <w:szCs w:val="24"/>
          <w:lang w:eastAsia="ko-KR"/>
        </w:rPr>
        <w:t xml:space="preserve">to </w:t>
      </w:r>
      <w:r w:rsidRPr="002E55DE">
        <w:rPr>
          <w:rFonts w:ascii="Times New Roman" w:eastAsiaTheme="minorEastAsia" w:hAnsi="Times New Roman"/>
          <w:szCs w:val="24"/>
          <w:lang w:eastAsia="ko-KR"/>
        </w:rPr>
        <w:t>promot</w:t>
      </w:r>
      <w:r w:rsidR="00295663" w:rsidRPr="002E55DE">
        <w:rPr>
          <w:rFonts w:ascii="Times New Roman" w:eastAsiaTheme="minorEastAsia" w:hAnsi="Times New Roman"/>
          <w:szCs w:val="24"/>
          <w:lang w:eastAsia="ko-KR"/>
        </w:rPr>
        <w:t xml:space="preserve">e walking </w:t>
      </w:r>
      <w:r w:rsidRPr="002E55DE">
        <w:rPr>
          <w:rFonts w:ascii="Times New Roman" w:eastAsiaTheme="minorEastAsia" w:hAnsi="Times New Roman"/>
          <w:szCs w:val="24"/>
          <w:lang w:eastAsia="ko-KR"/>
        </w:rPr>
        <w:t xml:space="preserve">among older adults (see, for example, </w:t>
      </w:r>
      <w:r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{"citationID":"7oaXbzxk","properties":{"formattedCitation":"(Mohan et al., 2020; Vardhan et al., 2022)","plainCitation":"(Mohan et al., 2020; Vardhan et al., 2022)","dontUpdate":true,"noteIndex":0},"citationItems":[{"id":"4nY7bDZH/QQPG9lDo","uris":["http://zotero.org/users/10132210/items/2NNG23FJ"],"itemData":{"id":1257,"type":"article-journal","abstract":"Our research aims to develop interactive, social agents that can coach people to learn new tasks, skills, and habits. In this article, we focus on coaching sedentary, overweight individuals (i.e., “trainees”) to exercise regularly. We employ adaptive goal setting in which the intelligent health coach generates, tracks, and revises personalized exercise goals for a trainee. The goals become incrementally more difficult as the trainee progresses through the training program. Our approach is model-based—the coach maintains a parameterized model of the trainee’s aerobic capability that drives its expectation of the trainee’s performance. The model is continually revised based on trainee-coach interactions. The coach is embodied in a smartphone application, N\n              utri\n              W\n              alking\n              , which serves as a medium for coach-trainee interaction. We adopt a task-centric evaluation approach for studying the utility of the proposed algorithm in promoting regular aerobic exercise. We show that our approach can adapt the trainee program not only to several trainees with different capabilities but also to how a trainee’s capability improves as they begin to exercise more. Experts rate the goals selected by the coach better than other plausible goals, demonstrating that our approach is consistent with clinical recommendations. Further, in a 6-week observational study with sedentary participants, we show that the proposed approach helps increase exercise volume performed each week.","container-title":"ACM Transactions on Interactive Intelligent Systems","DOI":"10.1145/3366501","ISSN":"2160-6455, 2160-6463","issue":"2","journalAbbreviation":"ACM Trans. Interact. Intell. Syst.","language":"en","page":"1-30","source":"DOI.org (Crossref)","title":"Designing an AI Health Coach and Studying Its Utility in Promoting Regular Aerobic Exercise","volume":"10","author":[{"family":"Mohan","given":"Shiwali"},{"family":"Venkatakrishnan","given":"Anusha"},{"family":"Hartzler","given":"Andrea L."}],"issued":{"date-parts":[["2020",6,30]]}}},{"id":"4nY7bDZH/P8Fp9JiV","uris":["http://zotero.org/users/10132210/items/BF4XYXCC"],"itemData":{"id":1258,"type":"paper-conference","container-title":"Proceedings of the 30th ACM Conference on User Modeling, Adaptation and Personalization","DOI":"10.1145/3503252.3531301","event-place":"Barcelona Spain","event-title":"UMAP '22: 30th ACM Conference on User Modeling, Adaptation and Personalization","ISBN":"978-1-4503-9207-5","language":"en","page":"57-68","publisher":"ACM","publisher-place":"Barcelona Spain","source":"DOI.org (Crossref)","title":"Walking with PACE - Personalized and Automated Coaching Engine","URL":"https://dl.acm.org/doi/10.1145/3503252.3531301","author":[{"family":"Vardhan","given":"Madhurima"},{"family":"Hegde","given":"Narayan"},{"family":"Merugu","given":"Srujana"},{"family":"Prabhat","given":"Shantanu"},{"family":"Nathani","given":"Deepak"},{"family":"Seneviratne","given":"Martin"},{"family":"Muhammad","given":"Nur"},{"family":"Reddy","given":"Pranay"},{"family":"Lakshminarasimhan","given":"Sriram"},{"family":"Singh","given":"Rahul"},{"family":"Lorenzana","given":"Karina"},{"family":"Motwani","given":"Eshan"},{"family":"Talukdar","given":"Partha"},{"family":"Raghuveer","given":"Aravindan"}],"accessed":{"date-parts":[["2024",6,17]]},"issued":{"date-parts":[["2022",7,4]]}}}],"schema":"https://github.com/citation-style-language/schema/raw/master/csl-citation.json"} </w:instrText>
      </w:r>
      <w:r w:rsidRPr="002E55DE">
        <w:rPr>
          <w:rFonts w:ascii="Times New Roman" w:eastAsiaTheme="minorEastAsia" w:hAnsi="Times New Roman"/>
          <w:szCs w:val="24"/>
          <w:lang w:eastAsia="ko-KR"/>
        </w:rPr>
        <w:fldChar w:fldCharType="separate"/>
      </w:r>
      <w:r w:rsidRPr="002E55DE">
        <w:rPr>
          <w:rFonts w:ascii="Times New Roman" w:hAnsi="Times New Roman"/>
          <w:szCs w:val="24"/>
        </w:rPr>
        <w:t>Mohan et al., 2020</w:t>
      </w:r>
      <w:r w:rsidR="0027056D" w:rsidRPr="002E55DE">
        <w:rPr>
          <w:rFonts w:ascii="Times New Roman" w:hAnsi="Times New Roman"/>
          <w:szCs w:val="24"/>
        </w:rPr>
        <w:t>, and</w:t>
      </w:r>
      <w:r w:rsidRPr="002E55DE">
        <w:rPr>
          <w:rFonts w:ascii="Times New Roman" w:hAnsi="Times New Roman"/>
          <w:szCs w:val="24"/>
        </w:rPr>
        <w:t xml:space="preserve"> Vardhan et al., 2022)</w:t>
      </w:r>
      <w:r w:rsidRPr="002E55DE">
        <w:rPr>
          <w:rFonts w:ascii="Times New Roman" w:eastAsiaTheme="minorEastAsia" w:hAnsi="Times New Roman"/>
          <w:szCs w:val="24"/>
          <w:lang w:eastAsia="ko-KR"/>
        </w:rPr>
        <w:fldChar w:fldCharType="end"/>
      </w:r>
      <w:r w:rsidRPr="002E55DE">
        <w:rPr>
          <w:rFonts w:ascii="Times New Roman" w:eastAsiaTheme="minorEastAsia" w:hAnsi="Times New Roman"/>
          <w:szCs w:val="24"/>
          <w:lang w:eastAsia="ko-KR"/>
        </w:rPr>
        <w:t xml:space="preserve">. </w:t>
      </w:r>
    </w:p>
    <w:p w14:paraId="639CE1BF" w14:textId="77777777" w:rsidR="00A04B03" w:rsidRPr="002E55DE" w:rsidRDefault="00A04B03" w:rsidP="007B3FB7">
      <w:pPr>
        <w:ind w:firstLine="720"/>
        <w:jc w:val="both"/>
        <w:rPr>
          <w:rFonts w:ascii="Times New Roman" w:eastAsiaTheme="minorEastAsia" w:hAnsi="Times New Roman"/>
          <w:szCs w:val="24"/>
          <w:lang w:eastAsia="ko-KR"/>
        </w:rPr>
      </w:pPr>
    </w:p>
    <w:p w14:paraId="0AF519FD" w14:textId="306475AE" w:rsidR="00A04B03" w:rsidRPr="002E55DE" w:rsidRDefault="00E313BB" w:rsidP="00265098">
      <w:pPr>
        <w:pStyle w:val="Heading2"/>
        <w:keepNext/>
        <w:keepLines/>
        <w:spacing w:line="240" w:lineRule="auto"/>
        <w:ind w:hanging="540"/>
        <w:rPr>
          <w:rFonts w:eastAsiaTheme="minorEastAsia"/>
          <w:szCs w:val="24"/>
          <w:lang w:eastAsia="ko-KR"/>
        </w:rPr>
      </w:pPr>
      <w:r w:rsidRPr="002E55DE">
        <w:rPr>
          <w:rFonts w:eastAsiaTheme="minorEastAsia"/>
          <w:szCs w:val="24"/>
          <w:lang w:eastAsia="ko-KR"/>
        </w:rPr>
        <w:lastRenderedPageBreak/>
        <w:t xml:space="preserve">Possible </w:t>
      </w:r>
      <w:r w:rsidR="001378C6" w:rsidRPr="002E55DE">
        <w:rPr>
          <w:rFonts w:eastAsiaTheme="minorEastAsia"/>
          <w:szCs w:val="24"/>
          <w:lang w:eastAsia="ko-KR"/>
        </w:rPr>
        <w:t xml:space="preserve">Future Research Directions </w:t>
      </w:r>
    </w:p>
    <w:p w14:paraId="3E368D6E" w14:textId="0E3B4DDD" w:rsidR="00A04B03" w:rsidRPr="002E55DE" w:rsidRDefault="00D03C68" w:rsidP="00265098">
      <w:pPr>
        <w:keepNext/>
        <w:keepLines/>
        <w:jc w:val="both"/>
        <w:rPr>
          <w:rFonts w:eastAsiaTheme="minorEastAsia"/>
          <w:lang w:eastAsia="ko-KR"/>
        </w:rPr>
      </w:pPr>
      <w:r w:rsidRPr="002E55DE">
        <w:rPr>
          <w:rFonts w:ascii="Times New Roman" w:eastAsiaTheme="minorEastAsia" w:hAnsi="Times New Roman"/>
          <w:szCs w:val="24"/>
          <w:lang w:eastAsia="ko-KR"/>
        </w:rPr>
        <w:t>The research in this study</w:t>
      </w:r>
      <w:r w:rsidR="00A47F01" w:rsidRPr="002E55DE">
        <w:rPr>
          <w:rFonts w:ascii="Times New Roman" w:eastAsiaTheme="minorEastAsia" w:hAnsi="Times New Roman"/>
          <w:szCs w:val="24"/>
          <w:lang w:eastAsia="ko-KR"/>
        </w:rPr>
        <w:t xml:space="preserve"> </w:t>
      </w:r>
      <w:r w:rsidR="001378C6" w:rsidRPr="002E55DE">
        <w:rPr>
          <w:rFonts w:ascii="Times New Roman" w:eastAsiaTheme="minorEastAsia" w:hAnsi="Times New Roman"/>
          <w:szCs w:val="24"/>
          <w:lang w:eastAsia="ko-KR"/>
        </w:rPr>
        <w:t xml:space="preserve">may be taken forward in many directions. </w:t>
      </w:r>
      <w:r w:rsidRPr="002E55DE">
        <w:rPr>
          <w:rFonts w:ascii="Times New Roman" w:eastAsiaTheme="minorEastAsia" w:hAnsi="Times New Roman"/>
          <w:szCs w:val="24"/>
          <w:u w:val="single"/>
          <w:lang w:eastAsia="ko-KR"/>
        </w:rPr>
        <w:t>First</w:t>
      </w:r>
      <w:r w:rsidRPr="002E55DE">
        <w:rPr>
          <w:rFonts w:ascii="Times New Roman" w:eastAsiaTheme="minorEastAsia" w:hAnsi="Times New Roman"/>
          <w:szCs w:val="24"/>
          <w:lang w:eastAsia="ko-KR"/>
        </w:rPr>
        <w:t>, although we acknowledge the significant impact of the built and natural environment on walking, we could not explore this aspect due to</w:t>
      </w:r>
      <w:r w:rsidRPr="002E55DE">
        <w:rPr>
          <w:rFonts w:ascii="Times New Roman" w:hAnsi="Times New Roman"/>
          <w:szCs w:val="24"/>
        </w:rPr>
        <w:t xml:space="preserve"> </w:t>
      </w:r>
      <w:r w:rsidRPr="002E55DE">
        <w:rPr>
          <w:rFonts w:ascii="Times New Roman" w:eastAsiaTheme="minorEastAsia" w:hAnsi="Times New Roman"/>
          <w:szCs w:val="24"/>
          <w:lang w:eastAsia="ko-KR"/>
        </w:rPr>
        <w:t xml:space="preserve">the lack of </w:t>
      </w:r>
      <w:r w:rsidR="00613CB3" w:rsidRPr="002E55DE">
        <w:rPr>
          <w:rFonts w:ascii="Times New Roman" w:eastAsiaTheme="minorEastAsia" w:hAnsi="Times New Roman"/>
          <w:szCs w:val="24"/>
          <w:lang w:eastAsia="ko-KR"/>
        </w:rPr>
        <w:t xml:space="preserve">detailed </w:t>
      </w:r>
      <w:r w:rsidRPr="002E55DE">
        <w:rPr>
          <w:rFonts w:ascii="Times New Roman" w:eastAsiaTheme="minorEastAsia" w:hAnsi="Times New Roman"/>
          <w:szCs w:val="24"/>
          <w:lang w:eastAsia="ko-KR"/>
        </w:rPr>
        <w:t>data on respondents</w:t>
      </w:r>
      <w:r w:rsidR="007B3FB7" w:rsidRPr="002E55DE">
        <w:rPr>
          <w:rFonts w:ascii="Times New Roman" w:eastAsiaTheme="minorEastAsia" w:hAnsi="Times New Roman"/>
          <w:szCs w:val="24"/>
          <w:lang w:eastAsia="ko-KR"/>
        </w:rPr>
        <w:t>’</w:t>
      </w:r>
      <w:r w:rsidRPr="002E55DE">
        <w:rPr>
          <w:rFonts w:ascii="Times New Roman" w:eastAsiaTheme="minorEastAsia" w:hAnsi="Times New Roman"/>
          <w:szCs w:val="24"/>
          <w:lang w:eastAsia="ko-KR"/>
        </w:rPr>
        <w:t xml:space="preserve"> residential locations. </w:t>
      </w:r>
      <w:r w:rsidR="00613CB3" w:rsidRPr="002E55DE">
        <w:rPr>
          <w:rFonts w:ascii="Times New Roman" w:eastAsiaTheme="minorEastAsia" w:hAnsi="Times New Roman"/>
          <w:szCs w:val="24"/>
          <w:lang w:eastAsia="ko-KR"/>
        </w:rPr>
        <w:t xml:space="preserve">Our dataset only included broad residence regions, which showed no significant effect after controlling for socio-demographic variables. </w:t>
      </w:r>
      <w:r w:rsidR="00FD5061" w:rsidRPr="002E55DE">
        <w:rPr>
          <w:rFonts w:ascii="Times New Roman" w:eastAsiaTheme="minorEastAsia" w:hAnsi="Times New Roman"/>
          <w:szCs w:val="24"/>
          <w:lang w:eastAsia="ko-KR"/>
        </w:rPr>
        <w:t xml:space="preserve">On the other hand, our approach may also be viewed as a means of recognizing the potential endogeneity of BE measures in walking behavior choices (that is, the distinct possibility </w:t>
      </w:r>
      <w:r w:rsidR="00FD5061" w:rsidRPr="002E55DE">
        <w:rPr>
          <w:rFonts w:ascii="Times New Roman" w:hAnsi="Times New Roman"/>
          <w:szCs w:val="24"/>
        </w:rPr>
        <w:t xml:space="preserve">that individuals choose neighborhoods </w:t>
      </w:r>
      <w:r w:rsidR="00443AF5" w:rsidRPr="002E55DE">
        <w:rPr>
          <w:rFonts w:ascii="Times New Roman" w:hAnsi="Times New Roman"/>
          <w:szCs w:val="24"/>
        </w:rPr>
        <w:t xml:space="preserve">with specific BE characteristics in the first place </w:t>
      </w:r>
      <w:r w:rsidR="00FD5061" w:rsidRPr="002E55DE">
        <w:rPr>
          <w:rFonts w:ascii="Times New Roman" w:hAnsi="Times New Roman"/>
          <w:szCs w:val="24"/>
        </w:rPr>
        <w:t>that align with their walking preferences</w:t>
      </w:r>
      <w:r w:rsidR="00443AF5" w:rsidRPr="002E55DE">
        <w:rPr>
          <w:rFonts w:ascii="Times New Roman" w:hAnsi="Times New Roman"/>
          <w:szCs w:val="24"/>
        </w:rPr>
        <w:t>)</w:t>
      </w:r>
      <w:r w:rsidR="00FD5061" w:rsidRPr="002E55DE">
        <w:rPr>
          <w:rFonts w:ascii="Times New Roman" w:hAnsi="Times New Roman"/>
          <w:szCs w:val="24"/>
        </w:rPr>
        <w:t xml:space="preserve"> </w:t>
      </w:r>
      <w:r w:rsidR="00FD5061" w:rsidRPr="002E55DE">
        <w:rPr>
          <w:rFonts w:ascii="Times New Roman" w:eastAsiaTheme="minorEastAsia" w:hAnsi="Times New Roman"/>
          <w:szCs w:val="24"/>
          <w:lang w:eastAsia="ko-KR"/>
        </w:rPr>
        <w:t>by excluding BE measures as exogenous covariates of walking</w:t>
      </w:r>
      <w:r w:rsidR="00BA53C2" w:rsidRPr="002E55DE">
        <w:rPr>
          <w:rFonts w:ascii="Times New Roman" w:eastAsiaTheme="minorEastAsia" w:hAnsi="Times New Roman"/>
          <w:szCs w:val="24"/>
          <w:lang w:eastAsia="ko-KR"/>
        </w:rPr>
        <w:t xml:space="preserve"> (see, for example,</w:t>
      </w:r>
      <w:r w:rsidR="00855029" w:rsidRPr="002E55DE">
        <w:rPr>
          <w:rFonts w:ascii="Times New Roman" w:eastAsiaTheme="minorEastAsia" w:hAnsi="Times New Roman"/>
          <w:szCs w:val="24"/>
          <w:lang w:eastAsia="ko-KR"/>
        </w:rPr>
        <w:t xml:space="preserve"> </w:t>
      </w:r>
      <w:r w:rsidR="00855029"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{"citationID":"upjM3MNP","properties":{"formattedCitation":"(Zang et al., 2019)","plainCitation":"(Zang et al., 2019)","dontUpdate":true,"noteIndex":0},"citationItems":[{"id":"4nY7bDZH/9hNcVbPB","uris":["http://zotero.org/users/10132210/items/HCVBV9M4"],"itemData":{"id":2358,"type":"article-journal","abstract":"In the context of population ageing in many developed and developing countries, encouraging active transport behaviors of older adults, is a key public health priority. However, many cross-sectional studies assessing the impact of built environment characteristics on travel behavior fail to address residential self-selection bias, and hence the causal relationship is uncertain. A large-scale public housing scheme provided this study with a unique research opportunity to distinguish residential self-selection from the eﬀects of built environment characteristics on the travel behaviors of older adults (N = 13,468 and 3,961 in two analyses respectively) in Hong Kong, because public housing residents have little freedom to choose their residential locations. The results showed that the elderly living in public housing estates generally have fewer trips, shorter overall travel times and distances, and fewer motorized trips including those by rail or private car than those living in private housing estates. In addition, the results for walking, walking times, numbers of trips, and travel distance for elderly people in public and private housing all exhibited markedly diﬀerent associations with built environment characteristics. Strength of built environment-travel behavior associations dropped by approximately 30–50% after controlling for the eﬀect of residential self-selection. The results indicate that both built environment characteristics and residential self-selection aﬀect travel behaviors.","container-title":"Social Science &amp; Medicine","DOI":"10.1016/j.socscimed.2019.112515","ISSN":"02779536","journalAbbreviation":"Social Science &amp; Medicine","language":"en","page":"112515","source":"DOI.org (Crossref)","title":"Disentangling residential self-selection from impacts of built environment characteristics on travel behaviors for older adults","volume":"238","author":[{"family":"Zang","given":"Peng"},{"family":"Lu","given":"Yi"},{"family":"Ma","given":"Jing"},{"family":"Xie","given":"Bo"},{"family":"Wang","given":"Ruoyu"},{"family":"Liu","given":"Ye"}],"issued":{"date-parts":[["2019",10]]}}}],"schema":"https://github.com/citation-style-language/schema/raw/master/csl-citation.json"} </w:instrText>
      </w:r>
      <w:r w:rsidR="00855029" w:rsidRPr="002E55DE">
        <w:rPr>
          <w:rFonts w:ascii="Times New Roman" w:eastAsiaTheme="minorEastAsia" w:hAnsi="Times New Roman"/>
          <w:szCs w:val="24"/>
          <w:lang w:eastAsia="ko-KR"/>
        </w:rPr>
        <w:fldChar w:fldCharType="separate"/>
      </w:r>
      <w:r w:rsidR="00855029" w:rsidRPr="002E55DE">
        <w:rPr>
          <w:rFonts w:ascii="Times New Roman" w:hAnsi="Times New Roman"/>
          <w:szCs w:val="24"/>
        </w:rPr>
        <w:t>Zang et al., 2019</w:t>
      </w:r>
      <w:r w:rsidR="00855029" w:rsidRPr="002E55DE">
        <w:rPr>
          <w:rFonts w:ascii="Times New Roman" w:eastAsiaTheme="minorEastAsia" w:hAnsi="Times New Roman"/>
          <w:szCs w:val="24"/>
          <w:lang w:eastAsia="ko-KR"/>
        </w:rPr>
        <w:fldChar w:fldCharType="end"/>
      </w:r>
      <w:r w:rsidR="00BA53C2" w:rsidRPr="002E55DE">
        <w:rPr>
          <w:rFonts w:ascii="Times New Roman" w:eastAsiaTheme="minorEastAsia" w:hAnsi="Times New Roman"/>
          <w:szCs w:val="24"/>
          <w:lang w:eastAsia="ko-KR"/>
        </w:rPr>
        <w:t xml:space="preserve"> and</w:t>
      </w:r>
      <w:r w:rsidR="00C40840" w:rsidRPr="002E55DE">
        <w:rPr>
          <w:rFonts w:ascii="Times New Roman" w:eastAsiaTheme="minorEastAsia" w:hAnsi="Times New Roman"/>
          <w:szCs w:val="24"/>
          <w:lang w:eastAsia="ko-KR"/>
        </w:rPr>
        <w:t xml:space="preserve"> </w:t>
      </w:r>
      <w:r w:rsidR="00EA7625" w:rsidRPr="002E55DE">
        <w:rPr>
          <w:rFonts w:ascii="Times New Roman" w:eastAsiaTheme="minorEastAsia" w:hAnsi="Times New Roman"/>
          <w:szCs w:val="24"/>
          <w:lang w:eastAsia="ko-KR"/>
        </w:rPr>
        <w:fldChar w:fldCharType="begin"/>
      </w:r>
      <w:r w:rsidR="00A254CC" w:rsidRPr="002E55DE">
        <w:rPr>
          <w:rFonts w:ascii="Times New Roman" w:eastAsiaTheme="minorEastAsia" w:hAnsi="Times New Roman"/>
          <w:szCs w:val="24"/>
          <w:lang w:eastAsia="ko-KR"/>
        </w:rPr>
        <w:instrText xml:space="preserve"> ADDIN ZOTERO_ITEM CSL_CITATION {"citationID":"t4Kwz2nb","properties":{"formattedCitation":"(Deka &amp; Brown, 2020)","plainCitation":"(Deka &amp; Brown, 2020)","dontUpdate":true,"noteIndex":0},"citationItems":[{"id":"4nY7bDZH/S7Bpco8E","uris":["http://zotero.org/users/10132210/items/4AQJTEP8"],"itemData":{"id":907,"type":"article-journal","container-title":"Travel Behaviour and Society","DOI":"10.1016/j.tbs.2020.02.005","ISSN":"2214367X","journalAbbreviation":"Travel Behaviour and Society","language":"en","page":"51-61","source":"DOI.org (Crossref)","title":"Does the pathway to transportation walking for older adults run through recreational walking?","volume":"20","author":[{"family":"Deka","given":"Devajyoti"},{"family":"Brown","given":"Charles T."}],"issued":{"date-parts":[["2020",7]]}}}],"schema":"https://github.com/citation-style-language/schema/raw/master/csl-citation.json"} </w:instrText>
      </w:r>
      <w:r w:rsidR="00EA7625" w:rsidRPr="002E55DE">
        <w:rPr>
          <w:rFonts w:ascii="Times New Roman" w:eastAsiaTheme="minorEastAsia" w:hAnsi="Times New Roman"/>
          <w:szCs w:val="24"/>
          <w:lang w:eastAsia="ko-KR"/>
        </w:rPr>
        <w:fldChar w:fldCharType="separate"/>
      </w:r>
      <w:r w:rsidR="00EA7625" w:rsidRPr="002E55DE">
        <w:rPr>
          <w:rFonts w:ascii="Times New Roman" w:hAnsi="Times New Roman"/>
          <w:szCs w:val="24"/>
        </w:rPr>
        <w:t>Deka and Brown, 2020</w:t>
      </w:r>
      <w:r w:rsidR="00EA7625" w:rsidRPr="002E55DE">
        <w:rPr>
          <w:rFonts w:ascii="Times New Roman" w:eastAsiaTheme="minorEastAsia" w:hAnsi="Times New Roman"/>
          <w:szCs w:val="24"/>
          <w:lang w:eastAsia="ko-KR"/>
        </w:rPr>
        <w:fldChar w:fldCharType="end"/>
      </w:r>
      <w:r w:rsidR="00BA53C2" w:rsidRPr="002E55DE">
        <w:rPr>
          <w:rFonts w:ascii="Times New Roman" w:eastAsiaTheme="minorEastAsia" w:hAnsi="Times New Roman"/>
          <w:szCs w:val="24"/>
          <w:lang w:eastAsia="ko-KR"/>
        </w:rPr>
        <w:t>)</w:t>
      </w:r>
      <w:r w:rsidR="00FD5061" w:rsidRPr="002E55DE">
        <w:rPr>
          <w:rFonts w:ascii="Times New Roman" w:eastAsiaTheme="minorEastAsia" w:hAnsi="Times New Roman"/>
          <w:szCs w:val="24"/>
          <w:lang w:eastAsia="ko-KR"/>
        </w:rPr>
        <w:t xml:space="preserve">. Future studies can include BE measures along with the sociodemographic and social factor effects investigated in this study, while also recognizing </w:t>
      </w:r>
      <w:r w:rsidR="00BA1B1E" w:rsidRPr="002E55DE">
        <w:rPr>
          <w:rFonts w:ascii="Times New Roman" w:hAnsi="Times New Roman"/>
          <w:szCs w:val="24"/>
        </w:rPr>
        <w:t xml:space="preserve">the issue of </w:t>
      </w:r>
      <w:r w:rsidR="00FD5061" w:rsidRPr="002E55DE">
        <w:rPr>
          <w:rFonts w:ascii="Times New Roman" w:hAnsi="Times New Roman"/>
          <w:szCs w:val="24"/>
        </w:rPr>
        <w:t xml:space="preserve">possible </w:t>
      </w:r>
      <w:r w:rsidR="00BA1B1E" w:rsidRPr="002E55DE">
        <w:rPr>
          <w:rFonts w:ascii="Times New Roman" w:hAnsi="Times New Roman"/>
          <w:szCs w:val="24"/>
        </w:rPr>
        <w:t>residential self-selection.</w:t>
      </w:r>
      <w:r w:rsidR="004D0891" w:rsidRPr="002E55DE">
        <w:rPr>
          <w:rFonts w:ascii="Times New Roman" w:eastAsiaTheme="minorEastAsia" w:hAnsi="Times New Roman"/>
          <w:szCs w:val="24"/>
          <w:lang w:eastAsia="ko-KR"/>
        </w:rPr>
        <w:t xml:space="preserve"> </w:t>
      </w:r>
      <w:r w:rsidR="00FD5061" w:rsidRPr="002E55DE">
        <w:rPr>
          <w:rFonts w:ascii="Times New Roman" w:eastAsiaTheme="minorEastAsia" w:hAnsi="Times New Roman"/>
          <w:szCs w:val="24"/>
          <w:lang w:eastAsia="ko-KR"/>
        </w:rPr>
        <w:t>This can be achieved by using a joint modeling system such as ours, but considering additional BE measures as endogenous choice outcomes and modeling BE choices along with walking behavior choices. Such a model would explicitly consider</w:t>
      </w:r>
      <w:r w:rsidR="002C0DCE" w:rsidRPr="002E55DE">
        <w:rPr>
          <w:rFonts w:ascii="Times New Roman" w:eastAsiaTheme="minorEastAsia" w:hAnsi="Times New Roman"/>
          <w:szCs w:val="24"/>
          <w:lang w:eastAsia="ko-KR"/>
        </w:rPr>
        <w:t xml:space="preserve"> </w:t>
      </w:r>
      <w:r w:rsidR="00FD5061" w:rsidRPr="002E55DE">
        <w:rPr>
          <w:rFonts w:ascii="Times New Roman" w:eastAsiaTheme="minorEastAsia" w:hAnsi="Times New Roman"/>
          <w:szCs w:val="24"/>
          <w:lang w:eastAsia="ko-KR"/>
        </w:rPr>
        <w:t>spurious associations (through unobserved correlations in BE choices and walking behavior choices), before attributing any BE effects on walking behavior as “true” causal effects. Of course, studies exploring</w:t>
      </w:r>
      <w:r w:rsidR="00FD5061" w:rsidRPr="002E55DE">
        <w:rPr>
          <w:rFonts w:eastAsiaTheme="minorEastAsia"/>
          <w:lang w:eastAsia="ko-KR"/>
        </w:rPr>
        <w:t xml:space="preserve"> which BE effects may be more endogenous or more exogenous in different geo-political contexts would be beneficial in this regard, so as to keep the number of endogenous outcomes in a joint model to a reasonable number.</w:t>
      </w:r>
      <w:r w:rsidR="00BC0DC5" w:rsidRPr="002E55DE">
        <w:rPr>
          <w:rFonts w:ascii="Times New Roman" w:eastAsiaTheme="minorEastAsia" w:hAnsi="Times New Roman" w:hint="eastAsia"/>
          <w:lang w:eastAsia="ko-KR"/>
        </w:rPr>
        <w:t xml:space="preserve"> </w:t>
      </w:r>
      <w:r w:rsidRPr="002E55DE">
        <w:rPr>
          <w:rFonts w:ascii="Times New Roman" w:eastAsiaTheme="minorEastAsia" w:hAnsi="Times New Roman"/>
          <w:lang w:eastAsia="ko-KR"/>
        </w:rPr>
        <w:t xml:space="preserve"> </w:t>
      </w:r>
      <w:r w:rsidRPr="002E55DE">
        <w:rPr>
          <w:rFonts w:ascii="Times New Roman" w:eastAsiaTheme="minorEastAsia" w:hAnsi="Times New Roman"/>
          <w:u w:val="single"/>
          <w:lang w:eastAsia="ko-KR"/>
        </w:rPr>
        <w:t>Second</w:t>
      </w:r>
      <w:r w:rsidRPr="002E55DE">
        <w:rPr>
          <w:rFonts w:ascii="Times New Roman" w:eastAsiaTheme="minorEastAsia" w:hAnsi="Times New Roman"/>
          <w:lang w:eastAsia="ko-KR"/>
        </w:rPr>
        <w:t xml:space="preserve">, </w:t>
      </w:r>
      <w:r w:rsidR="006C1130" w:rsidRPr="002E55DE">
        <w:rPr>
          <w:rFonts w:ascii="Times New Roman" w:eastAsiaTheme="minorEastAsia" w:hAnsi="Times New Roman"/>
          <w:lang w:eastAsia="ko-KR"/>
        </w:rPr>
        <w:t xml:space="preserve">self-reported walking </w:t>
      </w:r>
      <w:r w:rsidR="006C1130" w:rsidRPr="002E55DE">
        <w:rPr>
          <w:rFonts w:ascii="Times New Roman" w:eastAsiaTheme="minorEastAsia" w:hAnsi="Times New Roman" w:hint="eastAsia"/>
          <w:lang w:eastAsia="ko-KR"/>
        </w:rPr>
        <w:t>habits</w:t>
      </w:r>
      <w:r w:rsidR="006C1130" w:rsidRPr="002E55DE">
        <w:rPr>
          <w:rFonts w:ascii="Times New Roman" w:eastAsiaTheme="minorEastAsia" w:hAnsi="Times New Roman"/>
          <w:lang w:eastAsia="ko-KR"/>
        </w:rPr>
        <w:t xml:space="preserve"> </w:t>
      </w:r>
      <w:r w:rsidR="001378C6" w:rsidRPr="002E55DE">
        <w:rPr>
          <w:rFonts w:ascii="Times New Roman" w:eastAsiaTheme="minorEastAsia" w:hAnsi="Times New Roman"/>
          <w:lang w:eastAsia="ko-KR"/>
        </w:rPr>
        <w:t>may be complemented with other “</w:t>
      </w:r>
      <w:r w:rsidR="006C1130" w:rsidRPr="002E55DE">
        <w:rPr>
          <w:rFonts w:ascii="Times New Roman" w:eastAsiaTheme="minorEastAsia" w:hAnsi="Times New Roman"/>
          <w:lang w:eastAsia="ko-KR"/>
        </w:rPr>
        <w:t>objectively</w:t>
      </w:r>
      <w:r w:rsidR="001378C6" w:rsidRPr="002E55DE">
        <w:rPr>
          <w:rFonts w:ascii="Times New Roman" w:eastAsiaTheme="minorEastAsia" w:hAnsi="Times New Roman"/>
          <w:lang w:eastAsia="ko-KR"/>
        </w:rPr>
        <w:t>”</w:t>
      </w:r>
      <w:r w:rsidR="006C1130" w:rsidRPr="002E55DE">
        <w:rPr>
          <w:rFonts w:ascii="Times New Roman" w:eastAsiaTheme="minorEastAsia" w:hAnsi="Times New Roman"/>
          <w:lang w:eastAsia="ko-KR"/>
        </w:rPr>
        <w:t xml:space="preserve"> measured data </w:t>
      </w:r>
      <w:r w:rsidR="001378C6" w:rsidRPr="002E55DE">
        <w:rPr>
          <w:rFonts w:ascii="Times New Roman" w:eastAsiaTheme="minorEastAsia" w:hAnsi="Times New Roman"/>
          <w:lang w:eastAsia="ko-KR"/>
        </w:rPr>
        <w:t>(</w:t>
      </w:r>
      <w:r w:rsidR="006C1130" w:rsidRPr="002E55DE">
        <w:rPr>
          <w:rFonts w:ascii="Times New Roman" w:eastAsiaTheme="minorEastAsia" w:hAnsi="Times New Roman"/>
          <w:lang w:eastAsia="ko-KR"/>
        </w:rPr>
        <w:t xml:space="preserve">such as </w:t>
      </w:r>
      <w:r w:rsidR="001378C6" w:rsidRPr="002E55DE">
        <w:rPr>
          <w:rFonts w:ascii="Times New Roman" w:eastAsiaTheme="minorEastAsia" w:hAnsi="Times New Roman"/>
          <w:lang w:eastAsia="ko-KR"/>
        </w:rPr>
        <w:t xml:space="preserve">those obtained through </w:t>
      </w:r>
      <w:r w:rsidR="006C1130" w:rsidRPr="002E55DE">
        <w:rPr>
          <w:rFonts w:ascii="Times New Roman" w:eastAsiaTheme="minorEastAsia" w:hAnsi="Times New Roman"/>
          <w:lang w:eastAsia="ko-KR"/>
        </w:rPr>
        <w:t xml:space="preserve">pedometers or GPS tracking </w:t>
      </w:r>
      <w:r w:rsidR="001378C6" w:rsidRPr="002E55DE">
        <w:rPr>
          <w:rFonts w:ascii="Times New Roman" w:eastAsiaTheme="minorEastAsia" w:hAnsi="Times New Roman"/>
          <w:lang w:eastAsia="ko-KR"/>
        </w:rPr>
        <w:t xml:space="preserve">over extended periods) to better triangulate and cross-validate to obtain improved measures of “ground truth” associated with walking behaviors. </w:t>
      </w:r>
      <w:r w:rsidRPr="002E55DE">
        <w:rPr>
          <w:rFonts w:ascii="Times New Roman" w:eastAsiaTheme="minorEastAsia" w:hAnsi="Times New Roman"/>
          <w:u w:val="single"/>
          <w:lang w:eastAsia="ko-KR"/>
        </w:rPr>
        <w:t>Third</w:t>
      </w:r>
      <w:r w:rsidRPr="002E55DE">
        <w:rPr>
          <w:rFonts w:ascii="Times New Roman" w:eastAsiaTheme="minorEastAsia" w:hAnsi="Times New Roman"/>
          <w:lang w:eastAsia="ko-KR"/>
        </w:rPr>
        <w:t xml:space="preserve">, </w:t>
      </w:r>
      <w:r w:rsidR="00447AE9" w:rsidRPr="002E55DE">
        <w:rPr>
          <w:rFonts w:ascii="Times New Roman" w:eastAsiaTheme="minorEastAsia" w:hAnsi="Times New Roman"/>
          <w:lang w:eastAsia="ko-KR"/>
        </w:rPr>
        <w:t>given that our study focuses on older adults, factors such as the presence of disabilities and self-rated health status</w:t>
      </w:r>
      <w:r w:rsidR="00447AE9" w:rsidRPr="002E55DE">
        <w:rPr>
          <w:rFonts w:ascii="Times New Roman" w:eastAsiaTheme="minorEastAsia" w:hAnsi="Times New Roman" w:hint="eastAsia"/>
          <w:lang w:eastAsia="ko-KR"/>
        </w:rPr>
        <w:t xml:space="preserve"> </w:t>
      </w:r>
      <w:r w:rsidR="00447AE9" w:rsidRPr="002E55DE">
        <w:rPr>
          <w:rFonts w:ascii="Times New Roman" w:eastAsiaTheme="minorEastAsia" w:hAnsi="Times New Roman"/>
          <w:lang w:eastAsia="ko-KR"/>
        </w:rPr>
        <w:t xml:space="preserve">as well as social </w:t>
      </w:r>
      <w:r w:rsidR="00F60EE7" w:rsidRPr="002E55DE">
        <w:rPr>
          <w:rFonts w:ascii="Times New Roman" w:eastAsiaTheme="minorEastAsia" w:hAnsi="Times New Roman" w:hint="eastAsia"/>
          <w:lang w:eastAsia="ko-KR"/>
        </w:rPr>
        <w:t>activity</w:t>
      </w:r>
      <w:r w:rsidR="00447AE9" w:rsidRPr="002E55DE">
        <w:rPr>
          <w:rFonts w:ascii="Times New Roman" w:eastAsiaTheme="minorEastAsia" w:hAnsi="Times New Roman"/>
          <w:lang w:eastAsia="ko-KR"/>
        </w:rPr>
        <w:t xml:space="preserve"> elements, would provide additional insights into understanding walking behaviors. </w:t>
      </w:r>
      <w:r w:rsidR="00980E58" w:rsidRPr="002E55DE">
        <w:t>While this study demonstrates that socioeconomic indicators and social companionship provide meaningful explanatory power and policy insig</w:t>
      </w:r>
      <w:r w:rsidR="006B2A19" w:rsidRPr="002E55DE">
        <w:t>hts</w:t>
      </w:r>
      <w:r w:rsidR="00980E58" w:rsidRPr="002E55DE">
        <w:t xml:space="preserve">, </w:t>
      </w:r>
      <w:r w:rsidR="006B2A19" w:rsidRPr="002E55DE">
        <w:rPr>
          <w:rFonts w:ascii="Times New Roman" w:eastAsiaTheme="minorEastAsia" w:hAnsi="Times New Roman"/>
          <w:lang w:eastAsia="ko-KR"/>
        </w:rPr>
        <w:t>f</w:t>
      </w:r>
      <w:r w:rsidR="00447AE9" w:rsidRPr="002E55DE">
        <w:rPr>
          <w:rFonts w:ascii="Times New Roman" w:eastAsiaTheme="minorEastAsia" w:hAnsi="Times New Roman"/>
          <w:lang w:eastAsia="ko-KR"/>
        </w:rPr>
        <w:t xml:space="preserve">uture research could introduce </w:t>
      </w:r>
      <w:r w:rsidR="000635CE" w:rsidRPr="002E55DE">
        <w:rPr>
          <w:rFonts w:ascii="Times New Roman" w:eastAsiaTheme="minorEastAsia" w:hAnsi="Times New Roman" w:hint="eastAsia"/>
          <w:lang w:eastAsia="ko-KR"/>
        </w:rPr>
        <w:t xml:space="preserve">the other </w:t>
      </w:r>
      <w:r w:rsidR="00447AE9" w:rsidRPr="002E55DE">
        <w:rPr>
          <w:rFonts w:ascii="Times New Roman" w:eastAsiaTheme="minorEastAsia" w:hAnsi="Times New Roman"/>
          <w:lang w:eastAsia="ko-KR"/>
        </w:rPr>
        <w:t xml:space="preserve">exogenous variables for </w:t>
      </w:r>
      <w:r w:rsidR="00C06927" w:rsidRPr="002E55DE">
        <w:rPr>
          <w:rFonts w:ascii="Times New Roman" w:eastAsiaTheme="minorEastAsia" w:hAnsi="Times New Roman" w:hint="eastAsia"/>
          <w:lang w:eastAsia="ko-KR"/>
        </w:rPr>
        <w:t xml:space="preserve">health status and </w:t>
      </w:r>
      <w:r w:rsidR="00447AE9" w:rsidRPr="002E55DE">
        <w:rPr>
          <w:rFonts w:ascii="Times New Roman" w:eastAsiaTheme="minorEastAsia" w:hAnsi="Times New Roman"/>
          <w:lang w:eastAsia="ko-KR"/>
        </w:rPr>
        <w:t xml:space="preserve">social </w:t>
      </w:r>
      <w:r w:rsidR="004742BA" w:rsidRPr="002E55DE">
        <w:rPr>
          <w:rFonts w:ascii="Times New Roman" w:eastAsiaTheme="minorEastAsia" w:hAnsi="Times New Roman"/>
          <w:lang w:eastAsia="ko-KR"/>
        </w:rPr>
        <w:t>cohesion</w:t>
      </w:r>
      <w:r w:rsidR="00447AE9" w:rsidRPr="002E55DE">
        <w:rPr>
          <w:rFonts w:ascii="Times New Roman" w:eastAsiaTheme="minorEastAsia" w:hAnsi="Times New Roman"/>
          <w:lang w:eastAsia="ko-KR"/>
        </w:rPr>
        <w:t xml:space="preserve"> to enable more comprehensive measurement of how these elements affect walking </w:t>
      </w:r>
      <w:r w:rsidR="00C06927" w:rsidRPr="002E55DE">
        <w:rPr>
          <w:rFonts w:ascii="Times New Roman" w:eastAsiaTheme="minorEastAsia" w:hAnsi="Times New Roman" w:hint="eastAsia"/>
          <w:lang w:eastAsia="ko-KR"/>
        </w:rPr>
        <w:t>habits.</w:t>
      </w:r>
      <w:r w:rsidR="00447AE9" w:rsidRPr="002E55DE">
        <w:rPr>
          <w:rFonts w:ascii="Times New Roman" w:eastAsiaTheme="minorEastAsia" w:hAnsi="Times New Roman"/>
          <w:lang w:eastAsia="ko-KR"/>
        </w:rPr>
        <w:t xml:space="preserve"> These factors could </w:t>
      </w:r>
      <w:r w:rsidR="000D3B70" w:rsidRPr="002E55DE">
        <w:rPr>
          <w:rFonts w:ascii="Times New Roman" w:eastAsiaTheme="minorEastAsia" w:hAnsi="Times New Roman" w:hint="eastAsia"/>
          <w:lang w:eastAsia="ko-KR"/>
        </w:rPr>
        <w:t xml:space="preserve">expand the understanding </w:t>
      </w:r>
      <w:r w:rsidR="003F2F53" w:rsidRPr="002E55DE">
        <w:rPr>
          <w:rFonts w:ascii="Times New Roman" w:eastAsiaTheme="minorEastAsia" w:hAnsi="Times New Roman" w:hint="eastAsia"/>
          <w:lang w:eastAsia="ko-KR"/>
        </w:rPr>
        <w:t>on</w:t>
      </w:r>
      <w:r w:rsidR="00B130B3" w:rsidRPr="002E55DE">
        <w:rPr>
          <w:rFonts w:ascii="Times New Roman" w:eastAsiaTheme="minorEastAsia" w:hAnsi="Times New Roman" w:hint="eastAsia"/>
          <w:lang w:eastAsia="ko-KR"/>
        </w:rPr>
        <w:t xml:space="preserve"> </w:t>
      </w:r>
      <w:r w:rsidR="003F2F53" w:rsidRPr="002E55DE">
        <w:rPr>
          <w:rFonts w:ascii="Times New Roman" w:eastAsiaTheme="minorEastAsia" w:hAnsi="Times New Roman" w:hint="eastAsia"/>
          <w:lang w:eastAsia="ko-KR"/>
        </w:rPr>
        <w:t xml:space="preserve">behavior and </w:t>
      </w:r>
      <w:r w:rsidR="00447AE9" w:rsidRPr="002E55DE">
        <w:rPr>
          <w:rFonts w:ascii="Times New Roman" w:eastAsiaTheme="minorEastAsia" w:hAnsi="Times New Roman"/>
          <w:lang w:eastAsia="ko-KR"/>
        </w:rPr>
        <w:t>provide crucial insights into the psychological and physical constraints experienced by older adults, thereby enhancing the design of targeted interventions for the specific sociodemographic groups identified in our study</w:t>
      </w:r>
      <w:r w:rsidR="00503C60" w:rsidRPr="002E55DE">
        <w:rPr>
          <w:rFonts w:ascii="Times New Roman" w:eastAsiaTheme="minorEastAsia" w:hAnsi="Times New Roman" w:hint="eastAsia"/>
          <w:lang w:eastAsia="ko-KR"/>
        </w:rPr>
        <w:t>.</w:t>
      </w:r>
      <w:r w:rsidRPr="002E55DE">
        <w:rPr>
          <w:rFonts w:ascii="Times New Roman" w:eastAsiaTheme="minorEastAsia" w:hAnsi="Times New Roman"/>
          <w:lang w:eastAsia="ko-KR"/>
        </w:rPr>
        <w:t xml:space="preserve"> </w:t>
      </w:r>
    </w:p>
    <w:p w14:paraId="54992A18" w14:textId="77777777" w:rsidR="00662E40" w:rsidRPr="002E55DE" w:rsidRDefault="00662E40" w:rsidP="00662E40">
      <w:pPr>
        <w:ind w:firstLine="720"/>
        <w:jc w:val="both"/>
        <w:rPr>
          <w:rFonts w:ascii="Times New Roman" w:eastAsiaTheme="minorEastAsia" w:hAnsi="Times New Roman"/>
          <w:lang w:eastAsia="ko-KR"/>
        </w:rPr>
      </w:pPr>
    </w:p>
    <w:p w14:paraId="28C7A851" w14:textId="6B600F6D" w:rsidR="00745536" w:rsidRPr="002E55DE" w:rsidRDefault="00745536" w:rsidP="00662E40">
      <w:pPr>
        <w:pStyle w:val="Heading1"/>
        <w:spacing w:line="240" w:lineRule="auto"/>
        <w:contextualSpacing w:val="0"/>
        <w:rPr>
          <w:caps/>
          <w:lang w:eastAsia="ko-KR"/>
        </w:rPr>
      </w:pPr>
      <w:r w:rsidRPr="002E55DE">
        <w:rPr>
          <w:rFonts w:hint="eastAsia"/>
          <w:caps/>
          <w:lang w:eastAsia="ko-KR"/>
        </w:rPr>
        <w:t>Conclusion</w:t>
      </w:r>
      <w:r w:rsidR="00532A4C" w:rsidRPr="002E55DE">
        <w:rPr>
          <w:caps/>
          <w:lang w:eastAsia="ko-KR"/>
        </w:rPr>
        <w:t>s</w:t>
      </w:r>
    </w:p>
    <w:p w14:paraId="0279345C" w14:textId="4E704E33" w:rsidR="00AF0ACE" w:rsidRPr="002E55DE" w:rsidRDefault="00AF0ACE" w:rsidP="00662E40">
      <w:pPr>
        <w:jc w:val="both"/>
        <w:rPr>
          <w:rFonts w:ascii="Times New Roman" w:eastAsiaTheme="minorEastAsia" w:hAnsi="Times New Roman"/>
          <w:lang w:eastAsia="ko-KR"/>
        </w:rPr>
      </w:pPr>
      <w:bookmarkStart w:id="50" w:name="_Hlk168428678"/>
      <w:r w:rsidRPr="002E55DE">
        <w:rPr>
          <w:rFonts w:ascii="Times New Roman" w:eastAsiaTheme="minorEastAsia" w:hAnsi="Times New Roman"/>
          <w:lang w:eastAsia="ko-KR"/>
        </w:rPr>
        <w:t xml:space="preserve">This study </w:t>
      </w:r>
      <w:r w:rsidR="00AE5DFD" w:rsidRPr="002E55DE">
        <w:rPr>
          <w:rFonts w:ascii="Times New Roman" w:eastAsiaTheme="minorEastAsia" w:hAnsi="Times New Roman"/>
          <w:lang w:eastAsia="ko-KR"/>
        </w:rPr>
        <w:t xml:space="preserve">has investigated the determinants of </w:t>
      </w:r>
      <w:r w:rsidR="00532A4C" w:rsidRPr="002E55DE">
        <w:rPr>
          <w:rFonts w:ascii="Times New Roman" w:eastAsiaTheme="minorEastAsia" w:hAnsi="Times New Roman"/>
          <w:lang w:eastAsia="ko-KR"/>
        </w:rPr>
        <w:t xml:space="preserve">three separate, but inter-related </w:t>
      </w:r>
      <w:r w:rsidRPr="002E55DE">
        <w:rPr>
          <w:rFonts w:ascii="Times New Roman" w:eastAsiaTheme="minorEastAsia" w:hAnsi="Times New Roman"/>
          <w:lang w:eastAsia="ko-KR"/>
        </w:rPr>
        <w:t>dimensions of older adults</w:t>
      </w:r>
      <w:r w:rsidR="007B3FB7" w:rsidRPr="002E55DE">
        <w:rPr>
          <w:rFonts w:ascii="Times New Roman" w:eastAsiaTheme="minorEastAsia" w:hAnsi="Times New Roman"/>
          <w:lang w:eastAsia="ko-KR"/>
        </w:rPr>
        <w:t>’</w:t>
      </w:r>
      <w:r w:rsidRPr="002E55DE">
        <w:rPr>
          <w:rFonts w:ascii="Times New Roman" w:eastAsiaTheme="minorEastAsia" w:hAnsi="Times New Roman"/>
          <w:lang w:eastAsia="ko-KR"/>
        </w:rPr>
        <w:t xml:space="preserve"> walking behavior</w:t>
      </w:r>
      <w:r w:rsidR="00532A4C" w:rsidRPr="002E55DE">
        <w:rPr>
          <w:rFonts w:ascii="Times New Roman" w:eastAsiaTheme="minorEastAsia" w:hAnsi="Times New Roman"/>
          <w:lang w:eastAsia="ko-KR"/>
        </w:rPr>
        <w:t xml:space="preserve">: </w:t>
      </w:r>
      <w:r w:rsidRPr="002E55DE">
        <w:rPr>
          <w:rFonts w:ascii="Times New Roman" w:eastAsiaTheme="minorEastAsia" w:hAnsi="Times New Roman"/>
          <w:lang w:eastAsia="ko-KR"/>
        </w:rPr>
        <w:t>frequency</w:t>
      </w:r>
      <w:r w:rsidR="00532A4C" w:rsidRPr="002E55DE">
        <w:rPr>
          <w:rFonts w:ascii="Times New Roman" w:eastAsiaTheme="minorEastAsia" w:hAnsi="Times New Roman"/>
          <w:lang w:eastAsia="ko-KR"/>
        </w:rPr>
        <w:t xml:space="preserve"> of days of walk in the week</w:t>
      </w:r>
      <w:r w:rsidRPr="002E55DE">
        <w:rPr>
          <w:rFonts w:ascii="Times New Roman" w:eastAsiaTheme="minorEastAsia" w:hAnsi="Times New Roman"/>
          <w:lang w:eastAsia="ko-KR"/>
        </w:rPr>
        <w:t xml:space="preserve">, </w:t>
      </w:r>
      <w:r w:rsidR="00AE5DFD" w:rsidRPr="002E55DE">
        <w:rPr>
          <w:rFonts w:ascii="Times New Roman" w:eastAsiaTheme="minorEastAsia" w:hAnsi="Times New Roman"/>
          <w:lang w:eastAsia="ko-KR"/>
        </w:rPr>
        <w:t xml:space="preserve">typical </w:t>
      </w:r>
      <w:r w:rsidRPr="002E55DE">
        <w:rPr>
          <w:rFonts w:ascii="Times New Roman" w:eastAsiaTheme="minorEastAsia" w:hAnsi="Times New Roman"/>
          <w:lang w:eastAsia="ko-KR"/>
        </w:rPr>
        <w:t>duration</w:t>
      </w:r>
      <w:r w:rsidR="00532A4C" w:rsidRPr="002E55DE">
        <w:rPr>
          <w:rFonts w:ascii="Times New Roman" w:eastAsiaTheme="minorEastAsia" w:hAnsi="Times New Roman"/>
          <w:lang w:eastAsia="ko-KR"/>
        </w:rPr>
        <w:t xml:space="preserve"> of </w:t>
      </w:r>
      <w:r w:rsidR="00AE5DFD" w:rsidRPr="002E55DE">
        <w:rPr>
          <w:rFonts w:ascii="Times New Roman" w:eastAsiaTheme="minorEastAsia" w:hAnsi="Times New Roman"/>
          <w:lang w:eastAsia="ko-KR"/>
        </w:rPr>
        <w:t>walk during days of walk</w:t>
      </w:r>
      <w:r w:rsidR="0085774B" w:rsidRPr="002E55DE">
        <w:rPr>
          <w:rFonts w:ascii="Times New Roman" w:eastAsiaTheme="minorEastAsia" w:hAnsi="Times New Roman"/>
          <w:lang w:eastAsia="ko-KR"/>
        </w:rPr>
        <w:t xml:space="preserve">, and </w:t>
      </w:r>
      <w:r w:rsidR="00386BA0" w:rsidRPr="002E55DE">
        <w:rPr>
          <w:rFonts w:ascii="Times New Roman" w:eastAsiaTheme="minorEastAsia" w:hAnsi="Times New Roman"/>
          <w:lang w:eastAsia="ko-KR"/>
        </w:rPr>
        <w:t xml:space="preserve">social </w:t>
      </w:r>
      <w:r w:rsidR="0085774B" w:rsidRPr="002E55DE">
        <w:rPr>
          <w:rFonts w:ascii="Times New Roman" w:eastAsiaTheme="minorEastAsia" w:hAnsi="Times New Roman"/>
          <w:lang w:eastAsia="ko-KR"/>
        </w:rPr>
        <w:t>companionship</w:t>
      </w:r>
      <w:r w:rsidR="0027056D" w:rsidRPr="002E55DE">
        <w:rPr>
          <w:rFonts w:ascii="Times New Roman" w:eastAsiaTheme="minorEastAsia" w:hAnsi="Times New Roman"/>
          <w:lang w:eastAsia="ko-KR"/>
        </w:rPr>
        <w:t xml:space="preserve"> </w:t>
      </w:r>
      <w:r w:rsidR="00386BA0" w:rsidRPr="002E55DE">
        <w:rPr>
          <w:rFonts w:ascii="Times New Roman" w:eastAsiaTheme="minorEastAsia" w:hAnsi="Times New Roman"/>
          <w:lang w:eastAsia="ko-KR"/>
        </w:rPr>
        <w:t>(SC)</w:t>
      </w:r>
      <w:r w:rsidRPr="002E55DE">
        <w:rPr>
          <w:rFonts w:ascii="Times New Roman" w:eastAsiaTheme="minorEastAsia" w:hAnsi="Times New Roman"/>
          <w:lang w:eastAsia="ko-KR"/>
        </w:rPr>
        <w:t xml:space="preserve">. </w:t>
      </w:r>
      <w:r w:rsidR="00AE5DFD" w:rsidRPr="002E55DE">
        <w:rPr>
          <w:rFonts w:ascii="Times New Roman" w:eastAsiaTheme="minorEastAsia" w:hAnsi="Times New Roman"/>
          <w:lang w:eastAsia="ko-KR"/>
        </w:rPr>
        <w:t xml:space="preserve">The analysis is undertaken using a multivariate mixed data approach (including two ordered-response outcomes and a grouped outcome), </w:t>
      </w:r>
      <w:bookmarkStart w:id="51" w:name="_Hlk169957420"/>
      <w:r w:rsidR="0027056D" w:rsidRPr="002E55DE">
        <w:rPr>
          <w:rFonts w:ascii="Times New Roman" w:eastAsiaTheme="minorEastAsia" w:hAnsi="Times New Roman"/>
          <w:lang w:eastAsia="ko-KR"/>
        </w:rPr>
        <w:t xml:space="preserve">nationally representative </w:t>
      </w:r>
      <w:r w:rsidR="007B7A98" w:rsidRPr="002E55DE">
        <w:rPr>
          <w:rFonts w:ascii="Times New Roman" w:eastAsiaTheme="minorEastAsia" w:hAnsi="Times New Roman"/>
          <w:lang w:eastAsia="ko-KR"/>
        </w:rPr>
        <w:t xml:space="preserve">survey data collected after the peak of the COVID-19 pandemic in July 2022. </w:t>
      </w:r>
      <w:r w:rsidRPr="002E55DE">
        <w:rPr>
          <w:rFonts w:ascii="Times New Roman" w:eastAsiaTheme="minorEastAsia" w:hAnsi="Times New Roman"/>
          <w:lang w:eastAsia="ko-KR"/>
        </w:rPr>
        <w:t>This approach facilitate</w:t>
      </w:r>
      <w:r w:rsidR="007B7A98" w:rsidRPr="002E55DE">
        <w:rPr>
          <w:rFonts w:ascii="Times New Roman" w:eastAsiaTheme="minorEastAsia" w:hAnsi="Times New Roman"/>
          <w:lang w:eastAsia="ko-KR"/>
        </w:rPr>
        <w:t>d</w:t>
      </w:r>
      <w:r w:rsidRPr="002E55DE">
        <w:rPr>
          <w:rFonts w:ascii="Times New Roman" w:eastAsiaTheme="minorEastAsia" w:hAnsi="Times New Roman"/>
          <w:lang w:eastAsia="ko-KR"/>
        </w:rPr>
        <w:t xml:space="preserve"> </w:t>
      </w:r>
      <w:r w:rsidR="007B7A98" w:rsidRPr="002E55DE">
        <w:rPr>
          <w:rFonts w:ascii="Times New Roman" w:eastAsiaTheme="minorEastAsia" w:hAnsi="Times New Roman"/>
          <w:lang w:eastAsia="ko-KR"/>
        </w:rPr>
        <w:t>the</w:t>
      </w:r>
      <w:r w:rsidRPr="002E55DE">
        <w:rPr>
          <w:rFonts w:ascii="Times New Roman" w:eastAsiaTheme="minorEastAsia" w:hAnsi="Times New Roman"/>
          <w:lang w:eastAsia="ko-KR"/>
        </w:rPr>
        <w:t xml:space="preserve"> comprehensive understanding </w:t>
      </w:r>
      <w:r w:rsidR="007B7A98" w:rsidRPr="002E55DE">
        <w:rPr>
          <w:rFonts w:ascii="Times New Roman" w:eastAsiaTheme="minorEastAsia" w:hAnsi="Times New Roman"/>
          <w:lang w:eastAsia="ko-KR"/>
        </w:rPr>
        <w:t>of the long-term effects of the pandemic on older adults</w:t>
      </w:r>
      <w:r w:rsidR="007B3FB7" w:rsidRPr="002E55DE">
        <w:rPr>
          <w:rFonts w:ascii="Times New Roman" w:eastAsiaTheme="minorEastAsia" w:hAnsi="Times New Roman"/>
          <w:lang w:eastAsia="ko-KR"/>
        </w:rPr>
        <w:t>’</w:t>
      </w:r>
      <w:r w:rsidR="007B7A98" w:rsidRPr="002E55DE">
        <w:rPr>
          <w:rFonts w:ascii="Times New Roman" w:eastAsiaTheme="minorEastAsia" w:hAnsi="Times New Roman"/>
          <w:lang w:eastAsia="ko-KR"/>
        </w:rPr>
        <w:t xml:space="preserve"> walking behaviors.</w:t>
      </w:r>
    </w:p>
    <w:bookmarkEnd w:id="51"/>
    <w:p w14:paraId="27F8F978" w14:textId="586FC74B" w:rsidR="00706ECB" w:rsidRDefault="007B7A98" w:rsidP="00662E40">
      <w:pPr>
        <w:ind w:firstLine="720"/>
        <w:jc w:val="both"/>
      </w:pPr>
      <w:r w:rsidRPr="002E55DE">
        <w:rPr>
          <w:rFonts w:eastAsiaTheme="minorEastAsia"/>
          <w:lang w:eastAsia="ko-KR"/>
        </w:rPr>
        <w:t xml:space="preserve">This study aimed to identify the relationships between sociodemographic factors and </w:t>
      </w:r>
      <w:r w:rsidR="0027056D" w:rsidRPr="002E55DE">
        <w:rPr>
          <w:rFonts w:eastAsiaTheme="minorEastAsia"/>
          <w:lang w:eastAsia="ko-KR"/>
        </w:rPr>
        <w:t xml:space="preserve">the three </w:t>
      </w:r>
      <w:r w:rsidRPr="002E55DE">
        <w:rPr>
          <w:rFonts w:eastAsiaTheme="minorEastAsia"/>
          <w:lang w:eastAsia="ko-KR"/>
        </w:rPr>
        <w:t xml:space="preserve">dimensions of walking behavior (frequency, duration, </w:t>
      </w:r>
      <w:r w:rsidR="00386BA0" w:rsidRPr="002E55DE">
        <w:rPr>
          <w:rFonts w:eastAsiaTheme="minorEastAsia"/>
          <w:lang w:eastAsia="ko-KR"/>
        </w:rPr>
        <w:t>SC</w:t>
      </w:r>
      <w:r w:rsidRPr="002E55DE">
        <w:rPr>
          <w:rFonts w:eastAsiaTheme="minorEastAsia"/>
          <w:lang w:eastAsia="ko-KR"/>
        </w:rPr>
        <w:t>) among older adults, as well as capture the causal effects among these dimensions</w:t>
      </w:r>
      <w:r w:rsidR="003123FA" w:rsidRPr="002E55DE">
        <w:rPr>
          <w:rFonts w:eastAsiaTheme="minorEastAsia"/>
          <w:lang w:eastAsia="ko-KR"/>
        </w:rPr>
        <w:t xml:space="preserve">. </w:t>
      </w:r>
      <w:r w:rsidR="0014542F" w:rsidRPr="002E55DE">
        <w:rPr>
          <w:rFonts w:eastAsiaTheme="minorEastAsia"/>
          <w:lang w:eastAsia="ko-KR"/>
        </w:rPr>
        <w:t xml:space="preserve">Overall, </w:t>
      </w:r>
      <w:r w:rsidRPr="002E55DE">
        <w:rPr>
          <w:rFonts w:eastAsiaTheme="minorEastAsia"/>
          <w:lang w:eastAsia="ko-KR"/>
        </w:rPr>
        <w:t>the</w:t>
      </w:r>
      <w:r w:rsidR="00546D81" w:rsidRPr="002E55DE">
        <w:t xml:space="preserve"> </w:t>
      </w:r>
      <w:r w:rsidRPr="002E55DE">
        <w:t xml:space="preserve">findings revealed </w:t>
      </w:r>
      <w:r w:rsidR="00546D81" w:rsidRPr="002E55DE">
        <w:rPr>
          <w:rFonts w:eastAsiaTheme="minorEastAsia"/>
          <w:lang w:eastAsia="ko-KR"/>
        </w:rPr>
        <w:t>significant</w:t>
      </w:r>
      <w:r w:rsidR="0027056D" w:rsidRPr="002E55DE">
        <w:rPr>
          <w:rFonts w:eastAsiaTheme="minorEastAsia"/>
          <w:lang w:eastAsia="ko-KR"/>
        </w:rPr>
        <w:t>,</w:t>
      </w:r>
      <w:r w:rsidR="00546D81" w:rsidRPr="002E55DE">
        <w:rPr>
          <w:rFonts w:eastAsiaTheme="minorEastAsia"/>
          <w:lang w:eastAsia="ko-KR"/>
        </w:rPr>
        <w:t xml:space="preserve"> </w:t>
      </w:r>
      <w:r w:rsidR="00D1345E" w:rsidRPr="002E55DE">
        <w:rPr>
          <w:rFonts w:eastAsiaTheme="minorEastAsia"/>
          <w:lang w:eastAsia="ko-KR"/>
        </w:rPr>
        <w:t xml:space="preserve">yet </w:t>
      </w:r>
      <w:r w:rsidR="0027056D" w:rsidRPr="002E55DE">
        <w:rPr>
          <w:rFonts w:eastAsiaTheme="minorEastAsia"/>
          <w:lang w:eastAsia="ko-KR"/>
        </w:rPr>
        <w:t xml:space="preserve">distinct, </w:t>
      </w:r>
      <w:r w:rsidR="00546D81" w:rsidRPr="002E55DE">
        <w:rPr>
          <w:rFonts w:eastAsiaTheme="minorEastAsia"/>
          <w:lang w:eastAsia="ko-KR"/>
        </w:rPr>
        <w:t xml:space="preserve">relationships </w:t>
      </w:r>
      <w:r w:rsidR="0014542F" w:rsidRPr="002E55DE">
        <w:rPr>
          <w:rFonts w:eastAsiaTheme="minorEastAsia"/>
          <w:lang w:eastAsia="ko-KR"/>
        </w:rPr>
        <w:t>between sociodemographic factors and</w:t>
      </w:r>
      <w:r w:rsidR="00D1345E" w:rsidRPr="002E55DE">
        <w:rPr>
          <w:rFonts w:eastAsiaTheme="minorEastAsia"/>
          <w:lang w:eastAsia="ko-KR"/>
        </w:rPr>
        <w:t xml:space="preserve"> </w:t>
      </w:r>
      <w:r w:rsidR="0027056D" w:rsidRPr="002E55DE">
        <w:rPr>
          <w:rFonts w:eastAsiaTheme="minorEastAsia"/>
          <w:lang w:eastAsia="ko-KR"/>
        </w:rPr>
        <w:t xml:space="preserve">each dimension of </w:t>
      </w:r>
      <w:r w:rsidR="00546D81" w:rsidRPr="002E55DE">
        <w:rPr>
          <w:rFonts w:eastAsiaTheme="minorEastAsia"/>
          <w:lang w:eastAsia="ko-KR"/>
        </w:rPr>
        <w:t>walking</w:t>
      </w:r>
      <w:r w:rsidRPr="002E55DE">
        <w:rPr>
          <w:rFonts w:eastAsiaTheme="minorEastAsia"/>
          <w:lang w:eastAsia="ko-KR"/>
        </w:rPr>
        <w:t xml:space="preserve"> </w:t>
      </w:r>
      <w:r w:rsidR="0027056D" w:rsidRPr="002E55DE">
        <w:rPr>
          <w:rFonts w:eastAsiaTheme="minorEastAsia"/>
          <w:lang w:eastAsia="ko-KR"/>
        </w:rPr>
        <w:t>behavior</w:t>
      </w:r>
      <w:r w:rsidR="00D1345E" w:rsidRPr="002E55DE">
        <w:rPr>
          <w:rFonts w:eastAsiaTheme="minorEastAsia"/>
          <w:lang w:eastAsia="ko-KR"/>
        </w:rPr>
        <w:t>.</w:t>
      </w:r>
      <w:r w:rsidR="0027056D" w:rsidRPr="002E55DE">
        <w:rPr>
          <w:rFonts w:eastAsiaTheme="minorEastAsia"/>
          <w:lang w:eastAsia="ko-KR"/>
        </w:rPr>
        <w:t xml:space="preserve"> In terms of causal relationships, </w:t>
      </w:r>
      <w:r w:rsidR="00D1345E" w:rsidRPr="002E55DE">
        <w:rPr>
          <w:rFonts w:eastAsiaTheme="minorEastAsia"/>
          <w:lang w:eastAsia="ko-KR"/>
        </w:rPr>
        <w:t>the presence of companions had a positive endogenous effect on both the frequency and duration of walking</w:t>
      </w:r>
      <w:r w:rsidR="0055041A" w:rsidRPr="002E55DE">
        <w:rPr>
          <w:rFonts w:eastAsiaTheme="minorEastAsia"/>
          <w:lang w:eastAsia="ko-KR"/>
        </w:rPr>
        <w:t xml:space="preserve">. Also, </w:t>
      </w:r>
      <w:r w:rsidR="00D1345E" w:rsidRPr="002E55DE">
        <w:rPr>
          <w:rFonts w:eastAsiaTheme="minorEastAsia"/>
          <w:lang w:eastAsia="ko-KR"/>
        </w:rPr>
        <w:t xml:space="preserve">frequent walking positively influenced the </w:t>
      </w:r>
      <w:r w:rsidR="00D1345E" w:rsidRPr="002E55DE">
        <w:rPr>
          <w:rFonts w:eastAsiaTheme="minorEastAsia"/>
          <w:lang w:eastAsia="ko-KR"/>
        </w:rPr>
        <w:lastRenderedPageBreak/>
        <w:t>average walking duration.</w:t>
      </w:r>
      <w:r w:rsidR="005C7228" w:rsidRPr="002E55DE">
        <w:rPr>
          <w:rFonts w:eastAsiaTheme="minorEastAsia"/>
          <w:lang w:eastAsia="ko-KR"/>
        </w:rPr>
        <w:t xml:space="preserve"> </w:t>
      </w:r>
      <w:r w:rsidRPr="002E55DE">
        <w:rPr>
          <w:rFonts w:eastAsiaTheme="minorEastAsia"/>
          <w:lang w:eastAsia="ko-KR"/>
        </w:rPr>
        <w:t>Further, an average treatment effects (ATEs) analysis was conducted</w:t>
      </w:r>
      <w:r w:rsidR="0027056D" w:rsidRPr="002E55DE">
        <w:rPr>
          <w:rFonts w:eastAsiaTheme="minorEastAsia"/>
          <w:lang w:eastAsia="ko-KR"/>
        </w:rPr>
        <w:t xml:space="preserve"> to </w:t>
      </w:r>
      <w:r w:rsidRPr="002E55DE">
        <w:t>quantif</w:t>
      </w:r>
      <w:r w:rsidR="0027056D" w:rsidRPr="002E55DE">
        <w:t>y</w:t>
      </w:r>
      <w:r w:rsidRPr="002E55DE">
        <w:t xml:space="preserve"> the overall impact of exogenous variables and decompose these impacts into direct and indirect effects mediated through the endogenous walking behavior variables (frequency and companionship). </w:t>
      </w:r>
      <w:r w:rsidRPr="002E55DE">
        <w:rPr>
          <w:rFonts w:eastAsiaTheme="minorEastAsia"/>
          <w:lang w:eastAsia="ko-KR"/>
        </w:rPr>
        <w:t xml:space="preserve">The findings suggested that older adults with fewer resources, such as those who are over 64 years, unemployed, from low-income households, and members of households with children, tended to walk less frequently and for shorter durations. However, the causal effect of </w:t>
      </w:r>
      <w:r w:rsidR="009425EB" w:rsidRPr="002E55DE">
        <w:rPr>
          <w:rFonts w:eastAsiaTheme="minorEastAsia"/>
          <w:lang w:eastAsia="ko-KR"/>
        </w:rPr>
        <w:t>SC</w:t>
      </w:r>
      <w:r w:rsidRPr="002E55DE">
        <w:rPr>
          <w:rFonts w:eastAsiaTheme="minorEastAsia"/>
          <w:lang w:eastAsia="ko-KR"/>
        </w:rPr>
        <w:t xml:space="preserve"> revealed that certain groups, such as Black individuals and those living alone, walked less due to the </w:t>
      </w:r>
      <w:r w:rsidR="0027056D" w:rsidRPr="002E55DE">
        <w:rPr>
          <w:rFonts w:eastAsiaTheme="minorEastAsia"/>
          <w:lang w:eastAsia="ko-KR"/>
        </w:rPr>
        <w:t xml:space="preserve">absence of </w:t>
      </w:r>
      <w:r w:rsidRPr="002E55DE">
        <w:rPr>
          <w:rFonts w:eastAsiaTheme="minorEastAsia"/>
          <w:lang w:eastAsia="ko-KR"/>
        </w:rPr>
        <w:t>walking companion</w:t>
      </w:r>
      <w:r w:rsidR="0027056D" w:rsidRPr="002E55DE">
        <w:rPr>
          <w:rFonts w:eastAsiaTheme="minorEastAsia"/>
          <w:lang w:eastAsia="ko-KR"/>
        </w:rPr>
        <w:t>s</w:t>
      </w:r>
      <w:r w:rsidRPr="002E55DE">
        <w:rPr>
          <w:rFonts w:eastAsiaTheme="minorEastAsia"/>
          <w:lang w:eastAsia="ko-KR"/>
        </w:rPr>
        <w:t>. These results highlight the importance of considering social aspects in understanding walking behavior and suggest that approaches to encourage walking need to be tailored to different social groups.</w:t>
      </w:r>
      <w:r w:rsidR="0027056D" w:rsidRPr="002E55DE">
        <w:t xml:space="preserve"> </w:t>
      </w:r>
      <w:r w:rsidR="00706ECB" w:rsidRPr="002E55DE">
        <w:t xml:space="preserve">By tailoring interventions to the unique needs of different populations and leveraging the power of community, companionship, and </w:t>
      </w:r>
      <w:r w:rsidR="00626C3F" w:rsidRPr="002E55DE">
        <w:rPr>
          <w:rFonts w:eastAsiaTheme="minorEastAsia"/>
          <w:lang w:eastAsia="ko-KR"/>
        </w:rPr>
        <w:t xml:space="preserve">emerging </w:t>
      </w:r>
      <w:r w:rsidR="00706ECB" w:rsidRPr="002E55DE">
        <w:t>technolog</w:t>
      </w:r>
      <w:r w:rsidR="00626C3F" w:rsidRPr="002E55DE">
        <w:rPr>
          <w:rFonts w:eastAsiaTheme="minorEastAsia"/>
          <w:lang w:eastAsia="ko-KR"/>
        </w:rPr>
        <w:t>ies</w:t>
      </w:r>
      <w:r w:rsidR="00706ECB" w:rsidRPr="002E55DE">
        <w:t>, policymakers can effectively foster a culture of active living</w:t>
      </w:r>
      <w:r w:rsidR="00D1345E" w:rsidRPr="002E55DE">
        <w:t xml:space="preserve"> among older adults</w:t>
      </w:r>
      <w:r w:rsidR="00706ECB" w:rsidRPr="002E55DE">
        <w:t xml:space="preserve"> and equitable access to the numerous benefits of regular walking.</w:t>
      </w:r>
    </w:p>
    <w:p w14:paraId="533D6049" w14:textId="4C99DB64" w:rsidR="00005BA7" w:rsidRDefault="00005BA7" w:rsidP="00005BA7">
      <w:pPr>
        <w:jc w:val="both"/>
      </w:pPr>
    </w:p>
    <w:p w14:paraId="5BADE4C2" w14:textId="77777777" w:rsidR="00005BA7" w:rsidRPr="00DC75F1" w:rsidRDefault="00005BA7" w:rsidP="00005BA7">
      <w:pPr>
        <w:rPr>
          <w:b/>
          <w:bCs/>
          <w:color w:val="000000" w:themeColor="text1"/>
        </w:rPr>
      </w:pPr>
      <w:r w:rsidRPr="00DC75F1">
        <w:rPr>
          <w:b/>
          <w:bCs/>
          <w:caps/>
        </w:rPr>
        <w:t>AcknowledgEments</w:t>
      </w:r>
    </w:p>
    <w:p w14:paraId="4582580E" w14:textId="392DC7CF" w:rsidR="00005BA7" w:rsidRPr="002E55DE" w:rsidRDefault="00005BA7" w:rsidP="00005BA7">
      <w:pPr>
        <w:jc w:val="both"/>
        <w:rPr>
          <w:rFonts w:eastAsiaTheme="minorEastAsia"/>
          <w:lang w:eastAsia="ko-KR"/>
        </w:rPr>
      </w:pPr>
      <w:r w:rsidRPr="00351D1D">
        <w:t>This research was partially supported by the U.S. Department of Transportation through the Center for Understanding Future Travel Behavior and Demand (TBD) (Grant No. 69A3552344815 and No. 69A3552348320).</w:t>
      </w:r>
      <w:r>
        <w:t xml:space="preserve"> The authors are grateful to Lisa Macias for her help in formatting this document, </w:t>
      </w:r>
      <w:r w:rsidRPr="00A72F65">
        <w:t xml:space="preserve">and to </w:t>
      </w:r>
      <w:r>
        <w:t>two</w:t>
      </w:r>
      <w:r w:rsidRPr="00A72F65">
        <w:t xml:space="preserve"> anonymous reviewers who provided useful comments and suggestions on earlier version</w:t>
      </w:r>
      <w:r>
        <w:t>s</w:t>
      </w:r>
      <w:r w:rsidRPr="00A72F65">
        <w:t xml:space="preserve"> of this paper</w:t>
      </w:r>
      <w:r>
        <w:t>.</w:t>
      </w:r>
    </w:p>
    <w:bookmarkEnd w:id="50"/>
    <w:p w14:paraId="2B1A6CE7" w14:textId="5425A425" w:rsidR="00D631DD" w:rsidRPr="002E55DE" w:rsidRDefault="00D631DD" w:rsidP="00662E40">
      <w:pPr>
        <w:rPr>
          <w:rFonts w:ascii="Times New Roman" w:hAnsi="Times New Roman"/>
          <w:b/>
          <w:bCs/>
        </w:rPr>
      </w:pPr>
    </w:p>
    <w:p w14:paraId="176EA4C4" w14:textId="68088868" w:rsidR="0017394C" w:rsidRPr="002E55DE" w:rsidRDefault="00B147A2" w:rsidP="00742170">
      <w:pPr>
        <w:pStyle w:val="Heading1"/>
        <w:numPr>
          <w:ilvl w:val="0"/>
          <w:numId w:val="0"/>
        </w:numPr>
        <w:spacing w:line="240" w:lineRule="auto"/>
        <w:contextualSpacing w:val="0"/>
        <w:rPr>
          <w:caps/>
          <w:szCs w:val="24"/>
        </w:rPr>
      </w:pPr>
      <w:r w:rsidRPr="002E55DE">
        <w:rPr>
          <w:caps/>
          <w:szCs w:val="24"/>
        </w:rPr>
        <w:t>References</w:t>
      </w:r>
    </w:p>
    <w:p w14:paraId="0DD5BB55" w14:textId="77777777" w:rsidR="00A254CC" w:rsidRPr="002E55DE" w:rsidRDefault="00400D59" w:rsidP="00485D35">
      <w:pPr>
        <w:pStyle w:val="Bibliography"/>
        <w:spacing w:line="240" w:lineRule="auto"/>
        <w:ind w:left="540" w:hanging="540"/>
        <w:jc w:val="both"/>
      </w:pPr>
      <w:r w:rsidRPr="002E55DE">
        <w:fldChar w:fldCharType="begin"/>
      </w:r>
      <w:r w:rsidR="003828FC" w:rsidRPr="002E55DE">
        <w:instrText xml:space="preserve"> ADDIN ZOTERO_BIBL {"uncited":[],"omitted":[],"custom":[]} CSL_BIBLIOGRAPHY </w:instrText>
      </w:r>
      <w:r w:rsidRPr="002E55DE">
        <w:fldChar w:fldCharType="separate"/>
      </w:r>
      <w:r w:rsidR="00A254CC" w:rsidRPr="002E55DE">
        <w:t xml:space="preserve">AARP. (2023). </w:t>
      </w:r>
      <w:r w:rsidR="00A254CC" w:rsidRPr="002E55DE">
        <w:rPr>
          <w:i/>
          <w:iCs/>
        </w:rPr>
        <w:t>AARP Walking Survey: Attitudes and Habits of Adults Aged 50 and Older</w:t>
      </w:r>
      <w:r w:rsidR="00A254CC" w:rsidRPr="002E55DE">
        <w:t>. https://doi.org/10.25940/ROPER-31120071</w:t>
      </w:r>
    </w:p>
    <w:p w14:paraId="5B8074A2" w14:textId="51E21903" w:rsidR="00A254CC" w:rsidRPr="002E55DE" w:rsidRDefault="00A254CC" w:rsidP="00485D35">
      <w:pPr>
        <w:pStyle w:val="Bibliography"/>
        <w:spacing w:line="240" w:lineRule="auto"/>
        <w:ind w:left="540" w:hanging="540"/>
        <w:jc w:val="both"/>
      </w:pPr>
      <w:r w:rsidRPr="002E55DE">
        <w:t xml:space="preserve">AARP, </w:t>
      </w:r>
      <w:r w:rsidR="004918CE" w:rsidRPr="002E55DE">
        <w:t>and</w:t>
      </w:r>
      <w:r w:rsidRPr="002E55DE">
        <w:t xml:space="preserve"> NORC. (2022, April). </w:t>
      </w:r>
      <w:r w:rsidRPr="002E55DE">
        <w:rPr>
          <w:i/>
          <w:iCs/>
        </w:rPr>
        <w:t>Foresight 50+ demographics report</w:t>
      </w:r>
      <w:r w:rsidRPr="002E55DE">
        <w:t>. https://www.norc.org/content/dam/norc-org/pdfs/FINAL%20-%20Demographic%20Report%20for%20Foresight%2050+%20--%20April%202022.pdf</w:t>
      </w:r>
    </w:p>
    <w:p w14:paraId="6A075300" w14:textId="69E67868" w:rsidR="00A254CC" w:rsidRPr="002E55DE" w:rsidRDefault="00A254CC" w:rsidP="00485D35">
      <w:pPr>
        <w:pStyle w:val="Bibliography"/>
        <w:spacing w:line="240" w:lineRule="auto"/>
        <w:ind w:left="540" w:hanging="540"/>
        <w:jc w:val="both"/>
      </w:pPr>
      <w:r w:rsidRPr="002E55DE">
        <w:t xml:space="preserve">Abd El-Shafy, I., Savino, J., Christopherson, N. A. M., </w:t>
      </w:r>
      <w:r w:rsidR="004918CE" w:rsidRPr="002E55DE">
        <w:t>and</w:t>
      </w:r>
      <w:r w:rsidRPr="002E55DE">
        <w:t xml:space="preserve"> Prince, J. M. (2017). Reduction of pediatric pedestrian hazardous road conditions in a school drop-off zone using video review. </w:t>
      </w:r>
      <w:r w:rsidRPr="002E55DE">
        <w:rPr>
          <w:i/>
          <w:iCs/>
        </w:rPr>
        <w:t>Journal of Trauma and Acute Care Surgery</w:t>
      </w:r>
      <w:r w:rsidRPr="002E55DE">
        <w:t xml:space="preserve">, </w:t>
      </w:r>
      <w:r w:rsidRPr="002E55DE">
        <w:rPr>
          <w:i/>
          <w:iCs/>
        </w:rPr>
        <w:t>83</w:t>
      </w:r>
      <w:r w:rsidRPr="002E55DE">
        <w:t>(5S), S227–S232. https://doi.org/10.1097/TA.0000000000001599</w:t>
      </w:r>
    </w:p>
    <w:p w14:paraId="36081346" w14:textId="0F63AC49" w:rsidR="00A254CC" w:rsidRPr="002E55DE" w:rsidRDefault="00A254CC" w:rsidP="00485D35">
      <w:pPr>
        <w:pStyle w:val="Bibliography"/>
        <w:spacing w:line="240" w:lineRule="auto"/>
        <w:ind w:left="540" w:hanging="540"/>
        <w:jc w:val="both"/>
      </w:pPr>
      <w:r w:rsidRPr="002E55DE">
        <w:t xml:space="preserve">Aliyas, Z. (2020). </w:t>
      </w:r>
      <w:r w:rsidR="000B5C30" w:rsidRPr="00AD437E">
        <w:rPr>
          <w:rFonts w:ascii="Times New Roman" w:hAnsi="Times New Roman"/>
          <w:szCs w:val="24"/>
        </w:rPr>
        <w:t>Why some walk and others don’t: Neighborhood safety and the sociodemographic variation effect on walking for leisure and transportation</w:t>
      </w:r>
      <w:r w:rsidRPr="002E55DE">
        <w:t xml:space="preserve">. </w:t>
      </w:r>
      <w:r w:rsidRPr="002E55DE">
        <w:rPr>
          <w:i/>
          <w:iCs/>
        </w:rPr>
        <w:t>Journal of Public Health Management and Practice</w:t>
      </w:r>
      <w:r w:rsidRPr="002E55DE">
        <w:t xml:space="preserve">, </w:t>
      </w:r>
      <w:r w:rsidRPr="002E55DE">
        <w:rPr>
          <w:i/>
          <w:iCs/>
        </w:rPr>
        <w:t>26</w:t>
      </w:r>
      <w:r w:rsidRPr="002E55DE">
        <w:t>(4), Article 4. https://doi.org/10.1097/PHH.0000000000000992</w:t>
      </w:r>
    </w:p>
    <w:p w14:paraId="6ED829F6" w14:textId="77777777" w:rsidR="00A254CC" w:rsidRPr="002E55DE" w:rsidRDefault="00A254CC" w:rsidP="00485D35">
      <w:pPr>
        <w:pStyle w:val="Bibliography"/>
        <w:spacing w:line="240" w:lineRule="auto"/>
        <w:ind w:left="540" w:hanging="540"/>
        <w:jc w:val="both"/>
      </w:pPr>
      <w:r w:rsidRPr="002E55DE">
        <w:t xml:space="preserve">American Heart Association. (2024). </w:t>
      </w:r>
      <w:r w:rsidRPr="002E55DE">
        <w:rPr>
          <w:i/>
          <w:iCs/>
        </w:rPr>
        <w:t>Start or Join a Walking Club</w:t>
      </w:r>
      <w:r w:rsidRPr="002E55DE">
        <w:t>. https://www.heart.org/en/healthy-living/fitness/walking/start-or-join-a-walking-club</w:t>
      </w:r>
    </w:p>
    <w:p w14:paraId="75CEB1C8" w14:textId="49A61256" w:rsidR="00A254CC" w:rsidRPr="002E55DE" w:rsidRDefault="00A254CC" w:rsidP="00485D35">
      <w:pPr>
        <w:pStyle w:val="Bibliography"/>
        <w:spacing w:line="240" w:lineRule="auto"/>
        <w:ind w:left="540" w:hanging="540"/>
        <w:jc w:val="both"/>
      </w:pPr>
      <w:r w:rsidRPr="002E55DE">
        <w:t xml:space="preserve">Arroyo, R., Ruiz, T., Mars, L., Rasouli, S., </w:t>
      </w:r>
      <w:r w:rsidR="004918CE" w:rsidRPr="002E55DE">
        <w:t>and</w:t>
      </w:r>
      <w:r w:rsidRPr="002E55DE">
        <w:t xml:space="preserve"> Timmermans, H. (2020). Influence of values, attitudes towards transport modes and companions on travel behavior. </w:t>
      </w:r>
      <w:r w:rsidRPr="002E55DE">
        <w:rPr>
          <w:i/>
          <w:iCs/>
        </w:rPr>
        <w:t>Transportation Research Part F: Traffic Psychology and Behaviour</w:t>
      </w:r>
      <w:r w:rsidRPr="002E55DE">
        <w:t xml:space="preserve">, </w:t>
      </w:r>
      <w:r w:rsidRPr="002E55DE">
        <w:rPr>
          <w:i/>
          <w:iCs/>
        </w:rPr>
        <w:t>71</w:t>
      </w:r>
      <w:r w:rsidRPr="002E55DE">
        <w:t>, 8–22. https://doi.org/10.1016/j.trf.2020.04.002</w:t>
      </w:r>
    </w:p>
    <w:p w14:paraId="158749C2" w14:textId="1F6172FE" w:rsidR="00A254CC" w:rsidRPr="002E55DE" w:rsidRDefault="00A254CC" w:rsidP="00005BA7">
      <w:pPr>
        <w:pStyle w:val="Bibliography"/>
        <w:keepLines/>
        <w:spacing w:line="240" w:lineRule="auto"/>
        <w:ind w:left="547" w:hanging="547"/>
        <w:jc w:val="both"/>
      </w:pPr>
      <w:r w:rsidRPr="002E55DE">
        <w:lastRenderedPageBreak/>
        <w:t xml:space="preserve">Beauchamp, M. K., Joshi, D., McMillan, J., Erbas Oz, U., Griffith, L. E., Basta, N. E., Kirkland, S., Wolfson, C., Raina, P., Canadian Longitudinal Study on Aging (CLSA) Team, Costa, A., Anderson, L., Balion, C., Yukiko, A., Cossette, B., Levasseur, M., Hofer, S., Paterson, T., Hogan, D., … Cosco, T. (2022). </w:t>
      </w:r>
      <w:r w:rsidR="000B5C30" w:rsidRPr="00AD437E">
        <w:rPr>
          <w:rFonts w:ascii="Times New Roman" w:hAnsi="Times New Roman"/>
          <w:szCs w:val="24"/>
        </w:rPr>
        <w:t>Assessment of functional mobility after COVID-19 in adults aged 50 years or older in the Canadian Longitudinal Study on Aging</w:t>
      </w:r>
      <w:r w:rsidRPr="002E55DE">
        <w:t xml:space="preserve">. </w:t>
      </w:r>
      <w:r w:rsidRPr="002E55DE">
        <w:rPr>
          <w:i/>
          <w:iCs/>
        </w:rPr>
        <w:t>JAMA Network Open</w:t>
      </w:r>
      <w:r w:rsidRPr="002E55DE">
        <w:t xml:space="preserve">, </w:t>
      </w:r>
      <w:r w:rsidRPr="002E55DE">
        <w:rPr>
          <w:i/>
          <w:iCs/>
        </w:rPr>
        <w:t>5</w:t>
      </w:r>
      <w:r w:rsidRPr="002E55DE">
        <w:t>(1), e2146168. https://doi.org/10.1001/jamanetworkopen.2021.46168</w:t>
      </w:r>
    </w:p>
    <w:p w14:paraId="022553F3" w14:textId="77777777" w:rsidR="00A254CC" w:rsidRPr="002E55DE" w:rsidRDefault="00A254CC" w:rsidP="00485D35">
      <w:pPr>
        <w:pStyle w:val="Bibliography"/>
        <w:spacing w:line="240" w:lineRule="auto"/>
        <w:ind w:left="540" w:hanging="540"/>
        <w:jc w:val="both"/>
      </w:pPr>
      <w:r w:rsidRPr="002E55DE">
        <w:t xml:space="preserve">Bengfort, H. (2023). </w:t>
      </w:r>
      <w:r w:rsidRPr="002E55DE">
        <w:rPr>
          <w:i/>
          <w:iCs/>
        </w:rPr>
        <w:t>What are health insurance rewards programs, and how do they impact HRAs?</w:t>
      </w:r>
      <w:r w:rsidRPr="002E55DE">
        <w:t xml:space="preserve"> https://www.peoplekeep.com/blog/what-are-health-insurance-rewards-programs</w:t>
      </w:r>
    </w:p>
    <w:p w14:paraId="6D1234CA" w14:textId="77777777" w:rsidR="00A254CC" w:rsidRPr="002E55DE" w:rsidRDefault="00A254CC" w:rsidP="00485D35">
      <w:pPr>
        <w:pStyle w:val="Bibliography"/>
        <w:spacing w:line="240" w:lineRule="auto"/>
        <w:ind w:left="540" w:hanging="540"/>
        <w:jc w:val="both"/>
      </w:pPr>
      <w:r w:rsidRPr="002E55DE">
        <w:t xml:space="preserve">Bereitschaft, B. (2017). Equity in neighbourhood walkability? A comparative analysis of three large U.S. cities. </w:t>
      </w:r>
      <w:r w:rsidRPr="002E55DE">
        <w:rPr>
          <w:i/>
          <w:iCs/>
        </w:rPr>
        <w:t>Local Environment</w:t>
      </w:r>
      <w:r w:rsidRPr="002E55DE">
        <w:t xml:space="preserve">, </w:t>
      </w:r>
      <w:r w:rsidRPr="002E55DE">
        <w:rPr>
          <w:i/>
          <w:iCs/>
        </w:rPr>
        <w:t>22</w:t>
      </w:r>
      <w:r w:rsidRPr="002E55DE">
        <w:t>(7), 859–879. https://doi.org/10.1080/13549839.2017.1297390</w:t>
      </w:r>
    </w:p>
    <w:p w14:paraId="6E802D55" w14:textId="27329AD6" w:rsidR="00A254CC" w:rsidRPr="002E55DE" w:rsidRDefault="00A254CC" w:rsidP="00485D35">
      <w:pPr>
        <w:pStyle w:val="Bibliography"/>
        <w:keepLines/>
        <w:spacing w:line="240" w:lineRule="auto"/>
        <w:ind w:left="540" w:hanging="540"/>
        <w:jc w:val="both"/>
      </w:pPr>
      <w:r w:rsidRPr="002E55DE">
        <w:t xml:space="preserve">Bergen, K., Jubenvill, M., Shaw, K., Steen, E., Loewen, H., Mbabaali, S., </w:t>
      </w:r>
      <w:r w:rsidR="004918CE" w:rsidRPr="002E55DE">
        <w:t>and</w:t>
      </w:r>
      <w:r w:rsidRPr="002E55DE">
        <w:t xml:space="preserve"> Barclay, R. (2023). </w:t>
      </w:r>
      <w:r w:rsidR="000B5C30" w:rsidRPr="00AD437E">
        <w:rPr>
          <w:rFonts w:ascii="Times New Roman" w:hAnsi="Times New Roman"/>
          <w:szCs w:val="24"/>
        </w:rPr>
        <w:t>Factors associated with outdoor winter walking in older adults: A scoping review</w:t>
      </w:r>
      <w:r w:rsidRPr="002E55DE">
        <w:t xml:space="preserve">. </w:t>
      </w:r>
      <w:r w:rsidRPr="002E55DE">
        <w:rPr>
          <w:i/>
          <w:iCs/>
        </w:rPr>
        <w:t>Canadian Journal on Aging / La Revue Canadienne Du Vieillissement</w:t>
      </w:r>
      <w:r w:rsidRPr="002E55DE">
        <w:t xml:space="preserve">, </w:t>
      </w:r>
      <w:r w:rsidRPr="002E55DE">
        <w:rPr>
          <w:i/>
          <w:iCs/>
        </w:rPr>
        <w:t>42</w:t>
      </w:r>
      <w:r w:rsidRPr="002E55DE">
        <w:t>(2), 316–327. https://doi.org/10.1017/S0714980822000460</w:t>
      </w:r>
    </w:p>
    <w:p w14:paraId="465801B3" w14:textId="77777777" w:rsidR="00A254CC" w:rsidRPr="002E55DE" w:rsidRDefault="00A254CC" w:rsidP="00485D35">
      <w:pPr>
        <w:pStyle w:val="Bibliography"/>
        <w:spacing w:line="240" w:lineRule="auto"/>
        <w:ind w:left="540" w:hanging="540"/>
        <w:jc w:val="both"/>
      </w:pPr>
      <w:r w:rsidRPr="002E55DE">
        <w:t xml:space="preserve">Bhat, C. R. (2015). A new generalized heterogeneous data model (GHDM) to jointly model mixed types of dependent variables. </w:t>
      </w:r>
      <w:r w:rsidRPr="002E55DE">
        <w:rPr>
          <w:i/>
          <w:iCs/>
        </w:rPr>
        <w:t>Transportation Research Part B: Methodological</w:t>
      </w:r>
      <w:r w:rsidRPr="002E55DE">
        <w:t xml:space="preserve">, </w:t>
      </w:r>
      <w:r w:rsidRPr="002E55DE">
        <w:rPr>
          <w:i/>
          <w:iCs/>
        </w:rPr>
        <w:t>79</w:t>
      </w:r>
      <w:r w:rsidRPr="002E55DE">
        <w:t>, 50–77. https://doi.org/10.1016/j.trb.2015.05.017</w:t>
      </w:r>
    </w:p>
    <w:p w14:paraId="3946188E" w14:textId="77777777" w:rsidR="00A254CC" w:rsidRPr="002E55DE" w:rsidRDefault="00A254CC" w:rsidP="00485D35">
      <w:pPr>
        <w:pStyle w:val="Bibliography"/>
        <w:spacing w:line="240" w:lineRule="auto"/>
        <w:ind w:left="540" w:hanging="540"/>
        <w:jc w:val="both"/>
      </w:pPr>
      <w:r w:rsidRPr="002E55DE">
        <w:t xml:space="preserve">Bhat, C. R. (2018). New matrix-based methods for the analytic evaluation of the multivariate cumulative normal distribution function. </w:t>
      </w:r>
      <w:r w:rsidRPr="002E55DE">
        <w:rPr>
          <w:i/>
          <w:iCs/>
        </w:rPr>
        <w:t>Transportation Research Part B: Methodological</w:t>
      </w:r>
      <w:r w:rsidRPr="002E55DE">
        <w:t xml:space="preserve">, </w:t>
      </w:r>
      <w:r w:rsidRPr="002E55DE">
        <w:rPr>
          <w:i/>
          <w:iCs/>
        </w:rPr>
        <w:t>109</w:t>
      </w:r>
      <w:r w:rsidRPr="002E55DE">
        <w:t>, 238–256. https://doi.org/10.1016/j.trb.2018.01.011</w:t>
      </w:r>
    </w:p>
    <w:p w14:paraId="5128C1F9" w14:textId="77777777" w:rsidR="00A254CC" w:rsidRPr="002E55DE" w:rsidRDefault="00A254CC" w:rsidP="00485D35">
      <w:pPr>
        <w:pStyle w:val="Bibliography"/>
        <w:spacing w:line="240" w:lineRule="auto"/>
        <w:ind w:left="540" w:hanging="540"/>
        <w:jc w:val="both"/>
      </w:pPr>
      <w:r w:rsidRPr="002E55DE">
        <w:t xml:space="preserve">Bhat, C. R. (2022). Data collection methods and activity-travel behavior analysis in a fast evolving technological future. </w:t>
      </w:r>
      <w:r w:rsidRPr="002E55DE">
        <w:rPr>
          <w:i/>
          <w:iCs/>
        </w:rPr>
        <w:t>ITE Journal</w:t>
      </w:r>
      <w:r w:rsidRPr="002E55DE">
        <w:t xml:space="preserve">, </w:t>
      </w:r>
      <w:r w:rsidRPr="002E55DE">
        <w:rPr>
          <w:i/>
          <w:iCs/>
        </w:rPr>
        <w:t>92</w:t>
      </w:r>
      <w:r w:rsidRPr="002E55DE">
        <w:t>(10), 29–33.</w:t>
      </w:r>
    </w:p>
    <w:p w14:paraId="23A644C0" w14:textId="77777777" w:rsidR="00A254CC" w:rsidRPr="002E55DE" w:rsidRDefault="00A254CC" w:rsidP="00485D35">
      <w:pPr>
        <w:pStyle w:val="Bibliography"/>
        <w:spacing w:line="240" w:lineRule="auto"/>
        <w:ind w:left="540" w:hanging="540"/>
        <w:jc w:val="both"/>
      </w:pPr>
      <w:r w:rsidRPr="002E55DE">
        <w:t xml:space="preserve">Bhat, C. R. (2024). Transformation-based flexible error structures for choice modeling. </w:t>
      </w:r>
      <w:r w:rsidRPr="002E55DE">
        <w:rPr>
          <w:i/>
          <w:iCs/>
        </w:rPr>
        <w:t>Journal of Choice Modelling</w:t>
      </w:r>
      <w:r w:rsidRPr="002E55DE">
        <w:t xml:space="preserve">, </w:t>
      </w:r>
      <w:r w:rsidRPr="002E55DE">
        <w:rPr>
          <w:i/>
          <w:iCs/>
        </w:rPr>
        <w:t>53</w:t>
      </w:r>
      <w:r w:rsidRPr="002E55DE">
        <w:t>, 100522. https://doi.org/10.1016/j.jocm.2024.100522</w:t>
      </w:r>
    </w:p>
    <w:p w14:paraId="3CA844AE" w14:textId="20C71215" w:rsidR="00A254CC" w:rsidRPr="002E55DE" w:rsidRDefault="00A254CC" w:rsidP="00485D35">
      <w:pPr>
        <w:pStyle w:val="Bibliography"/>
        <w:spacing w:line="240" w:lineRule="auto"/>
        <w:ind w:left="540" w:hanging="540"/>
        <w:jc w:val="both"/>
      </w:pPr>
      <w:r w:rsidRPr="002E55DE">
        <w:t xml:space="preserve">Bhat, C. R., Astroza, S., Bhat, A. C., </w:t>
      </w:r>
      <w:r w:rsidR="004918CE" w:rsidRPr="002E55DE">
        <w:t>and</w:t>
      </w:r>
      <w:r w:rsidRPr="002E55DE">
        <w:t xml:space="preserve"> Nagel, K. (2016). Incorporating a multiple discrete-continuous outcome in the generalized heterogeneous data model: Application to residential self-selection effects analysis in an activity time-use behavior model. </w:t>
      </w:r>
      <w:r w:rsidRPr="002E55DE">
        <w:rPr>
          <w:i/>
          <w:iCs/>
        </w:rPr>
        <w:t>Transportation Research Part B: Methodological</w:t>
      </w:r>
      <w:r w:rsidRPr="002E55DE">
        <w:t xml:space="preserve">, </w:t>
      </w:r>
      <w:r w:rsidRPr="002E55DE">
        <w:rPr>
          <w:i/>
          <w:iCs/>
        </w:rPr>
        <w:t>91</w:t>
      </w:r>
      <w:r w:rsidRPr="002E55DE">
        <w:t>, 52–76. https://doi.org/10.1016/j.trb.2016.03.007</w:t>
      </w:r>
    </w:p>
    <w:p w14:paraId="1E5F9344" w14:textId="100D66B5" w:rsidR="00A254CC" w:rsidRPr="002E55DE" w:rsidRDefault="00A254CC" w:rsidP="00485D35">
      <w:pPr>
        <w:pStyle w:val="Bibliography"/>
        <w:spacing w:line="240" w:lineRule="auto"/>
        <w:ind w:left="540" w:hanging="540"/>
        <w:jc w:val="both"/>
      </w:pPr>
      <w:r w:rsidRPr="002E55DE">
        <w:t xml:space="preserve">Bhat, C. R., </w:t>
      </w:r>
      <w:r w:rsidR="004918CE" w:rsidRPr="002E55DE">
        <w:t>and</w:t>
      </w:r>
      <w:r w:rsidRPr="002E55DE">
        <w:t xml:space="preserve"> Guo, J. Y. (2007). A comprehensive analysis of built environment characteristics on household residential choice and auto ownership levels. </w:t>
      </w:r>
      <w:r w:rsidRPr="002E55DE">
        <w:rPr>
          <w:i/>
          <w:iCs/>
        </w:rPr>
        <w:t>Transportation Research Part B: Methodological</w:t>
      </w:r>
      <w:r w:rsidRPr="002E55DE">
        <w:t xml:space="preserve">, </w:t>
      </w:r>
      <w:r w:rsidRPr="002E55DE">
        <w:rPr>
          <w:i/>
          <w:iCs/>
        </w:rPr>
        <w:t>41</w:t>
      </w:r>
      <w:r w:rsidRPr="002E55DE">
        <w:t>(5), 506–526. https://doi.org/10.1016/j.trb.2005.12.005</w:t>
      </w:r>
    </w:p>
    <w:p w14:paraId="53A15931" w14:textId="7B4D9F1E" w:rsidR="00A254CC" w:rsidRPr="002E55DE" w:rsidRDefault="00A254CC" w:rsidP="00485D35">
      <w:pPr>
        <w:pStyle w:val="Bibliography"/>
        <w:spacing w:line="240" w:lineRule="auto"/>
        <w:ind w:left="540" w:hanging="540"/>
        <w:jc w:val="both"/>
      </w:pPr>
      <w:r w:rsidRPr="002E55DE">
        <w:t xml:space="preserve">Bhat, C. R., Varin, C., </w:t>
      </w:r>
      <w:r w:rsidR="004918CE" w:rsidRPr="002E55DE">
        <w:t>and</w:t>
      </w:r>
      <w:r w:rsidRPr="002E55DE">
        <w:t xml:space="preserve"> Ferdous, N. (2010). A comparison of the maximum simulated likelihood and composite marginal likelihood estimation approaches in the context of the multivariate ordered-response model. In W. Greene </w:t>
      </w:r>
      <w:r w:rsidR="004918CE" w:rsidRPr="002E55DE">
        <w:t>and</w:t>
      </w:r>
      <w:r w:rsidRPr="002E55DE">
        <w:t xml:space="preserve"> R. Carter Hill (Eds.), </w:t>
      </w:r>
      <w:r w:rsidRPr="002E55DE">
        <w:rPr>
          <w:i/>
          <w:iCs/>
        </w:rPr>
        <w:t>Maximum Simulated Likelihood Methods and Applications</w:t>
      </w:r>
      <w:r w:rsidRPr="002E55DE">
        <w:t xml:space="preserve"> (Vol. 26, pp. 65–106). Emerald Group Publishing Limited. https://doi.org/10.1108/S0731-9053(2010)0000026007</w:t>
      </w:r>
    </w:p>
    <w:p w14:paraId="6FE77D32" w14:textId="49554435" w:rsidR="00A254CC" w:rsidRPr="002E55DE" w:rsidRDefault="00A254CC" w:rsidP="00485D35">
      <w:pPr>
        <w:pStyle w:val="Bibliography"/>
        <w:spacing w:line="240" w:lineRule="auto"/>
        <w:ind w:left="540" w:hanging="540"/>
        <w:jc w:val="both"/>
      </w:pPr>
      <w:r w:rsidRPr="002E55DE">
        <w:t xml:space="preserve">Bokolo Jnr, A. (2024). </w:t>
      </w:r>
      <w:r w:rsidR="000B5C30" w:rsidRPr="00AD437E">
        <w:rPr>
          <w:rFonts w:ascii="Times New Roman" w:hAnsi="Times New Roman"/>
          <w:szCs w:val="24"/>
        </w:rPr>
        <w:t>Examining the use of intelligent conversational voice-assistants for improved mobility behavior of older adults in smart cities</w:t>
      </w:r>
      <w:r w:rsidRPr="002E55DE">
        <w:t xml:space="preserve">. </w:t>
      </w:r>
      <w:r w:rsidRPr="002E55DE">
        <w:rPr>
          <w:i/>
          <w:iCs/>
        </w:rPr>
        <w:t>International Journal of Human–Computer Interaction</w:t>
      </w:r>
      <w:r w:rsidRPr="002E55DE">
        <w:t>, 1–22. https://doi.org/10.1080/10447318.2024.2344145</w:t>
      </w:r>
    </w:p>
    <w:p w14:paraId="1EBAE38C" w14:textId="77777777" w:rsidR="00A254CC" w:rsidRPr="002E55DE" w:rsidRDefault="00A254CC" w:rsidP="00485D35">
      <w:pPr>
        <w:pStyle w:val="Bibliography"/>
        <w:spacing w:line="240" w:lineRule="auto"/>
        <w:ind w:left="540" w:hanging="540"/>
        <w:jc w:val="both"/>
      </w:pPr>
      <w:r w:rsidRPr="002E55DE">
        <w:t xml:space="preserve">British Heart Foundation. (2024). </w:t>
      </w:r>
      <w:r w:rsidRPr="002E55DE">
        <w:rPr>
          <w:i/>
          <w:iCs/>
        </w:rPr>
        <w:t>How a walking group can help you to get moving</w:t>
      </w:r>
      <w:r w:rsidRPr="002E55DE">
        <w:t>. https://www.bhf.org.uk/informationsupport/heart-matters-magazine/activity/walking/walking-groups</w:t>
      </w:r>
    </w:p>
    <w:p w14:paraId="02B8396C" w14:textId="77777777" w:rsidR="00A254CC" w:rsidRPr="002E55DE" w:rsidRDefault="00A254CC" w:rsidP="00005BA7">
      <w:pPr>
        <w:pStyle w:val="Bibliography"/>
        <w:keepLines/>
        <w:spacing w:line="240" w:lineRule="auto"/>
        <w:ind w:left="547" w:hanging="547"/>
        <w:jc w:val="both"/>
      </w:pPr>
      <w:r w:rsidRPr="002E55DE">
        <w:lastRenderedPageBreak/>
        <w:t xml:space="preserve">Bull, F. C., Al-Ansari, S. S., Biddle, S., Borodulin, K., Buman, M. P., Cardon, G., Carty, C., Chaput, J.-P., Chastin, S., Chou, R., Dempsey, P. C., DiPietro, L., Ekelund, U., Firth, J., Friedenreich, C. M., Garcia, L., Gichu, M., Jago, R., Katzmarzyk, P. T., … Willumsen, J. F. (2020). World Health Organization 2020 guidelines on physical activity and sedentary behaviour. </w:t>
      </w:r>
      <w:r w:rsidRPr="002E55DE">
        <w:rPr>
          <w:i/>
          <w:iCs/>
        </w:rPr>
        <w:t>British Journal of Sports Medicine</w:t>
      </w:r>
      <w:r w:rsidRPr="002E55DE">
        <w:t xml:space="preserve">, </w:t>
      </w:r>
      <w:r w:rsidRPr="002E55DE">
        <w:rPr>
          <w:i/>
          <w:iCs/>
        </w:rPr>
        <w:t>54</w:t>
      </w:r>
      <w:r w:rsidRPr="002E55DE">
        <w:t>(24), 1451–1462. https://doi.org/10.1136/bjsports-2020-102955</w:t>
      </w:r>
    </w:p>
    <w:p w14:paraId="707F8341" w14:textId="58F61837" w:rsidR="00A254CC" w:rsidRPr="002E55DE" w:rsidRDefault="00A254CC" w:rsidP="00485D35">
      <w:pPr>
        <w:pStyle w:val="Bibliography"/>
        <w:spacing w:line="240" w:lineRule="auto"/>
        <w:ind w:left="540" w:hanging="540"/>
        <w:jc w:val="both"/>
      </w:pPr>
      <w:r w:rsidRPr="002E55DE">
        <w:t xml:space="preserve">Bushman, B. A. (2020). </w:t>
      </w:r>
      <w:r w:rsidR="000B5C30" w:rsidRPr="00AD437E">
        <w:rPr>
          <w:rFonts w:ascii="Times New Roman" w:hAnsi="Times New Roman"/>
          <w:szCs w:val="24"/>
        </w:rPr>
        <w:t>Exercise for prevention of chronic diseases</w:t>
      </w:r>
      <w:r w:rsidRPr="002E55DE">
        <w:t xml:space="preserve">. </w:t>
      </w:r>
      <w:r w:rsidRPr="002E55DE">
        <w:rPr>
          <w:i/>
          <w:iCs/>
        </w:rPr>
        <w:t xml:space="preserve">ACSM’S Health </w:t>
      </w:r>
      <w:r w:rsidR="004918CE" w:rsidRPr="002E55DE">
        <w:rPr>
          <w:i/>
          <w:iCs/>
        </w:rPr>
        <w:t>and</w:t>
      </w:r>
      <w:r w:rsidRPr="002E55DE">
        <w:rPr>
          <w:i/>
          <w:iCs/>
        </w:rPr>
        <w:t xml:space="preserve"> Fitness Journal</w:t>
      </w:r>
      <w:r w:rsidRPr="002E55DE">
        <w:t xml:space="preserve">, </w:t>
      </w:r>
      <w:r w:rsidRPr="002E55DE">
        <w:rPr>
          <w:i/>
          <w:iCs/>
        </w:rPr>
        <w:t>24</w:t>
      </w:r>
      <w:r w:rsidRPr="002E55DE">
        <w:t>(1), 5–10. https://doi.org/10.1249/FIT.0000000000000533</w:t>
      </w:r>
    </w:p>
    <w:p w14:paraId="66DB3618" w14:textId="5101942A" w:rsidR="00A254CC" w:rsidRPr="002E55DE" w:rsidRDefault="00A254CC" w:rsidP="00485D35">
      <w:pPr>
        <w:pStyle w:val="Bibliography"/>
        <w:spacing w:line="240" w:lineRule="auto"/>
        <w:ind w:left="540" w:hanging="540"/>
        <w:jc w:val="both"/>
      </w:pPr>
      <w:r w:rsidRPr="002E55DE">
        <w:t xml:space="preserve">Caplan, Z. (2023). U.S. </w:t>
      </w:r>
      <w:r w:rsidR="000B5C30">
        <w:t>o</w:t>
      </w:r>
      <w:r w:rsidRPr="002E55DE">
        <w:t xml:space="preserve">lder </w:t>
      </w:r>
      <w:r w:rsidR="000B5C30">
        <w:t>p</w:t>
      </w:r>
      <w:r w:rsidRPr="002E55DE">
        <w:t xml:space="preserve">opulation </w:t>
      </w:r>
      <w:r w:rsidR="000B5C30">
        <w:t>g</w:t>
      </w:r>
      <w:r w:rsidRPr="002E55DE">
        <w:t xml:space="preserve">rew </w:t>
      </w:r>
      <w:r w:rsidR="000B5C30">
        <w:t>f</w:t>
      </w:r>
      <w:r w:rsidRPr="002E55DE">
        <w:t xml:space="preserve">rom 2010 to 2020 at </w:t>
      </w:r>
      <w:r w:rsidR="000B5C30">
        <w:t>f</w:t>
      </w:r>
      <w:r w:rsidRPr="002E55DE">
        <w:t xml:space="preserve">astest </w:t>
      </w:r>
      <w:r w:rsidR="000B5C30">
        <w:t>r</w:t>
      </w:r>
      <w:r w:rsidRPr="002E55DE">
        <w:t xml:space="preserve">ate </w:t>
      </w:r>
      <w:r w:rsidR="000B5C30">
        <w:t>s</w:t>
      </w:r>
      <w:r w:rsidRPr="002E55DE">
        <w:t xml:space="preserve">ince 1880 to 1890. </w:t>
      </w:r>
      <w:r w:rsidRPr="002E55DE">
        <w:rPr>
          <w:i/>
          <w:iCs/>
        </w:rPr>
        <w:t>United States Census Bureau</w:t>
      </w:r>
      <w:r w:rsidRPr="002E55DE">
        <w:t>. https://www.census.gov/library/stories/2023/05/2020-census-united-states-older-population-grew.html</w:t>
      </w:r>
    </w:p>
    <w:p w14:paraId="02B733A1" w14:textId="2F74D42A" w:rsidR="00A254CC" w:rsidRPr="002E55DE" w:rsidRDefault="00A254CC" w:rsidP="000B5C30">
      <w:pPr>
        <w:pStyle w:val="Bibliography"/>
        <w:keepLines/>
        <w:spacing w:line="240" w:lineRule="auto"/>
        <w:ind w:left="547" w:hanging="547"/>
        <w:jc w:val="both"/>
      </w:pPr>
      <w:r w:rsidRPr="002E55DE">
        <w:t xml:space="preserve">Cerin, E., Leslie, E., </w:t>
      </w:r>
      <w:r w:rsidR="004918CE" w:rsidRPr="002E55DE">
        <w:t>and</w:t>
      </w:r>
      <w:r w:rsidRPr="002E55DE">
        <w:t xml:space="preserve"> Owen, N. (2009). Explaining socio-economic status differences in walking for transport: An ecological analysis of individual, social and environmental factors. </w:t>
      </w:r>
      <w:r w:rsidRPr="002E55DE">
        <w:rPr>
          <w:i/>
          <w:iCs/>
        </w:rPr>
        <w:t xml:space="preserve">Social Science </w:t>
      </w:r>
      <w:r w:rsidR="004918CE" w:rsidRPr="002E55DE">
        <w:rPr>
          <w:i/>
          <w:iCs/>
        </w:rPr>
        <w:t>and</w:t>
      </w:r>
      <w:r w:rsidRPr="002E55DE">
        <w:rPr>
          <w:i/>
          <w:iCs/>
        </w:rPr>
        <w:t xml:space="preserve"> Medicine</w:t>
      </w:r>
      <w:r w:rsidRPr="002E55DE">
        <w:t xml:space="preserve">, </w:t>
      </w:r>
      <w:r w:rsidRPr="002E55DE">
        <w:rPr>
          <w:i/>
          <w:iCs/>
        </w:rPr>
        <w:t>68</w:t>
      </w:r>
      <w:r w:rsidRPr="002E55DE">
        <w:t>(6), Article 6.</w:t>
      </w:r>
      <w:r w:rsidR="000B5C30">
        <w:t xml:space="preserve"> </w:t>
      </w:r>
      <w:r w:rsidRPr="002E55DE">
        <w:t>https://doi.org/10.1016/j.socscimed.2009.01.008</w:t>
      </w:r>
    </w:p>
    <w:p w14:paraId="49445319" w14:textId="1A2955F8" w:rsidR="00A254CC" w:rsidRPr="002E55DE" w:rsidRDefault="00A254CC" w:rsidP="00485D35">
      <w:pPr>
        <w:pStyle w:val="Bibliography"/>
        <w:spacing w:line="240" w:lineRule="auto"/>
        <w:ind w:left="540" w:hanging="540"/>
        <w:jc w:val="both"/>
      </w:pPr>
      <w:r w:rsidRPr="002E55DE">
        <w:t xml:space="preserve">Cerin, E., Sit, C. H. P., Barnett, A., Cheung, M., </w:t>
      </w:r>
      <w:r w:rsidR="004918CE" w:rsidRPr="002E55DE">
        <w:t>and</w:t>
      </w:r>
      <w:r w:rsidRPr="002E55DE">
        <w:t xml:space="preserve"> Chan, W. (2013). </w:t>
      </w:r>
      <w:r w:rsidR="000B5C30" w:rsidRPr="00AD437E">
        <w:rPr>
          <w:rFonts w:ascii="Times New Roman" w:hAnsi="Times New Roman"/>
          <w:szCs w:val="24"/>
        </w:rPr>
        <w:t>Walking for recreation and perceptions of the neighborhood environment in older Chinese urban dwellers</w:t>
      </w:r>
      <w:r w:rsidRPr="002E55DE">
        <w:t xml:space="preserve">. </w:t>
      </w:r>
      <w:r w:rsidRPr="002E55DE">
        <w:rPr>
          <w:i/>
          <w:iCs/>
        </w:rPr>
        <w:t>Journal of Urban Health</w:t>
      </w:r>
      <w:r w:rsidRPr="002E55DE">
        <w:t xml:space="preserve">, </w:t>
      </w:r>
      <w:r w:rsidRPr="002E55DE">
        <w:rPr>
          <w:i/>
          <w:iCs/>
        </w:rPr>
        <w:t>90</w:t>
      </w:r>
      <w:r w:rsidRPr="002E55DE">
        <w:t>(1), 56–66. https://doi.org/10.1007/s11524-012-9704-8</w:t>
      </w:r>
    </w:p>
    <w:p w14:paraId="5D34B4FB" w14:textId="4B843971" w:rsidR="00A254CC" w:rsidRPr="002E55DE" w:rsidRDefault="00A254CC" w:rsidP="00485D35">
      <w:pPr>
        <w:pStyle w:val="Bibliography"/>
        <w:spacing w:line="240" w:lineRule="auto"/>
        <w:ind w:left="540" w:hanging="540"/>
        <w:jc w:val="both"/>
      </w:pPr>
      <w:r w:rsidRPr="002E55DE">
        <w:t xml:space="preserve">Chen, S.-T., Stevinson, C., Yang, C.-H., Sun, W.-J., Chen, L.-J., </w:t>
      </w:r>
      <w:r w:rsidR="004918CE" w:rsidRPr="002E55DE">
        <w:t>and</w:t>
      </w:r>
      <w:r w:rsidRPr="002E55DE">
        <w:t xml:space="preserve"> Ku, P.-W. (2021). Cross-sectional and longitudinal associations of outdoor walking with overall mental health in later life. </w:t>
      </w:r>
      <w:r w:rsidRPr="002E55DE">
        <w:rPr>
          <w:i/>
          <w:iCs/>
        </w:rPr>
        <w:t>Experimental Gerontology</w:t>
      </w:r>
      <w:r w:rsidRPr="002E55DE">
        <w:t xml:space="preserve">, </w:t>
      </w:r>
      <w:r w:rsidRPr="002E55DE">
        <w:rPr>
          <w:i/>
          <w:iCs/>
        </w:rPr>
        <w:t>151</w:t>
      </w:r>
      <w:r w:rsidRPr="002E55DE">
        <w:t>, 111428. https://doi.org/10.1016/j.exger.2021.111428</w:t>
      </w:r>
    </w:p>
    <w:p w14:paraId="4A0FFC4A" w14:textId="57C60898" w:rsidR="00A254CC" w:rsidRPr="002E55DE" w:rsidRDefault="00A254CC" w:rsidP="00485D35">
      <w:pPr>
        <w:pStyle w:val="Bibliography"/>
        <w:spacing w:line="240" w:lineRule="auto"/>
        <w:ind w:left="540" w:hanging="540"/>
        <w:jc w:val="both"/>
      </w:pPr>
      <w:r w:rsidRPr="002E55DE">
        <w:t xml:space="preserve">Chin, E. C., Yu, A. P., Leung, C. K., Bernal, J. D., Au, W. W., Fong, D. Y., Cheng, C. P., </w:t>
      </w:r>
      <w:r w:rsidR="004918CE" w:rsidRPr="002E55DE">
        <w:t>and</w:t>
      </w:r>
      <w:r w:rsidRPr="002E55DE">
        <w:t xml:space="preserve"> Siu, P. M. (2022). </w:t>
      </w:r>
      <w:r w:rsidR="000B5C30" w:rsidRPr="00AD437E">
        <w:rPr>
          <w:rFonts w:ascii="Times New Roman" w:hAnsi="Times New Roman"/>
          <w:szCs w:val="24"/>
        </w:rPr>
        <w:t>Effects of exercise frequency and intensity on reducing depressive symptoms in older adults with insomnia: A pilot randomized controlled trial</w:t>
      </w:r>
      <w:r w:rsidRPr="002E55DE">
        <w:t xml:space="preserve">. </w:t>
      </w:r>
      <w:r w:rsidRPr="002E55DE">
        <w:rPr>
          <w:i/>
          <w:iCs/>
        </w:rPr>
        <w:t>Frontiers in Physiology</w:t>
      </w:r>
      <w:r w:rsidRPr="002E55DE">
        <w:t xml:space="preserve">, </w:t>
      </w:r>
      <w:r w:rsidRPr="002E55DE">
        <w:rPr>
          <w:i/>
          <w:iCs/>
        </w:rPr>
        <w:t>13</w:t>
      </w:r>
      <w:r w:rsidRPr="002E55DE">
        <w:t>, 863457. https://doi.org/10.3389/fphys.2022.863457</w:t>
      </w:r>
    </w:p>
    <w:p w14:paraId="624E8D6E" w14:textId="1E652FF5" w:rsidR="00A254CC" w:rsidRPr="002E55DE" w:rsidRDefault="00A254CC" w:rsidP="00485D35">
      <w:pPr>
        <w:pStyle w:val="Bibliography"/>
        <w:spacing w:line="240" w:lineRule="auto"/>
        <w:ind w:left="540" w:hanging="540"/>
        <w:jc w:val="both"/>
      </w:pPr>
      <w:r w:rsidRPr="002E55DE">
        <w:t xml:space="preserve">Clark, A., </w:t>
      </w:r>
      <w:r w:rsidR="004918CE" w:rsidRPr="002E55DE">
        <w:t>and</w:t>
      </w:r>
      <w:r w:rsidRPr="002E55DE">
        <w:t xml:space="preserve"> Scott, D. (2016). Barriers to </w:t>
      </w:r>
      <w:r w:rsidR="000B5C30">
        <w:t>w</w:t>
      </w:r>
      <w:r w:rsidRPr="002E55DE">
        <w:t xml:space="preserve">alking: An </w:t>
      </w:r>
      <w:r w:rsidR="000B5C30">
        <w:t>i</w:t>
      </w:r>
      <w:r w:rsidRPr="002E55DE">
        <w:t xml:space="preserve">nvestigation of </w:t>
      </w:r>
      <w:r w:rsidR="000B5C30">
        <w:t>a</w:t>
      </w:r>
      <w:r w:rsidRPr="002E55DE">
        <w:t xml:space="preserve">dults in Hamilton (Ontario, Canada). </w:t>
      </w:r>
      <w:r w:rsidRPr="002E55DE">
        <w:rPr>
          <w:i/>
          <w:iCs/>
        </w:rPr>
        <w:t>International Journal of Environmental Research and Public Health</w:t>
      </w:r>
      <w:r w:rsidRPr="002E55DE">
        <w:t xml:space="preserve">, </w:t>
      </w:r>
      <w:r w:rsidRPr="002E55DE">
        <w:rPr>
          <w:i/>
          <w:iCs/>
        </w:rPr>
        <w:t>13</w:t>
      </w:r>
      <w:r w:rsidRPr="002E55DE">
        <w:t>(2), 179. https://doi.org/10.3390/ijerph13020179</w:t>
      </w:r>
    </w:p>
    <w:p w14:paraId="7A949A09" w14:textId="5833E51B" w:rsidR="00A254CC" w:rsidRPr="002E55DE" w:rsidRDefault="00A254CC" w:rsidP="00485D35">
      <w:pPr>
        <w:pStyle w:val="Bibliography"/>
        <w:spacing w:line="240" w:lineRule="auto"/>
        <w:ind w:left="540" w:hanging="540"/>
        <w:jc w:val="both"/>
      </w:pPr>
      <w:r w:rsidRPr="002E55DE">
        <w:t xml:space="preserve">Cloutier, M.-S., Beaulieu, E., Fridman, L., Macpherson, A. K., Hagel, B. E., Howard, A. W., Churchill, T., Fuselli, P., Macarthur, C., </w:t>
      </w:r>
      <w:r w:rsidR="004918CE" w:rsidRPr="002E55DE">
        <w:t>and</w:t>
      </w:r>
      <w:r w:rsidRPr="002E55DE">
        <w:t xml:space="preserve"> Rothman, L. (2021). State-of-the-art review: Preventing child and youth pedestrian motor vehicle collisions: critical issues and future directions. </w:t>
      </w:r>
      <w:r w:rsidRPr="002E55DE">
        <w:rPr>
          <w:i/>
          <w:iCs/>
        </w:rPr>
        <w:t>Injury Prevention</w:t>
      </w:r>
      <w:r w:rsidRPr="002E55DE">
        <w:t xml:space="preserve">, </w:t>
      </w:r>
      <w:r w:rsidRPr="002E55DE">
        <w:rPr>
          <w:i/>
          <w:iCs/>
        </w:rPr>
        <w:t>27</w:t>
      </w:r>
      <w:r w:rsidRPr="002E55DE">
        <w:t>(1), 77–84. https://doi.org/10.1136/injuryprev-2020-043829</w:t>
      </w:r>
    </w:p>
    <w:p w14:paraId="31E64CBF" w14:textId="4E39CC2A" w:rsidR="00A254CC" w:rsidRPr="002E55DE" w:rsidRDefault="00A254CC" w:rsidP="00485D35">
      <w:pPr>
        <w:pStyle w:val="Bibliography"/>
        <w:spacing w:line="240" w:lineRule="auto"/>
        <w:ind w:left="540" w:hanging="540"/>
        <w:jc w:val="both"/>
      </w:pPr>
      <w:r w:rsidRPr="002E55DE">
        <w:t xml:space="preserve">Colley, K., Currie, M. J. B., </w:t>
      </w:r>
      <w:r w:rsidR="004918CE" w:rsidRPr="002E55DE">
        <w:t>and</w:t>
      </w:r>
      <w:r w:rsidRPr="002E55DE">
        <w:t xml:space="preserve"> Irvine, K. N. (2019). </w:t>
      </w:r>
      <w:r w:rsidR="000B5C30" w:rsidRPr="00AD437E">
        <w:rPr>
          <w:rFonts w:ascii="Times New Roman" w:hAnsi="Times New Roman"/>
          <w:szCs w:val="24"/>
        </w:rPr>
        <w:t>Then and now: Examining older people’s engagement in outdoor recreation across the life course</w:t>
      </w:r>
      <w:r w:rsidRPr="002E55DE">
        <w:t xml:space="preserve">. </w:t>
      </w:r>
      <w:r w:rsidRPr="002E55DE">
        <w:rPr>
          <w:i/>
          <w:iCs/>
        </w:rPr>
        <w:t>Leisure Sciences</w:t>
      </w:r>
      <w:r w:rsidRPr="002E55DE">
        <w:t xml:space="preserve">, </w:t>
      </w:r>
      <w:r w:rsidRPr="002E55DE">
        <w:rPr>
          <w:i/>
          <w:iCs/>
        </w:rPr>
        <w:t>41</w:t>
      </w:r>
      <w:r w:rsidRPr="002E55DE">
        <w:t>(3), 186–202. https://doi.org/10.1080/01490400.2017.1349696</w:t>
      </w:r>
    </w:p>
    <w:p w14:paraId="6B1B106E" w14:textId="61FC2319" w:rsidR="00A254CC" w:rsidRPr="002E55DE" w:rsidRDefault="00A254CC" w:rsidP="00485D35">
      <w:pPr>
        <w:pStyle w:val="Bibliography"/>
        <w:spacing w:line="240" w:lineRule="auto"/>
        <w:ind w:left="540" w:hanging="540"/>
        <w:jc w:val="both"/>
      </w:pPr>
      <w:r w:rsidRPr="002E55DE">
        <w:t xml:space="preserve">Deka, D., </w:t>
      </w:r>
      <w:r w:rsidR="004918CE" w:rsidRPr="002E55DE">
        <w:t>and</w:t>
      </w:r>
      <w:r w:rsidRPr="002E55DE">
        <w:t xml:space="preserve"> Brown, C. T. (2020). Does the pathway to transportation walking for older adults run through recreational walking? </w:t>
      </w:r>
      <w:r w:rsidRPr="002E55DE">
        <w:rPr>
          <w:i/>
          <w:iCs/>
        </w:rPr>
        <w:t>Travel Behaviour and Society</w:t>
      </w:r>
      <w:r w:rsidRPr="002E55DE">
        <w:t xml:space="preserve">, </w:t>
      </w:r>
      <w:r w:rsidRPr="002E55DE">
        <w:rPr>
          <w:i/>
          <w:iCs/>
        </w:rPr>
        <w:t>20</w:t>
      </w:r>
      <w:r w:rsidRPr="002E55DE">
        <w:t>, 51–61. https://doi.org/10.1016/j.tbs.2020.02.005</w:t>
      </w:r>
    </w:p>
    <w:p w14:paraId="08522C06" w14:textId="20DB6B46" w:rsidR="00A254CC" w:rsidRPr="002E55DE" w:rsidRDefault="00A254CC" w:rsidP="00485D35">
      <w:pPr>
        <w:pStyle w:val="Bibliography"/>
        <w:spacing w:line="240" w:lineRule="auto"/>
        <w:ind w:left="540" w:hanging="540"/>
        <w:jc w:val="both"/>
      </w:pPr>
      <w:r w:rsidRPr="002E55DE">
        <w:t xml:space="preserve">Duncan, L. R., Hall, C. R., Wilson, P. M., </w:t>
      </w:r>
      <w:r w:rsidR="004918CE" w:rsidRPr="002E55DE">
        <w:t>and</w:t>
      </w:r>
      <w:r w:rsidRPr="002E55DE">
        <w:t xml:space="preserve"> O, J. (2010). Exercise motivation: A cross-sectional analysis examining its relationships with frequency, intensity, and duration of exercise. </w:t>
      </w:r>
      <w:r w:rsidRPr="002E55DE">
        <w:rPr>
          <w:i/>
          <w:iCs/>
        </w:rPr>
        <w:t>International Journal of Behavioral Nutrition and Physical Activity</w:t>
      </w:r>
      <w:r w:rsidRPr="002E55DE">
        <w:t xml:space="preserve">, </w:t>
      </w:r>
      <w:r w:rsidRPr="002E55DE">
        <w:rPr>
          <w:i/>
          <w:iCs/>
        </w:rPr>
        <w:t>7</w:t>
      </w:r>
      <w:r w:rsidRPr="002E55DE">
        <w:t>(1), 7. https://doi.org/10.1186/1479-5868-7-7</w:t>
      </w:r>
    </w:p>
    <w:p w14:paraId="536F908F" w14:textId="65CC675C" w:rsidR="00A254CC" w:rsidRPr="002E55DE" w:rsidRDefault="00A254CC" w:rsidP="000B5C30">
      <w:pPr>
        <w:pStyle w:val="Bibliography"/>
        <w:spacing w:line="240" w:lineRule="auto"/>
        <w:ind w:left="540" w:hanging="540"/>
        <w:jc w:val="both"/>
      </w:pPr>
      <w:r w:rsidRPr="002E55DE">
        <w:t xml:space="preserve">Evangelist, M. (2022). </w:t>
      </w:r>
      <w:r w:rsidR="000B5C30" w:rsidRPr="00AD437E">
        <w:rPr>
          <w:rFonts w:ascii="Times New Roman" w:hAnsi="Times New Roman"/>
          <w:szCs w:val="24"/>
        </w:rPr>
        <w:t>Narrowing racial differences in trust: How discrimination shapes trust in a racialized society</w:t>
      </w:r>
      <w:r w:rsidRPr="002E55DE">
        <w:t xml:space="preserve">. </w:t>
      </w:r>
      <w:r w:rsidRPr="002E55DE">
        <w:rPr>
          <w:i/>
          <w:iCs/>
        </w:rPr>
        <w:t>Social Problems</w:t>
      </w:r>
      <w:r w:rsidRPr="002E55DE">
        <w:t xml:space="preserve">, </w:t>
      </w:r>
      <w:r w:rsidRPr="002E55DE">
        <w:rPr>
          <w:i/>
          <w:iCs/>
        </w:rPr>
        <w:t>69</w:t>
      </w:r>
      <w:r w:rsidRPr="002E55DE">
        <w:t>(4), 1109–1136.</w:t>
      </w:r>
      <w:r w:rsidR="000B5C30">
        <w:t xml:space="preserve"> </w:t>
      </w:r>
      <w:r w:rsidRPr="002E55DE">
        <w:t>https://doi.org/10.1093/socpro/spab011</w:t>
      </w:r>
    </w:p>
    <w:p w14:paraId="7A09A87E" w14:textId="1CAF1334" w:rsidR="00A254CC" w:rsidRPr="002E55DE" w:rsidRDefault="00A254CC" w:rsidP="00485D35">
      <w:pPr>
        <w:pStyle w:val="Bibliography"/>
        <w:spacing w:line="240" w:lineRule="auto"/>
        <w:ind w:left="540" w:hanging="540"/>
        <w:jc w:val="both"/>
      </w:pPr>
      <w:r w:rsidRPr="002E55DE">
        <w:lastRenderedPageBreak/>
        <w:t xml:space="preserve">Felipe, S. G. B., Parreira Batista, P., Da Silva, C. C. R., De Melo, R. C., De Assumpção, D., </w:t>
      </w:r>
      <w:r w:rsidR="004918CE" w:rsidRPr="002E55DE">
        <w:t>and</w:t>
      </w:r>
      <w:r w:rsidRPr="002E55DE">
        <w:t xml:space="preserve"> Perracini, M. R. (2023). Impact of COVID‐19 pandemic on mobility of older adults: A scoping review. </w:t>
      </w:r>
      <w:r w:rsidRPr="002E55DE">
        <w:rPr>
          <w:i/>
          <w:iCs/>
        </w:rPr>
        <w:t>International Journal of Older People Nursing</w:t>
      </w:r>
      <w:r w:rsidRPr="002E55DE">
        <w:t xml:space="preserve">, </w:t>
      </w:r>
      <w:r w:rsidRPr="002E55DE">
        <w:rPr>
          <w:i/>
          <w:iCs/>
        </w:rPr>
        <w:t>18</w:t>
      </w:r>
      <w:r w:rsidRPr="002E55DE">
        <w:t>(1), e12496. https://doi.org/10.1111/opn.12496</w:t>
      </w:r>
    </w:p>
    <w:p w14:paraId="5F91F537" w14:textId="03808344" w:rsidR="00A254CC" w:rsidRPr="002E55DE" w:rsidRDefault="00A254CC" w:rsidP="00485D35">
      <w:pPr>
        <w:pStyle w:val="Bibliography"/>
        <w:spacing w:line="240" w:lineRule="auto"/>
        <w:ind w:left="540" w:hanging="540"/>
        <w:jc w:val="both"/>
      </w:pPr>
      <w:r w:rsidRPr="002E55DE">
        <w:t xml:space="preserve">Foster, D., Linehan, C., Kirman, B., Lawson, S., </w:t>
      </w:r>
      <w:r w:rsidR="004918CE" w:rsidRPr="002E55DE">
        <w:t>and</w:t>
      </w:r>
      <w:r w:rsidRPr="002E55DE">
        <w:t xml:space="preserve"> James, G. (2010). Motivating physical activity at work: Using persuasive social media for competitive step counting. </w:t>
      </w:r>
      <w:r w:rsidRPr="002E55DE">
        <w:rPr>
          <w:i/>
          <w:iCs/>
        </w:rPr>
        <w:t>Proceedings of the 14th International Academic MindTrek Conference: Envisioning Future Media Environments</w:t>
      </w:r>
      <w:r w:rsidRPr="002E55DE">
        <w:t>, 111–116. https://doi.org/10.1145/1930488.1930510</w:t>
      </w:r>
    </w:p>
    <w:p w14:paraId="7D791A2A" w14:textId="74388537" w:rsidR="00A254CC" w:rsidRPr="002E55DE" w:rsidRDefault="00A254CC" w:rsidP="00485D35">
      <w:pPr>
        <w:pStyle w:val="Bibliography"/>
        <w:spacing w:line="240" w:lineRule="auto"/>
        <w:ind w:left="540" w:hanging="540"/>
        <w:jc w:val="both"/>
      </w:pPr>
      <w:r w:rsidRPr="002E55DE">
        <w:t xml:space="preserve">Franke, T., Sims-Gould, J., Nettlefold, L., Ottoni, C., </w:t>
      </w:r>
      <w:r w:rsidR="004918CE" w:rsidRPr="002E55DE">
        <w:t>and</w:t>
      </w:r>
      <w:r w:rsidRPr="002E55DE">
        <w:t xml:space="preserve"> McKay, H. A. (2021). “It makes me feel not so alone”: Features of the Choose to Move physical activity intervention that reduce loneliness in older adults. </w:t>
      </w:r>
      <w:r w:rsidRPr="002E55DE">
        <w:rPr>
          <w:i/>
          <w:iCs/>
        </w:rPr>
        <w:t>BMC Public Health</w:t>
      </w:r>
      <w:r w:rsidRPr="002E55DE">
        <w:t xml:space="preserve">, </w:t>
      </w:r>
      <w:r w:rsidRPr="002E55DE">
        <w:rPr>
          <w:i/>
          <w:iCs/>
        </w:rPr>
        <w:t>21</w:t>
      </w:r>
      <w:r w:rsidRPr="002E55DE">
        <w:t>(1), 312. https://doi.org/10.1186/s12889-021-10363-1</w:t>
      </w:r>
    </w:p>
    <w:p w14:paraId="29EDBFA2" w14:textId="3B168625" w:rsidR="00A254CC" w:rsidRPr="002E55DE" w:rsidRDefault="00A254CC" w:rsidP="00485D35">
      <w:pPr>
        <w:pStyle w:val="Bibliography"/>
        <w:spacing w:line="240" w:lineRule="auto"/>
        <w:ind w:left="540" w:hanging="540"/>
        <w:jc w:val="both"/>
      </w:pPr>
      <w:r w:rsidRPr="002E55DE">
        <w:t xml:space="preserve">Freiberger, E., Sieber, C. C., </w:t>
      </w:r>
      <w:r w:rsidR="004918CE" w:rsidRPr="002E55DE">
        <w:t>and</w:t>
      </w:r>
      <w:r w:rsidRPr="002E55DE">
        <w:t xml:space="preserve"> Kob, R. (2020). Mobility in </w:t>
      </w:r>
      <w:r w:rsidR="000B5C30">
        <w:t>o</w:t>
      </w:r>
      <w:r w:rsidRPr="002E55DE">
        <w:t xml:space="preserve">lder </w:t>
      </w:r>
      <w:r w:rsidR="000B5C30">
        <w:t>c</w:t>
      </w:r>
      <w:r w:rsidRPr="002E55DE">
        <w:t>ommunity-</w:t>
      </w:r>
      <w:r w:rsidR="000B5C30">
        <w:t>d</w:t>
      </w:r>
      <w:r w:rsidRPr="002E55DE">
        <w:t xml:space="preserve">welling </w:t>
      </w:r>
      <w:r w:rsidR="000B5C30">
        <w:t>p</w:t>
      </w:r>
      <w:r w:rsidRPr="002E55DE">
        <w:t xml:space="preserve">ersons: A </w:t>
      </w:r>
      <w:r w:rsidR="000B5C30">
        <w:t>n</w:t>
      </w:r>
      <w:r w:rsidRPr="002E55DE">
        <w:t xml:space="preserve">arrative </w:t>
      </w:r>
      <w:r w:rsidR="000B5C30">
        <w:t>r</w:t>
      </w:r>
      <w:r w:rsidRPr="002E55DE">
        <w:t xml:space="preserve">eview. </w:t>
      </w:r>
      <w:r w:rsidRPr="002E55DE">
        <w:rPr>
          <w:i/>
          <w:iCs/>
        </w:rPr>
        <w:t>Frontiers in Physiology</w:t>
      </w:r>
      <w:r w:rsidRPr="002E55DE">
        <w:t xml:space="preserve">, </w:t>
      </w:r>
      <w:r w:rsidRPr="002E55DE">
        <w:rPr>
          <w:i/>
          <w:iCs/>
        </w:rPr>
        <w:t>11</w:t>
      </w:r>
      <w:r w:rsidRPr="002E55DE">
        <w:t>, 881. https://doi.org/10.3389/fphys.2020.00881</w:t>
      </w:r>
    </w:p>
    <w:p w14:paraId="20DD85CA" w14:textId="31D51A2B" w:rsidR="00A254CC" w:rsidRPr="002E55DE" w:rsidRDefault="00A254CC" w:rsidP="00485D35">
      <w:pPr>
        <w:pStyle w:val="Bibliography"/>
        <w:spacing w:line="240" w:lineRule="auto"/>
        <w:ind w:left="540" w:hanging="540"/>
        <w:jc w:val="both"/>
      </w:pPr>
      <w:r w:rsidRPr="002E55DE">
        <w:t xml:space="preserve">Giehl, M. W. C., Hallal, P. C., Corseuil, C. W., Schneider, I. J. C., </w:t>
      </w:r>
      <w:r w:rsidR="004918CE" w:rsidRPr="002E55DE">
        <w:t>and</w:t>
      </w:r>
      <w:r w:rsidRPr="002E55DE">
        <w:t xml:space="preserve"> d’Orsi, E. (2016). </w:t>
      </w:r>
      <w:r w:rsidR="000B5C30" w:rsidRPr="00AD437E">
        <w:rPr>
          <w:rFonts w:ascii="Times New Roman" w:hAnsi="Times New Roman"/>
          <w:szCs w:val="24"/>
        </w:rPr>
        <w:t>Built environment and walking behavior among Brazilian older adults: A population-based study</w:t>
      </w:r>
      <w:r w:rsidRPr="002E55DE">
        <w:t xml:space="preserve">. </w:t>
      </w:r>
      <w:r w:rsidRPr="002E55DE">
        <w:rPr>
          <w:i/>
          <w:iCs/>
        </w:rPr>
        <w:t>Journal of Physical Activity and Health</w:t>
      </w:r>
      <w:r w:rsidRPr="002E55DE">
        <w:t xml:space="preserve">, </w:t>
      </w:r>
      <w:r w:rsidRPr="002E55DE">
        <w:rPr>
          <w:i/>
          <w:iCs/>
        </w:rPr>
        <w:t>13</w:t>
      </w:r>
      <w:r w:rsidRPr="002E55DE">
        <w:t>(6), 617–624. https://doi.org/10.1123/jpah.2015-0355</w:t>
      </w:r>
    </w:p>
    <w:p w14:paraId="6D626B59" w14:textId="2CE4F444" w:rsidR="00A254CC" w:rsidRPr="002E55DE" w:rsidRDefault="00A254CC" w:rsidP="00485D35">
      <w:pPr>
        <w:pStyle w:val="Bibliography"/>
        <w:spacing w:line="240" w:lineRule="auto"/>
        <w:ind w:left="540" w:hanging="540"/>
        <w:jc w:val="both"/>
      </w:pPr>
      <w:r w:rsidRPr="002E55DE">
        <w:t xml:space="preserve">Glover, T. D., Moyer, L., Todd, J., </w:t>
      </w:r>
      <w:r w:rsidR="004918CE" w:rsidRPr="002E55DE">
        <w:t>and</w:t>
      </w:r>
      <w:r w:rsidRPr="002E55DE">
        <w:t xml:space="preserve"> Graham, T. (2023). </w:t>
      </w:r>
      <w:r w:rsidR="000B5C30" w:rsidRPr="00AD437E">
        <w:rPr>
          <w:rFonts w:ascii="Times New Roman" w:hAnsi="Times New Roman"/>
          <w:szCs w:val="24"/>
        </w:rPr>
        <w:t>Strengthening social ties while walking the neighbourhood</w:t>
      </w:r>
      <w:r w:rsidRPr="002E55DE">
        <w:t xml:space="preserve">? </w:t>
      </w:r>
      <w:r w:rsidRPr="002E55DE">
        <w:rPr>
          <w:i/>
          <w:iCs/>
        </w:rPr>
        <w:t>Urban Planning</w:t>
      </w:r>
      <w:r w:rsidRPr="002E55DE">
        <w:t xml:space="preserve">, </w:t>
      </w:r>
      <w:r w:rsidRPr="002E55DE">
        <w:rPr>
          <w:i/>
          <w:iCs/>
        </w:rPr>
        <w:t>8</w:t>
      </w:r>
      <w:r w:rsidRPr="002E55DE">
        <w:t>(4), Article 4. https://doi.org/10.17645/up.v8i4.6424</w:t>
      </w:r>
    </w:p>
    <w:p w14:paraId="73BD34C8" w14:textId="00F11CB4" w:rsidR="00A254CC" w:rsidRPr="002E55DE" w:rsidRDefault="00A254CC" w:rsidP="00485D35">
      <w:pPr>
        <w:pStyle w:val="Bibliography"/>
        <w:spacing w:line="240" w:lineRule="auto"/>
        <w:ind w:left="540" w:hanging="540"/>
        <w:jc w:val="both"/>
      </w:pPr>
      <w:r w:rsidRPr="002E55DE">
        <w:t xml:space="preserve">Guan, X., Wang, D., </w:t>
      </w:r>
      <w:r w:rsidR="004918CE" w:rsidRPr="002E55DE">
        <w:t>and</w:t>
      </w:r>
      <w:r w:rsidRPr="002E55DE">
        <w:t xml:space="preserve"> Jason Cao, X. (2020). The role of residential self-selection in land use-travel research: A review of recent findings. </w:t>
      </w:r>
      <w:r w:rsidRPr="002E55DE">
        <w:rPr>
          <w:i/>
          <w:iCs/>
        </w:rPr>
        <w:t>Transport Reviews</w:t>
      </w:r>
      <w:r w:rsidRPr="002E55DE">
        <w:t xml:space="preserve">, </w:t>
      </w:r>
      <w:r w:rsidRPr="002E55DE">
        <w:rPr>
          <w:i/>
          <w:iCs/>
        </w:rPr>
        <w:t>40</w:t>
      </w:r>
      <w:r w:rsidRPr="002E55DE">
        <w:t>(3), 267–287. https://doi.org/10.1080/01441647.2019.1692965</w:t>
      </w:r>
    </w:p>
    <w:p w14:paraId="3C9EDBCF" w14:textId="0A2F3E7C" w:rsidR="00A254CC" w:rsidRPr="002E55DE" w:rsidRDefault="00A254CC" w:rsidP="00485D35">
      <w:pPr>
        <w:pStyle w:val="Bibliography"/>
        <w:spacing w:line="240" w:lineRule="auto"/>
        <w:ind w:left="540" w:hanging="540"/>
        <w:jc w:val="both"/>
      </w:pPr>
      <w:r w:rsidRPr="002E55DE">
        <w:t xml:space="preserve">Gümüş Şekerci, Y., </w:t>
      </w:r>
      <w:r w:rsidR="004918CE" w:rsidRPr="002E55DE">
        <w:t>and</w:t>
      </w:r>
      <w:r w:rsidRPr="002E55DE">
        <w:t xml:space="preserve"> Kır Biçer, E. (2019). </w:t>
      </w:r>
      <w:r w:rsidR="000B5C30" w:rsidRPr="00391F7B">
        <w:rPr>
          <w:rFonts w:ascii="Times New Roman" w:hAnsi="Times New Roman"/>
          <w:szCs w:val="24"/>
        </w:rPr>
        <w:t xml:space="preserve">The effect of walking exercise on quality of life and sleep in elderly individuals: Randomized controlled study. </w:t>
      </w:r>
      <w:r w:rsidR="000B5C30" w:rsidRPr="00391F7B">
        <w:rPr>
          <w:rFonts w:ascii="Times New Roman" w:hAnsi="Times New Roman"/>
          <w:i/>
          <w:iCs/>
          <w:szCs w:val="24"/>
        </w:rPr>
        <w:t>Turkish Journal of Geriatrics/Türk Geriatri Dergisi</w:t>
      </w:r>
      <w:r w:rsidR="000B5C30" w:rsidRPr="00391F7B">
        <w:rPr>
          <w:rFonts w:ascii="Times New Roman" w:hAnsi="Times New Roman"/>
          <w:szCs w:val="24"/>
        </w:rPr>
        <w:t>, </w:t>
      </w:r>
      <w:r w:rsidR="000B5C30" w:rsidRPr="00391F7B">
        <w:rPr>
          <w:rFonts w:ascii="Times New Roman" w:hAnsi="Times New Roman"/>
          <w:i/>
          <w:iCs/>
          <w:szCs w:val="24"/>
        </w:rPr>
        <w:t>22</w:t>
      </w:r>
      <w:r w:rsidR="000B5C30" w:rsidRPr="00391F7B">
        <w:rPr>
          <w:rFonts w:ascii="Times New Roman" w:hAnsi="Times New Roman"/>
          <w:szCs w:val="24"/>
        </w:rPr>
        <w:t>(4), 443–453</w:t>
      </w:r>
      <w:r w:rsidRPr="002E55DE">
        <w:t>.</w:t>
      </w:r>
    </w:p>
    <w:p w14:paraId="3563777B" w14:textId="0FCA0958" w:rsidR="00A254CC" w:rsidRPr="002E55DE" w:rsidRDefault="00A254CC" w:rsidP="00485D35">
      <w:pPr>
        <w:pStyle w:val="Bibliography"/>
        <w:spacing w:line="240" w:lineRule="auto"/>
        <w:ind w:left="540" w:hanging="540"/>
        <w:jc w:val="both"/>
      </w:pPr>
      <w:r w:rsidRPr="002E55DE">
        <w:t xml:space="preserve">Haddad, A. J., Mondal, A., Bhat, C. R., Zhang, A., Liao, M. C., Macias, L. J., Lee, M. K., </w:t>
      </w:r>
      <w:r w:rsidR="004918CE" w:rsidRPr="002E55DE">
        <w:t>and</w:t>
      </w:r>
      <w:r w:rsidRPr="002E55DE">
        <w:t xml:space="preserve"> Watkins, S. C. (2023). Pedestrian crash frequency: Unpacking the effects of contributing factors and racial disparities. </w:t>
      </w:r>
      <w:r w:rsidRPr="002E55DE">
        <w:rPr>
          <w:i/>
          <w:iCs/>
        </w:rPr>
        <w:t xml:space="preserve">Accident Analysis </w:t>
      </w:r>
      <w:r w:rsidR="004918CE" w:rsidRPr="002E55DE">
        <w:rPr>
          <w:i/>
          <w:iCs/>
        </w:rPr>
        <w:t>and</w:t>
      </w:r>
      <w:r w:rsidRPr="002E55DE">
        <w:rPr>
          <w:i/>
          <w:iCs/>
        </w:rPr>
        <w:t xml:space="preserve"> Prevention</w:t>
      </w:r>
      <w:r w:rsidRPr="002E55DE">
        <w:t xml:space="preserve">, </w:t>
      </w:r>
      <w:r w:rsidRPr="002E55DE">
        <w:rPr>
          <w:i/>
          <w:iCs/>
        </w:rPr>
        <w:t>182</w:t>
      </w:r>
      <w:r w:rsidRPr="002E55DE">
        <w:t>, 106954. https://doi.org/10.1016/j.aap.2023.106954</w:t>
      </w:r>
    </w:p>
    <w:p w14:paraId="747DE573" w14:textId="5B89D09D" w:rsidR="008E2053" w:rsidRPr="002E55DE" w:rsidRDefault="008E2053" w:rsidP="00485D35">
      <w:pPr>
        <w:pStyle w:val="Bibliography"/>
        <w:spacing w:line="240" w:lineRule="auto"/>
        <w:ind w:left="540" w:hanging="540"/>
        <w:jc w:val="both"/>
      </w:pPr>
      <w:r w:rsidRPr="002E55DE">
        <w:t xml:space="preserve">Haddad, A. J., Hwang, H., Batur, I., Pendyala, R. M., </w:t>
      </w:r>
      <w:r w:rsidR="004918CE" w:rsidRPr="002E55DE">
        <w:t>and</w:t>
      </w:r>
      <w:r w:rsidRPr="002E55DE">
        <w:t xml:space="preserve"> Bhat, C. R. (2025). Walking patterns in older adults: Modeling the interplay of frequency, place, and purpose. </w:t>
      </w:r>
      <w:r w:rsidRPr="00265098">
        <w:rPr>
          <w:i/>
          <w:iCs/>
        </w:rPr>
        <w:t xml:space="preserve">Journal of Transport </w:t>
      </w:r>
      <w:r w:rsidR="00265098" w:rsidRPr="00265098">
        <w:rPr>
          <w:i/>
          <w:iCs/>
        </w:rPr>
        <w:t>&amp;</w:t>
      </w:r>
      <w:r w:rsidRPr="00265098">
        <w:rPr>
          <w:i/>
          <w:iCs/>
        </w:rPr>
        <w:t xml:space="preserve"> Health</w:t>
      </w:r>
      <w:r w:rsidRPr="002E55DE">
        <w:t xml:space="preserve">, </w:t>
      </w:r>
      <w:r w:rsidRPr="00265098">
        <w:rPr>
          <w:i/>
          <w:iCs/>
        </w:rPr>
        <w:t>41</w:t>
      </w:r>
      <w:r w:rsidRPr="002E55DE">
        <w:t>, 101962.</w:t>
      </w:r>
    </w:p>
    <w:p w14:paraId="43EB7702" w14:textId="54D5218D" w:rsidR="00A254CC" w:rsidRPr="002E55DE" w:rsidRDefault="00A254CC" w:rsidP="00485D35">
      <w:pPr>
        <w:pStyle w:val="Bibliography"/>
        <w:spacing w:line="240" w:lineRule="auto"/>
        <w:ind w:left="540" w:hanging="540"/>
        <w:jc w:val="both"/>
      </w:pPr>
      <w:r w:rsidRPr="002E55DE">
        <w:t xml:space="preserve">Hanson, S., </w:t>
      </w:r>
      <w:r w:rsidR="004918CE" w:rsidRPr="002E55DE">
        <w:t>and</w:t>
      </w:r>
      <w:r w:rsidRPr="002E55DE">
        <w:t xml:space="preserve"> Jones, A. (2015). A spatial equity analysis of a public health intervention: A case study of an outdoor walking group provider within local authorities in England. </w:t>
      </w:r>
      <w:r w:rsidRPr="002E55DE">
        <w:rPr>
          <w:i/>
          <w:iCs/>
        </w:rPr>
        <w:t>International Journal for Equity in Health</w:t>
      </w:r>
      <w:r w:rsidRPr="002E55DE">
        <w:t xml:space="preserve">, </w:t>
      </w:r>
      <w:r w:rsidRPr="002E55DE">
        <w:rPr>
          <w:i/>
          <w:iCs/>
        </w:rPr>
        <w:t>14</w:t>
      </w:r>
      <w:r w:rsidRPr="002E55DE">
        <w:t>(1), 106. https://doi.org/10.1186/s12939-015-0256-x</w:t>
      </w:r>
    </w:p>
    <w:p w14:paraId="3B4172F3" w14:textId="6A2DB006" w:rsidR="00A254CC" w:rsidRPr="002E55DE" w:rsidRDefault="00A254CC" w:rsidP="00485D35">
      <w:pPr>
        <w:pStyle w:val="Bibliography"/>
        <w:spacing w:line="240" w:lineRule="auto"/>
        <w:ind w:left="540" w:hanging="540"/>
        <w:jc w:val="both"/>
      </w:pPr>
      <w:r w:rsidRPr="002E55DE">
        <w:t xml:space="preserve">Heidel, A., </w:t>
      </w:r>
      <w:r w:rsidR="004918CE" w:rsidRPr="002E55DE">
        <w:t>and</w:t>
      </w:r>
      <w:r w:rsidRPr="002E55DE">
        <w:t xml:space="preserve"> Hagist, C. (2020). </w:t>
      </w:r>
      <w:r w:rsidR="000B5C30" w:rsidRPr="00AD437E">
        <w:rPr>
          <w:rFonts w:ascii="Times New Roman" w:hAnsi="Times New Roman"/>
          <w:szCs w:val="24"/>
        </w:rPr>
        <w:t>Potential benefits and risks resulting from the introduction of health apps and wearables into the German statutory health care system: Scoping review</w:t>
      </w:r>
      <w:r w:rsidRPr="002E55DE">
        <w:t xml:space="preserve">. </w:t>
      </w:r>
      <w:r w:rsidRPr="002E55DE">
        <w:rPr>
          <w:i/>
          <w:iCs/>
        </w:rPr>
        <w:t>JMIR mHealth and uHealth</w:t>
      </w:r>
      <w:r w:rsidRPr="002E55DE">
        <w:t xml:space="preserve">, </w:t>
      </w:r>
      <w:r w:rsidRPr="002E55DE">
        <w:rPr>
          <w:i/>
          <w:iCs/>
        </w:rPr>
        <w:t>8</w:t>
      </w:r>
      <w:r w:rsidRPr="002E55DE">
        <w:t>(9), e16444. https://doi.org/10.2196/16444</w:t>
      </w:r>
    </w:p>
    <w:p w14:paraId="58E3AB58" w14:textId="15CD6A72" w:rsidR="00A254CC" w:rsidRPr="000B5C30" w:rsidRDefault="00A254CC" w:rsidP="00485D35">
      <w:pPr>
        <w:pStyle w:val="Bibliography"/>
        <w:spacing w:line="240" w:lineRule="auto"/>
        <w:ind w:left="540" w:hanging="540"/>
        <w:jc w:val="both"/>
      </w:pPr>
      <w:r w:rsidRPr="002E55DE">
        <w:t xml:space="preserve">Hwang, H., Haddad, A., Batur, I., Saxena, S., Pendyala, R. M., </w:t>
      </w:r>
      <w:r w:rsidR="004918CE" w:rsidRPr="002E55DE">
        <w:t>and</w:t>
      </w:r>
      <w:r w:rsidRPr="002E55DE">
        <w:t xml:space="preserve"> Bhat, C. R. (2023). An analysis of walking frequency before and after the pandemic. </w:t>
      </w:r>
      <w:r w:rsidRPr="000B5C30">
        <w:t>Technical Paper, Department of Civil, Architectural and Environmental Engineering, The University of Texas at Austin.</w:t>
      </w:r>
    </w:p>
    <w:p w14:paraId="31312B5B" w14:textId="0479432D" w:rsidR="00A254CC" w:rsidRPr="002E55DE" w:rsidRDefault="00A254CC" w:rsidP="00485D35">
      <w:pPr>
        <w:pStyle w:val="Bibliography"/>
        <w:spacing w:line="240" w:lineRule="auto"/>
        <w:ind w:left="540" w:hanging="540"/>
        <w:jc w:val="both"/>
      </w:pPr>
      <w:r w:rsidRPr="002E55DE">
        <w:t xml:space="preserve">Ihara, S., Ide, K., Kanamori, S., Tsuji, T., Kondo, K., </w:t>
      </w:r>
      <w:r w:rsidR="004918CE" w:rsidRPr="002E55DE">
        <w:t>and</w:t>
      </w:r>
      <w:r w:rsidRPr="002E55DE">
        <w:t xml:space="preserve"> Iizuka, G. (2022). Social participation and change in walking time among older adults: A 3-year longitudinal study from the JAGES. </w:t>
      </w:r>
      <w:r w:rsidRPr="002E55DE">
        <w:rPr>
          <w:i/>
          <w:iCs/>
        </w:rPr>
        <w:t>BMC Geriatrics</w:t>
      </w:r>
      <w:r w:rsidRPr="002E55DE">
        <w:t xml:space="preserve">, </w:t>
      </w:r>
      <w:r w:rsidRPr="002E55DE">
        <w:rPr>
          <w:i/>
          <w:iCs/>
        </w:rPr>
        <w:t>22</w:t>
      </w:r>
      <w:r w:rsidRPr="002E55DE">
        <w:t>(1), 238. https://doi.org/10.1186/s12877-022-02874-2</w:t>
      </w:r>
    </w:p>
    <w:p w14:paraId="46591A79" w14:textId="2ECD4876" w:rsidR="00A254CC" w:rsidRPr="002E55DE" w:rsidRDefault="00A254CC" w:rsidP="00485D35">
      <w:pPr>
        <w:pStyle w:val="Bibliography"/>
        <w:spacing w:line="240" w:lineRule="auto"/>
        <w:ind w:left="540" w:hanging="540"/>
        <w:jc w:val="both"/>
      </w:pPr>
      <w:r w:rsidRPr="002E55DE">
        <w:lastRenderedPageBreak/>
        <w:t xml:space="preserve">Irvine, K. N., Fisher, D., Marselle, M. R., Currie, M., Colley, K., </w:t>
      </w:r>
      <w:r w:rsidR="004918CE" w:rsidRPr="002E55DE">
        <w:t>and</w:t>
      </w:r>
      <w:r w:rsidRPr="002E55DE">
        <w:t xml:space="preserve"> Warber, S. L. (2022). </w:t>
      </w:r>
      <w:r w:rsidR="000B5C30" w:rsidRPr="00AD437E">
        <w:rPr>
          <w:rFonts w:ascii="Times New Roman" w:hAnsi="Times New Roman"/>
          <w:szCs w:val="24"/>
        </w:rPr>
        <w:t>Social isolation in older adults: A qualitative study on the social dimensions of group outdoor health walks</w:t>
      </w:r>
      <w:r w:rsidRPr="002E55DE">
        <w:t xml:space="preserve">. </w:t>
      </w:r>
      <w:r w:rsidRPr="002E55DE">
        <w:rPr>
          <w:i/>
          <w:iCs/>
        </w:rPr>
        <w:t>International Journal of Environmental Research and Public Health</w:t>
      </w:r>
      <w:r w:rsidRPr="002E55DE">
        <w:t xml:space="preserve">, </w:t>
      </w:r>
      <w:r w:rsidRPr="002E55DE">
        <w:rPr>
          <w:i/>
          <w:iCs/>
        </w:rPr>
        <w:t>19</w:t>
      </w:r>
      <w:r w:rsidRPr="002E55DE">
        <w:t>(9), 5353. https://doi.org/10.3390/ijerph19095353</w:t>
      </w:r>
    </w:p>
    <w:p w14:paraId="63597AAF" w14:textId="18100512" w:rsidR="00A254CC" w:rsidRPr="002E55DE" w:rsidRDefault="00A254CC" w:rsidP="00485D35">
      <w:pPr>
        <w:pStyle w:val="Bibliography"/>
        <w:spacing w:line="240" w:lineRule="auto"/>
        <w:ind w:left="540" w:hanging="540"/>
        <w:jc w:val="both"/>
      </w:pPr>
      <w:r w:rsidRPr="002E55DE">
        <w:t xml:space="preserve">Julien, D., Gauvin, L., Richard, L., Kestens, Y., </w:t>
      </w:r>
      <w:r w:rsidR="004918CE" w:rsidRPr="002E55DE">
        <w:t>and</w:t>
      </w:r>
      <w:r w:rsidRPr="002E55DE">
        <w:t xml:space="preserve"> Payette, H. (2013). </w:t>
      </w:r>
      <w:r w:rsidR="000B5C30" w:rsidRPr="00AD437E">
        <w:rPr>
          <w:rFonts w:ascii="Times New Roman" w:hAnsi="Times New Roman"/>
          <w:szCs w:val="24"/>
        </w:rPr>
        <w:t>Longitudinal associations between walking frequency and depressive symptoms in older adults: Results from the VoisiNuAge study</w:t>
      </w:r>
      <w:r w:rsidRPr="002E55DE">
        <w:t xml:space="preserve">. </w:t>
      </w:r>
      <w:r w:rsidRPr="002E55DE">
        <w:rPr>
          <w:i/>
          <w:iCs/>
        </w:rPr>
        <w:t>Journal of the American Geriatrics Society</w:t>
      </w:r>
      <w:r w:rsidRPr="002E55DE">
        <w:t xml:space="preserve">, </w:t>
      </w:r>
      <w:r w:rsidRPr="002E55DE">
        <w:rPr>
          <w:i/>
          <w:iCs/>
        </w:rPr>
        <w:t>61</w:t>
      </w:r>
      <w:r w:rsidRPr="002E55DE">
        <w:t>(12), 2072–2078. https://doi.org/10.1111/jgs.12546</w:t>
      </w:r>
    </w:p>
    <w:p w14:paraId="7AC46689" w14:textId="45458D2B" w:rsidR="00A254CC" w:rsidRPr="002E55DE" w:rsidRDefault="00A254CC" w:rsidP="00485D35">
      <w:pPr>
        <w:pStyle w:val="Bibliography"/>
        <w:spacing w:line="240" w:lineRule="auto"/>
        <w:ind w:left="540" w:hanging="540"/>
        <w:jc w:val="both"/>
      </w:pPr>
      <w:r w:rsidRPr="002E55DE">
        <w:t xml:space="preserve">Kamphuis, C. B., Van Lenthe, F. J., Giskes, K., Huisman, M., Brug, J., </w:t>
      </w:r>
      <w:r w:rsidR="004918CE" w:rsidRPr="002E55DE">
        <w:t>and</w:t>
      </w:r>
      <w:r w:rsidRPr="002E55DE">
        <w:t xml:space="preserve"> Mackenbach, J. P. (2009). Socioeconomic differences in lack of recreational walking among older adults: The role of neighbourhood and individual factors. </w:t>
      </w:r>
      <w:r w:rsidRPr="002E55DE">
        <w:rPr>
          <w:i/>
          <w:iCs/>
        </w:rPr>
        <w:t>International Journal of Behavioral Nutrition and Physical Activity</w:t>
      </w:r>
      <w:r w:rsidRPr="002E55DE">
        <w:t xml:space="preserve">, </w:t>
      </w:r>
      <w:r w:rsidRPr="002E55DE">
        <w:rPr>
          <w:i/>
          <w:iCs/>
        </w:rPr>
        <w:t>6</w:t>
      </w:r>
      <w:r w:rsidRPr="002E55DE">
        <w:t>(1), 1. https://doi.org/10.1186/1479-5868-6-1</w:t>
      </w:r>
    </w:p>
    <w:p w14:paraId="5B9E833D" w14:textId="37F949D6" w:rsidR="00A254CC" w:rsidRPr="002E55DE" w:rsidRDefault="00A254CC" w:rsidP="00485D35">
      <w:pPr>
        <w:pStyle w:val="Bibliography"/>
        <w:spacing w:line="240" w:lineRule="auto"/>
        <w:ind w:left="540" w:hanging="540"/>
        <w:jc w:val="both"/>
      </w:pPr>
      <w:r w:rsidRPr="002E55DE">
        <w:t xml:space="preserve">Kim, B., </w:t>
      </w:r>
      <w:r w:rsidR="004918CE" w:rsidRPr="002E55DE">
        <w:t>and</w:t>
      </w:r>
      <w:r w:rsidRPr="002E55DE">
        <w:t xml:space="preserve"> Hyun, H. S. (2018). </w:t>
      </w:r>
      <w:r w:rsidR="000B5C30" w:rsidRPr="00AD437E">
        <w:rPr>
          <w:rFonts w:ascii="Times New Roman" w:hAnsi="Times New Roman"/>
          <w:szCs w:val="24"/>
        </w:rPr>
        <w:t>Associations between social and physical environments, and physical activity in adults from urban and rural regions</w:t>
      </w:r>
      <w:r w:rsidRPr="002E55DE">
        <w:t xml:space="preserve">. </w:t>
      </w:r>
      <w:r w:rsidRPr="002E55DE">
        <w:rPr>
          <w:i/>
          <w:iCs/>
        </w:rPr>
        <w:t>Osong Public Health and Research Perspectives</w:t>
      </w:r>
      <w:r w:rsidRPr="002E55DE">
        <w:t xml:space="preserve">, </w:t>
      </w:r>
      <w:r w:rsidRPr="002E55DE">
        <w:rPr>
          <w:i/>
          <w:iCs/>
        </w:rPr>
        <w:t>9</w:t>
      </w:r>
      <w:r w:rsidRPr="002E55DE">
        <w:t>(1), 16–24. https://doi.org/10.24171/j.phrp.2018.9.1.04</w:t>
      </w:r>
    </w:p>
    <w:p w14:paraId="6B1DA388" w14:textId="56DF9173" w:rsidR="00A254CC" w:rsidRPr="002E55DE" w:rsidRDefault="00A254CC" w:rsidP="00485D35">
      <w:pPr>
        <w:pStyle w:val="Bibliography"/>
        <w:spacing w:line="240" w:lineRule="auto"/>
        <w:ind w:left="540" w:hanging="540"/>
        <w:jc w:val="both"/>
      </w:pPr>
      <w:r w:rsidRPr="002E55DE">
        <w:t xml:space="preserve">Kim, D.-J., Lee, Y.-S., Jeon, E.-R., </w:t>
      </w:r>
      <w:r w:rsidR="004918CE" w:rsidRPr="002E55DE">
        <w:t>and</w:t>
      </w:r>
      <w:r w:rsidRPr="002E55DE">
        <w:t xml:space="preserve"> Kim, K. J. (2024). </w:t>
      </w:r>
      <w:r w:rsidR="000B5C30" w:rsidRPr="00AD437E">
        <w:rPr>
          <w:rFonts w:ascii="Times New Roman" w:hAnsi="Times New Roman"/>
          <w:szCs w:val="24"/>
        </w:rPr>
        <w:t>Present and future of AI-IoT-based healthcare services for senior citizens in local communities: A review of a South Korean government digital healthcare initiatives</w:t>
      </w:r>
      <w:r w:rsidRPr="002E55DE">
        <w:t xml:space="preserve"> </w:t>
      </w:r>
      <w:r w:rsidRPr="002E55DE">
        <w:rPr>
          <w:i/>
          <w:iCs/>
        </w:rPr>
        <w:t>Healthcare</w:t>
      </w:r>
      <w:r w:rsidRPr="002E55DE">
        <w:t xml:space="preserve">, </w:t>
      </w:r>
      <w:r w:rsidRPr="002E55DE">
        <w:rPr>
          <w:i/>
          <w:iCs/>
        </w:rPr>
        <w:t>12</w:t>
      </w:r>
      <w:r w:rsidRPr="002E55DE">
        <w:t>(2), 281. https://doi.org/10.3390/healthcare12020281</w:t>
      </w:r>
    </w:p>
    <w:p w14:paraId="6B179995" w14:textId="74FD139B" w:rsidR="00A254CC" w:rsidRPr="002E55DE" w:rsidRDefault="00A254CC" w:rsidP="00485D35">
      <w:pPr>
        <w:pStyle w:val="Bibliography"/>
        <w:spacing w:line="240" w:lineRule="auto"/>
        <w:ind w:left="540" w:hanging="540"/>
        <w:jc w:val="both"/>
      </w:pPr>
      <w:r w:rsidRPr="002E55DE">
        <w:t xml:space="preserve">Klenk, J., Dallmeier, D., Denkinger, M. D., Rapp, K., Koenig, W., Rothenbacher, D., </w:t>
      </w:r>
      <w:r w:rsidR="004918CE" w:rsidRPr="002E55DE">
        <w:t>and</w:t>
      </w:r>
      <w:r w:rsidRPr="002E55DE">
        <w:t xml:space="preserve"> ActiFE Study Group. (2016). </w:t>
      </w:r>
      <w:r w:rsidR="000B5C30" w:rsidRPr="00AD437E">
        <w:rPr>
          <w:rFonts w:ascii="Times New Roman" w:hAnsi="Times New Roman"/>
          <w:szCs w:val="24"/>
        </w:rPr>
        <w:t>Objectively measured walking duration and sedentary behaviour and four-year mortality in older people</w:t>
      </w:r>
      <w:r w:rsidRPr="002E55DE">
        <w:t xml:space="preserve">. </w:t>
      </w:r>
      <w:r w:rsidRPr="002E55DE">
        <w:rPr>
          <w:i/>
          <w:iCs/>
        </w:rPr>
        <w:t>PLOS ONE</w:t>
      </w:r>
      <w:r w:rsidRPr="002E55DE">
        <w:t xml:space="preserve">, </w:t>
      </w:r>
      <w:r w:rsidRPr="002E55DE">
        <w:rPr>
          <w:i/>
          <w:iCs/>
        </w:rPr>
        <w:t>11</w:t>
      </w:r>
      <w:r w:rsidRPr="002E55DE">
        <w:t>(4), e0153779. https://doi.org/10.1371/journal.pone.0153779</w:t>
      </w:r>
    </w:p>
    <w:p w14:paraId="036BC8AB" w14:textId="4567E9AB" w:rsidR="00A254CC" w:rsidRPr="002E55DE" w:rsidRDefault="00A254CC" w:rsidP="00485D35">
      <w:pPr>
        <w:pStyle w:val="Bibliography"/>
        <w:spacing w:line="240" w:lineRule="auto"/>
        <w:ind w:left="540" w:hanging="540"/>
        <w:jc w:val="both"/>
      </w:pPr>
      <w:r w:rsidRPr="002E55DE">
        <w:t xml:space="preserve">Kritz, M., Thøgersen-Ntoumani, C., Mullan, B., Stathi, A., </w:t>
      </w:r>
      <w:r w:rsidR="004918CE" w:rsidRPr="002E55DE">
        <w:t>and</w:t>
      </w:r>
      <w:r w:rsidRPr="002E55DE">
        <w:t xml:space="preserve"> Ntoumanis, N. (2021). </w:t>
      </w:r>
      <w:r w:rsidR="000B5C30" w:rsidRPr="00AD437E">
        <w:rPr>
          <w:rFonts w:ascii="Times New Roman" w:hAnsi="Times New Roman"/>
          <w:szCs w:val="24"/>
        </w:rPr>
        <w:t>“It’s better together”: A nested longitudinal study examining the benefits of walking regularly with peers versus primarily alone in older adults</w:t>
      </w:r>
      <w:r w:rsidRPr="002E55DE">
        <w:t xml:space="preserve">. </w:t>
      </w:r>
      <w:r w:rsidRPr="002E55DE">
        <w:rPr>
          <w:i/>
          <w:iCs/>
        </w:rPr>
        <w:t>Journal of Aging and Physical Activity</w:t>
      </w:r>
      <w:r w:rsidRPr="002E55DE">
        <w:t xml:space="preserve">, </w:t>
      </w:r>
      <w:r w:rsidRPr="002E55DE">
        <w:rPr>
          <w:i/>
          <w:iCs/>
        </w:rPr>
        <w:t>29</w:t>
      </w:r>
      <w:r w:rsidRPr="002E55DE">
        <w:t>(3), 455–465. https://doi.org/10.1123/japa.2020-0091</w:t>
      </w:r>
    </w:p>
    <w:p w14:paraId="58FDEC03" w14:textId="1B2C010A" w:rsidR="00A254CC" w:rsidRPr="002E55DE" w:rsidRDefault="00A254CC" w:rsidP="00485D35">
      <w:pPr>
        <w:pStyle w:val="Bibliography"/>
        <w:spacing w:line="240" w:lineRule="auto"/>
        <w:ind w:left="540" w:hanging="540"/>
        <w:jc w:val="both"/>
      </w:pPr>
      <w:r w:rsidRPr="002E55DE">
        <w:t xml:space="preserve">Kroesen, M., </w:t>
      </w:r>
      <w:r w:rsidR="004918CE" w:rsidRPr="002E55DE">
        <w:t>and</w:t>
      </w:r>
      <w:r w:rsidRPr="002E55DE">
        <w:t xml:space="preserve"> De Vos, J. (2020). Does active travel make people healthier, or are healthy people more inclined to travel actively? </w:t>
      </w:r>
      <w:r w:rsidRPr="002E55DE">
        <w:rPr>
          <w:i/>
          <w:iCs/>
        </w:rPr>
        <w:t xml:space="preserve">Journal of Transport </w:t>
      </w:r>
      <w:r w:rsidR="004918CE" w:rsidRPr="002E55DE">
        <w:rPr>
          <w:i/>
          <w:iCs/>
        </w:rPr>
        <w:t>and</w:t>
      </w:r>
      <w:r w:rsidRPr="002E55DE">
        <w:rPr>
          <w:i/>
          <w:iCs/>
        </w:rPr>
        <w:t xml:space="preserve"> Health</w:t>
      </w:r>
      <w:r w:rsidRPr="002E55DE">
        <w:t xml:space="preserve">, </w:t>
      </w:r>
      <w:r w:rsidRPr="002E55DE">
        <w:rPr>
          <w:i/>
          <w:iCs/>
        </w:rPr>
        <w:t>16</w:t>
      </w:r>
      <w:r w:rsidRPr="002E55DE">
        <w:t>, 100844. https://doi.org/10.1016/j.jth.2020.100844</w:t>
      </w:r>
    </w:p>
    <w:p w14:paraId="20540928" w14:textId="02309ECC" w:rsidR="00A254CC" w:rsidRPr="002E55DE" w:rsidRDefault="00A254CC" w:rsidP="00485D35">
      <w:pPr>
        <w:pStyle w:val="Bibliography"/>
        <w:spacing w:line="240" w:lineRule="auto"/>
        <w:ind w:left="540" w:hanging="540"/>
        <w:jc w:val="both"/>
      </w:pPr>
      <w:r w:rsidRPr="002E55DE">
        <w:t xml:space="preserve">Krogstad, J. R., Hjorthol, R., </w:t>
      </w:r>
      <w:r w:rsidR="004918CE" w:rsidRPr="002E55DE">
        <w:t>and</w:t>
      </w:r>
      <w:r w:rsidRPr="002E55DE">
        <w:t xml:space="preserve"> Tennøy, A. (2015). Improving walking conditions for older adults. A three-step method investigation. </w:t>
      </w:r>
      <w:r w:rsidRPr="002E55DE">
        <w:rPr>
          <w:i/>
          <w:iCs/>
        </w:rPr>
        <w:t>European Journal of Ageing</w:t>
      </w:r>
      <w:r w:rsidRPr="002E55DE">
        <w:t xml:space="preserve">, </w:t>
      </w:r>
      <w:r w:rsidRPr="002E55DE">
        <w:rPr>
          <w:i/>
          <w:iCs/>
        </w:rPr>
        <w:t>12</w:t>
      </w:r>
      <w:r w:rsidRPr="002E55DE">
        <w:t>(3), 249–260. https://doi.org/10.1007/s10433-015-0340-5</w:t>
      </w:r>
    </w:p>
    <w:p w14:paraId="52F003BE" w14:textId="3154B662" w:rsidR="00A254CC" w:rsidRPr="002E55DE" w:rsidRDefault="00A254CC" w:rsidP="00485D35">
      <w:pPr>
        <w:pStyle w:val="Bibliography"/>
        <w:spacing w:line="240" w:lineRule="auto"/>
        <w:ind w:left="540" w:hanging="540"/>
        <w:jc w:val="both"/>
      </w:pPr>
      <w:r w:rsidRPr="002E55DE">
        <w:t xml:space="preserve">Kubota, A., Carver, A., </w:t>
      </w:r>
      <w:r w:rsidR="004918CE" w:rsidRPr="002E55DE">
        <w:t>and</w:t>
      </w:r>
      <w:r w:rsidRPr="002E55DE">
        <w:t xml:space="preserve"> Sugiyama, T. (2020). </w:t>
      </w:r>
      <w:r w:rsidR="000B5C30" w:rsidRPr="00AD437E">
        <w:rPr>
          <w:rFonts w:ascii="Times New Roman" w:hAnsi="Times New Roman"/>
          <w:szCs w:val="24"/>
        </w:rPr>
        <w:t>Associations of local social engagement and environmental attributes with walking and sitting among Japanese older adults</w:t>
      </w:r>
      <w:r w:rsidRPr="002E55DE">
        <w:t xml:space="preserve">. </w:t>
      </w:r>
      <w:r w:rsidRPr="002E55DE">
        <w:rPr>
          <w:i/>
          <w:iCs/>
        </w:rPr>
        <w:t>Journal of Aging and Physical Activity</w:t>
      </w:r>
      <w:r w:rsidRPr="002E55DE">
        <w:t xml:space="preserve">, </w:t>
      </w:r>
      <w:r w:rsidRPr="002E55DE">
        <w:rPr>
          <w:i/>
          <w:iCs/>
        </w:rPr>
        <w:t>28</w:t>
      </w:r>
      <w:r w:rsidRPr="002E55DE">
        <w:t>(2), 187–193. https://doi.org/10.1123/japa.2018-0321</w:t>
      </w:r>
    </w:p>
    <w:p w14:paraId="5CCC8369" w14:textId="1AB65660" w:rsidR="00A254CC" w:rsidRPr="002E55DE" w:rsidRDefault="00A254CC" w:rsidP="00485D35">
      <w:pPr>
        <w:pStyle w:val="Bibliography"/>
        <w:spacing w:line="240" w:lineRule="auto"/>
        <w:ind w:left="540" w:hanging="540"/>
        <w:jc w:val="both"/>
      </w:pPr>
      <w:r w:rsidRPr="002E55DE">
        <w:t xml:space="preserve">LaCroix, A. Z., Leveille, S. G., Hecht, J. A., Grothaus, L. C., </w:t>
      </w:r>
      <w:r w:rsidR="004918CE" w:rsidRPr="002E55DE">
        <w:t>and</w:t>
      </w:r>
      <w:r w:rsidRPr="002E55DE">
        <w:t xml:space="preserve"> Wagner, E. H. (1996). </w:t>
      </w:r>
      <w:r w:rsidR="000B5C30" w:rsidRPr="00AD437E">
        <w:rPr>
          <w:rFonts w:ascii="Times New Roman" w:hAnsi="Times New Roman"/>
          <w:szCs w:val="24"/>
        </w:rPr>
        <w:t>Does walking decrease the risk of cardiovascular disease hospitalizations and death in older adults</w:t>
      </w:r>
      <w:r w:rsidRPr="002E55DE">
        <w:t xml:space="preserve">? </w:t>
      </w:r>
      <w:r w:rsidRPr="002E55DE">
        <w:rPr>
          <w:i/>
          <w:iCs/>
        </w:rPr>
        <w:t>Journal of the American Geriatrics Society</w:t>
      </w:r>
      <w:r w:rsidRPr="002E55DE">
        <w:t xml:space="preserve">, </w:t>
      </w:r>
      <w:r w:rsidRPr="002E55DE">
        <w:rPr>
          <w:i/>
          <w:iCs/>
        </w:rPr>
        <w:t>44</w:t>
      </w:r>
      <w:r w:rsidRPr="002E55DE">
        <w:t>(2), 113–120. https://doi.org/10.1111/j.1532-5415.1996.tb02425.x</w:t>
      </w:r>
    </w:p>
    <w:p w14:paraId="2CDA48DC" w14:textId="3C0C962E" w:rsidR="00A254CC" w:rsidRPr="002E55DE" w:rsidRDefault="00A254CC" w:rsidP="00485D35">
      <w:pPr>
        <w:pStyle w:val="Bibliography"/>
        <w:spacing w:line="240" w:lineRule="auto"/>
        <w:ind w:left="540" w:hanging="540"/>
        <w:jc w:val="both"/>
      </w:pPr>
      <w:r w:rsidRPr="002E55DE">
        <w:t xml:space="preserve">Leung, K. M., Chung, P.-K., Wang, D., </w:t>
      </w:r>
      <w:r w:rsidR="004918CE" w:rsidRPr="002E55DE">
        <w:t>and</w:t>
      </w:r>
      <w:r w:rsidRPr="002E55DE">
        <w:t xml:space="preserve"> Liu, J. D. (2018). Impact of physical and social environments on the walking behaviour of Hong Kong’s older adults. </w:t>
      </w:r>
      <w:r w:rsidRPr="002E55DE">
        <w:rPr>
          <w:i/>
          <w:iCs/>
        </w:rPr>
        <w:t xml:space="preserve">Journal of Transport </w:t>
      </w:r>
      <w:r w:rsidR="004918CE" w:rsidRPr="002E55DE">
        <w:rPr>
          <w:i/>
          <w:iCs/>
        </w:rPr>
        <w:t>and</w:t>
      </w:r>
      <w:r w:rsidRPr="002E55DE">
        <w:rPr>
          <w:i/>
          <w:iCs/>
        </w:rPr>
        <w:t xml:space="preserve"> Health</w:t>
      </w:r>
      <w:r w:rsidRPr="002E55DE">
        <w:t xml:space="preserve">, </w:t>
      </w:r>
      <w:r w:rsidRPr="002E55DE">
        <w:rPr>
          <w:i/>
          <w:iCs/>
        </w:rPr>
        <w:t>9</w:t>
      </w:r>
      <w:r w:rsidRPr="002E55DE">
        <w:t>, 299–308. https://doi.org/10.1016/j.jth.2018.03.002</w:t>
      </w:r>
    </w:p>
    <w:p w14:paraId="4D29E11C" w14:textId="49EA252C" w:rsidR="00A254CC" w:rsidRPr="002E55DE" w:rsidRDefault="00A254CC" w:rsidP="00485D35">
      <w:pPr>
        <w:pStyle w:val="Bibliography"/>
        <w:spacing w:line="240" w:lineRule="auto"/>
        <w:ind w:left="540" w:hanging="540"/>
        <w:jc w:val="both"/>
      </w:pPr>
      <w:r w:rsidRPr="002E55DE">
        <w:t xml:space="preserve">Li, S., Zhao, P., Zhang, H., </w:t>
      </w:r>
      <w:r w:rsidR="004918CE" w:rsidRPr="002E55DE">
        <w:t>and</w:t>
      </w:r>
      <w:r w:rsidRPr="002E55DE">
        <w:t xml:space="preserve"> Quan, J. (2019). Walking behavior in the old downtown Beijing: The impact of perceptions and attitudes and social variations. </w:t>
      </w:r>
      <w:r w:rsidRPr="002E55DE">
        <w:rPr>
          <w:i/>
          <w:iCs/>
        </w:rPr>
        <w:t>Transport Policy</w:t>
      </w:r>
      <w:r w:rsidRPr="002E55DE">
        <w:t xml:space="preserve">, </w:t>
      </w:r>
      <w:r w:rsidRPr="002E55DE">
        <w:rPr>
          <w:i/>
          <w:iCs/>
        </w:rPr>
        <w:t>73</w:t>
      </w:r>
      <w:r w:rsidRPr="002E55DE">
        <w:t>, 1–11. https://doi.org/10.1016/j.tranpol.2018.10.005</w:t>
      </w:r>
    </w:p>
    <w:p w14:paraId="5AADCA0F" w14:textId="599AB256" w:rsidR="00A254CC" w:rsidRPr="002E55DE" w:rsidRDefault="00A254CC" w:rsidP="00485D35">
      <w:pPr>
        <w:pStyle w:val="Bibliography"/>
        <w:spacing w:line="240" w:lineRule="auto"/>
        <w:ind w:left="540" w:hanging="540"/>
        <w:jc w:val="both"/>
      </w:pPr>
      <w:r w:rsidRPr="002E55DE">
        <w:lastRenderedPageBreak/>
        <w:t xml:space="preserve">Liao, Y., Huang, P.-H., Hsiang, C.-Y., Huang, J.-H., Hsueh, M.-C., </w:t>
      </w:r>
      <w:r w:rsidR="004918CE" w:rsidRPr="002E55DE">
        <w:t>and</w:t>
      </w:r>
      <w:r w:rsidRPr="002E55DE">
        <w:t xml:space="preserve"> Park, J.-H. (2017). </w:t>
      </w:r>
      <w:r w:rsidR="000B5C30" w:rsidRPr="00AD437E">
        <w:rPr>
          <w:rFonts w:ascii="Times New Roman" w:hAnsi="Times New Roman"/>
          <w:szCs w:val="24"/>
        </w:rPr>
        <w:t>Associations of older Taiwanese adults’ personal attributes and perceptions of the neighborhood environment concerning walking for recreation and transportation</w:t>
      </w:r>
      <w:r w:rsidRPr="002E55DE">
        <w:t xml:space="preserve">. </w:t>
      </w:r>
      <w:r w:rsidRPr="002E55DE">
        <w:rPr>
          <w:i/>
          <w:iCs/>
        </w:rPr>
        <w:t>International Journal of Environmental Research and Public Health</w:t>
      </w:r>
      <w:r w:rsidRPr="002E55DE">
        <w:t xml:space="preserve">, </w:t>
      </w:r>
      <w:r w:rsidRPr="002E55DE">
        <w:rPr>
          <w:i/>
          <w:iCs/>
        </w:rPr>
        <w:t>14</w:t>
      </w:r>
      <w:r w:rsidRPr="002E55DE">
        <w:t>(12), Article 12. https://doi.org/10.3390/ijerph14121594</w:t>
      </w:r>
    </w:p>
    <w:p w14:paraId="582D87F3" w14:textId="49802079" w:rsidR="00A254CC" w:rsidRPr="002E55DE" w:rsidRDefault="00A254CC" w:rsidP="00485D35">
      <w:pPr>
        <w:pStyle w:val="Bibliography"/>
        <w:spacing w:line="240" w:lineRule="auto"/>
        <w:ind w:left="540" w:hanging="540"/>
        <w:jc w:val="both"/>
      </w:pPr>
      <w:r w:rsidRPr="002E55DE">
        <w:t xml:space="preserve">Liu, Y., </w:t>
      </w:r>
      <w:r w:rsidR="004918CE" w:rsidRPr="002E55DE">
        <w:t>and</w:t>
      </w:r>
      <w:r w:rsidRPr="002E55DE">
        <w:t xml:space="preserve"> Lachman, M. E. (2021). </w:t>
      </w:r>
      <w:r w:rsidR="000B5C30" w:rsidRPr="00AD437E">
        <w:rPr>
          <w:rFonts w:ascii="Times New Roman" w:hAnsi="Times New Roman"/>
          <w:szCs w:val="24"/>
        </w:rPr>
        <w:t>A group-based walking study to enhance physical activity among older adults: The role of social engagement</w:t>
      </w:r>
      <w:r w:rsidRPr="002E55DE">
        <w:t xml:space="preserve">. </w:t>
      </w:r>
      <w:r w:rsidRPr="002E55DE">
        <w:rPr>
          <w:i/>
          <w:iCs/>
        </w:rPr>
        <w:t>Research on Aging</w:t>
      </w:r>
      <w:r w:rsidRPr="002E55DE">
        <w:t xml:space="preserve">, </w:t>
      </w:r>
      <w:r w:rsidRPr="002E55DE">
        <w:rPr>
          <w:i/>
          <w:iCs/>
        </w:rPr>
        <w:t>43</w:t>
      </w:r>
      <w:r w:rsidRPr="002E55DE">
        <w:t>(9–10), 368–377. https://doi.org/10.1177/0164027520963613</w:t>
      </w:r>
    </w:p>
    <w:p w14:paraId="65C561B2" w14:textId="3305FDB0" w:rsidR="00A254CC" w:rsidRPr="002E55DE" w:rsidRDefault="00A254CC" w:rsidP="00485D35">
      <w:pPr>
        <w:pStyle w:val="Bibliography"/>
        <w:spacing w:line="240" w:lineRule="auto"/>
        <w:ind w:left="540" w:hanging="540"/>
        <w:jc w:val="both"/>
      </w:pPr>
      <w:r w:rsidRPr="002E55DE">
        <w:t xml:space="preserve">Liu, Z., Kemperman, A., </w:t>
      </w:r>
      <w:r w:rsidR="004918CE" w:rsidRPr="002E55DE">
        <w:t>and</w:t>
      </w:r>
      <w:r w:rsidRPr="002E55DE">
        <w:t xml:space="preserve"> Timmermans, H. (2020). Correlates of older adults’ walking trip duration. </w:t>
      </w:r>
      <w:r w:rsidRPr="002E55DE">
        <w:rPr>
          <w:i/>
          <w:iCs/>
        </w:rPr>
        <w:t xml:space="preserve">Journal of Transport </w:t>
      </w:r>
      <w:r w:rsidR="004918CE" w:rsidRPr="002E55DE">
        <w:rPr>
          <w:i/>
          <w:iCs/>
        </w:rPr>
        <w:t>and</w:t>
      </w:r>
      <w:r w:rsidRPr="002E55DE">
        <w:rPr>
          <w:i/>
          <w:iCs/>
        </w:rPr>
        <w:t xml:space="preserve"> Health</w:t>
      </w:r>
      <w:r w:rsidRPr="002E55DE">
        <w:t xml:space="preserve">, </w:t>
      </w:r>
      <w:r w:rsidRPr="002E55DE">
        <w:rPr>
          <w:i/>
          <w:iCs/>
        </w:rPr>
        <w:t>18</w:t>
      </w:r>
      <w:r w:rsidRPr="002E55DE">
        <w:t>, 100889. https://doi.org/10.1016/j.jth.2020.100889</w:t>
      </w:r>
    </w:p>
    <w:p w14:paraId="6041E37F" w14:textId="58FFD7F6" w:rsidR="00A254CC" w:rsidRPr="002E55DE" w:rsidRDefault="00A254CC" w:rsidP="00485D35">
      <w:pPr>
        <w:pStyle w:val="Bibliography"/>
        <w:spacing w:line="240" w:lineRule="auto"/>
        <w:ind w:left="540" w:hanging="540"/>
        <w:jc w:val="both"/>
      </w:pPr>
      <w:r w:rsidRPr="002E55DE">
        <w:t xml:space="preserve">Maisel, J. L. (2016). </w:t>
      </w:r>
      <w:r w:rsidR="000B5C30" w:rsidRPr="00AD437E">
        <w:rPr>
          <w:rFonts w:ascii="Times New Roman" w:hAnsi="Times New Roman"/>
          <w:szCs w:val="24"/>
        </w:rPr>
        <w:t>Impact of older adults’ neighborhood perceptions on walking behavior</w:t>
      </w:r>
      <w:r w:rsidRPr="002E55DE">
        <w:t xml:space="preserve">. </w:t>
      </w:r>
      <w:r w:rsidRPr="002E55DE">
        <w:rPr>
          <w:i/>
          <w:iCs/>
        </w:rPr>
        <w:t>Journal of Aging and Physical Activity</w:t>
      </w:r>
      <w:r w:rsidRPr="002E55DE">
        <w:t xml:space="preserve">, </w:t>
      </w:r>
      <w:r w:rsidRPr="002E55DE">
        <w:rPr>
          <w:i/>
          <w:iCs/>
        </w:rPr>
        <w:t>24</w:t>
      </w:r>
      <w:r w:rsidRPr="002E55DE">
        <w:t>(2), 247–255. https://doi.org/10.1123/japa.2014-0278</w:t>
      </w:r>
    </w:p>
    <w:p w14:paraId="5AC16650" w14:textId="07E204BC" w:rsidR="00A254CC" w:rsidRPr="002E55DE" w:rsidRDefault="00A254CC" w:rsidP="00485D35">
      <w:pPr>
        <w:pStyle w:val="Bibliography"/>
        <w:spacing w:line="240" w:lineRule="auto"/>
        <w:ind w:left="540" w:hanging="540"/>
        <w:jc w:val="both"/>
      </w:pPr>
      <w:r w:rsidRPr="002E55DE">
        <w:t xml:space="preserve">Marquez, D. X., Aguiñaga, S., Vásquez, P. M., Conroy, D. E., Erickson, K. I., Hillman, C., Stillman, C. M., Ballard, R. M., Sheppard, B. B., Petruzzello, S. J., King, A. C., </w:t>
      </w:r>
      <w:r w:rsidR="004918CE" w:rsidRPr="002E55DE">
        <w:t>and</w:t>
      </w:r>
      <w:r w:rsidRPr="002E55DE">
        <w:t xml:space="preserve"> Powell, K. E. (2020). A systematic review of physical activity and quality of life and well-being. </w:t>
      </w:r>
      <w:r w:rsidRPr="002E55DE">
        <w:rPr>
          <w:i/>
          <w:iCs/>
        </w:rPr>
        <w:t>Translational Behavioral Medicine</w:t>
      </w:r>
      <w:r w:rsidRPr="002E55DE">
        <w:t xml:space="preserve">, </w:t>
      </w:r>
      <w:r w:rsidRPr="002E55DE">
        <w:rPr>
          <w:i/>
          <w:iCs/>
        </w:rPr>
        <w:t>10</w:t>
      </w:r>
      <w:r w:rsidRPr="002E55DE">
        <w:t>(5), 1098–1109. https://doi.org/10.1093/tbm/ibz198</w:t>
      </w:r>
    </w:p>
    <w:p w14:paraId="487EE979" w14:textId="3FF39432" w:rsidR="00A254CC" w:rsidRPr="002E55DE" w:rsidRDefault="00A254CC" w:rsidP="00485D35">
      <w:pPr>
        <w:pStyle w:val="Bibliography"/>
        <w:spacing w:line="240" w:lineRule="auto"/>
        <w:ind w:left="540" w:hanging="540"/>
        <w:jc w:val="both"/>
      </w:pPr>
      <w:r w:rsidRPr="002E55DE">
        <w:t xml:space="preserve">Meads, C., </w:t>
      </w:r>
      <w:r w:rsidR="004918CE" w:rsidRPr="002E55DE">
        <w:t>and</w:t>
      </w:r>
      <w:r w:rsidRPr="002E55DE">
        <w:t xml:space="preserve"> Exley, J. (2018). </w:t>
      </w:r>
      <w:r w:rsidR="000B5C30" w:rsidRPr="00AD437E">
        <w:rPr>
          <w:rFonts w:ascii="Times New Roman" w:hAnsi="Times New Roman"/>
          <w:szCs w:val="24"/>
        </w:rPr>
        <w:t>A systematic review of group walking in physically healthy people to promote physical activity</w:t>
      </w:r>
      <w:r w:rsidRPr="002E55DE">
        <w:t xml:space="preserve">. </w:t>
      </w:r>
      <w:r w:rsidRPr="002E55DE">
        <w:rPr>
          <w:i/>
          <w:iCs/>
        </w:rPr>
        <w:t>International Journal of Technology Assessment in Health Care</w:t>
      </w:r>
      <w:r w:rsidRPr="002E55DE">
        <w:t xml:space="preserve">, </w:t>
      </w:r>
      <w:r w:rsidRPr="002E55DE">
        <w:rPr>
          <w:i/>
          <w:iCs/>
        </w:rPr>
        <w:t>34</w:t>
      </w:r>
      <w:r w:rsidRPr="002E55DE">
        <w:t>(1), 27–37. https://doi.org/10.1017/S0266462317001088</w:t>
      </w:r>
    </w:p>
    <w:p w14:paraId="47CF9BB3" w14:textId="133BE7F8" w:rsidR="00A254CC" w:rsidRPr="002E55DE" w:rsidRDefault="00A254CC" w:rsidP="00485D35">
      <w:pPr>
        <w:pStyle w:val="Bibliography"/>
        <w:spacing w:line="240" w:lineRule="auto"/>
        <w:ind w:left="540" w:hanging="540"/>
        <w:jc w:val="both"/>
      </w:pPr>
      <w:r w:rsidRPr="002E55DE">
        <w:t xml:space="preserve">Mizuta, S., Uchida, K., Sawa, R., Nakamura, J., Encho, H., Akisue, T., </w:t>
      </w:r>
      <w:r w:rsidR="004918CE" w:rsidRPr="002E55DE">
        <w:t>and</w:t>
      </w:r>
      <w:r w:rsidRPr="002E55DE">
        <w:t xml:space="preserve"> Ono, R. (2023). Context of walking and loneliness among community-dwelling older adults: A cross-sectional study. </w:t>
      </w:r>
      <w:r w:rsidRPr="002E55DE">
        <w:rPr>
          <w:i/>
          <w:iCs/>
        </w:rPr>
        <w:t>BMC Geriatrics</w:t>
      </w:r>
      <w:r w:rsidRPr="002E55DE">
        <w:t xml:space="preserve">, </w:t>
      </w:r>
      <w:r w:rsidRPr="002E55DE">
        <w:rPr>
          <w:i/>
          <w:iCs/>
        </w:rPr>
        <w:t>23</w:t>
      </w:r>
      <w:r w:rsidRPr="002E55DE">
        <w:t>(1), 326. https://doi.org/10.1186/s12877-023-04043-5</w:t>
      </w:r>
    </w:p>
    <w:p w14:paraId="02950C94" w14:textId="37A2B01A" w:rsidR="00A254CC" w:rsidRPr="002E55DE" w:rsidRDefault="00A254CC" w:rsidP="00485D35">
      <w:pPr>
        <w:pStyle w:val="Bibliography"/>
        <w:spacing w:line="240" w:lineRule="auto"/>
        <w:ind w:left="540" w:hanging="540"/>
        <w:jc w:val="both"/>
      </w:pPr>
      <w:r w:rsidRPr="002E55DE">
        <w:t xml:space="preserve">Mohan, S., Venkatakrishnan, A., </w:t>
      </w:r>
      <w:r w:rsidR="004918CE" w:rsidRPr="002E55DE">
        <w:t>and</w:t>
      </w:r>
      <w:r w:rsidRPr="002E55DE">
        <w:t xml:space="preserve"> Hartzler, A. L. (2020). </w:t>
      </w:r>
      <w:r w:rsidR="000B5C30" w:rsidRPr="00AD437E">
        <w:rPr>
          <w:rFonts w:ascii="Times New Roman" w:hAnsi="Times New Roman"/>
          <w:szCs w:val="24"/>
        </w:rPr>
        <w:t>Designing an AI health coach and studying its utility in promoting regular aerobic exercise</w:t>
      </w:r>
      <w:r w:rsidRPr="002E55DE">
        <w:t xml:space="preserve">. </w:t>
      </w:r>
      <w:r w:rsidRPr="002E55DE">
        <w:rPr>
          <w:i/>
          <w:iCs/>
        </w:rPr>
        <w:t>ACM Transactions on Interactive Intelligent Systems</w:t>
      </w:r>
      <w:r w:rsidRPr="002E55DE">
        <w:t xml:space="preserve">, </w:t>
      </w:r>
      <w:r w:rsidRPr="002E55DE">
        <w:rPr>
          <w:i/>
          <w:iCs/>
        </w:rPr>
        <w:t>10</w:t>
      </w:r>
      <w:r w:rsidRPr="002E55DE">
        <w:t>(2), 1–30. https://doi.org/10.1145/3366501</w:t>
      </w:r>
    </w:p>
    <w:p w14:paraId="2B10487B" w14:textId="20CCAB5B" w:rsidR="00A254CC" w:rsidRPr="002E55DE" w:rsidRDefault="00A254CC" w:rsidP="00485D35">
      <w:pPr>
        <w:pStyle w:val="Bibliography"/>
        <w:spacing w:line="240" w:lineRule="auto"/>
        <w:ind w:left="540" w:hanging="540"/>
        <w:jc w:val="both"/>
      </w:pPr>
      <w:r w:rsidRPr="002E55DE">
        <w:t xml:space="preserve">Morita, Yokoyama, Imai, Takeda, Ota, Kawai, Hisada, Emoto, Suzuki, </w:t>
      </w:r>
      <w:r w:rsidR="004918CE" w:rsidRPr="002E55DE">
        <w:t>and</w:t>
      </w:r>
      <w:r w:rsidRPr="002E55DE">
        <w:t xml:space="preserve"> Okazaki. (2019). </w:t>
      </w:r>
      <w:r w:rsidR="000B5C30" w:rsidRPr="00AD437E">
        <w:rPr>
          <w:rFonts w:ascii="Times New Roman" w:hAnsi="Times New Roman"/>
          <w:szCs w:val="24"/>
        </w:rPr>
        <w:t>Aerobic exercise training with brisk walking increases intestinal bacteroides in healthy elderly women</w:t>
      </w:r>
      <w:r w:rsidRPr="002E55DE">
        <w:t xml:space="preserve">. </w:t>
      </w:r>
      <w:r w:rsidRPr="002E55DE">
        <w:rPr>
          <w:i/>
          <w:iCs/>
        </w:rPr>
        <w:t>Nutrients</w:t>
      </w:r>
      <w:r w:rsidRPr="002E55DE">
        <w:t xml:space="preserve">, </w:t>
      </w:r>
      <w:r w:rsidRPr="002E55DE">
        <w:rPr>
          <w:i/>
          <w:iCs/>
        </w:rPr>
        <w:t>11</w:t>
      </w:r>
      <w:r w:rsidRPr="002E55DE">
        <w:t>(4), 868. https://doi.org/10.3390/nu11040868</w:t>
      </w:r>
    </w:p>
    <w:p w14:paraId="2AB971CD" w14:textId="77777777" w:rsidR="00A254CC" w:rsidRPr="002E55DE" w:rsidRDefault="00A254CC" w:rsidP="00485D35">
      <w:pPr>
        <w:pStyle w:val="Bibliography"/>
        <w:spacing w:line="240" w:lineRule="auto"/>
        <w:ind w:left="540" w:hanging="540"/>
        <w:jc w:val="both"/>
      </w:pPr>
      <w:r w:rsidRPr="002E55DE">
        <w:t xml:space="preserve">Morning Consult. (2023). </w:t>
      </w:r>
      <w:r w:rsidRPr="002E55DE">
        <w:rPr>
          <w:i/>
          <w:iCs/>
        </w:rPr>
        <w:t>Use of wearable fitness or wellness technologies in the United States as of 2023, by age</w:t>
      </w:r>
      <w:r w:rsidRPr="002E55DE">
        <w:t xml:space="preserve"> [Dataset]. https://www.statista.com/statistics/1424304/use-of-fitness-wearables-in-the-us-by-age/</w:t>
      </w:r>
    </w:p>
    <w:p w14:paraId="274F8B28" w14:textId="2E0094EA" w:rsidR="00A254CC" w:rsidRPr="002E55DE" w:rsidRDefault="00A254CC" w:rsidP="00485D35">
      <w:pPr>
        <w:pStyle w:val="Bibliography"/>
        <w:spacing w:line="240" w:lineRule="auto"/>
        <w:ind w:left="540" w:hanging="540"/>
        <w:jc w:val="both"/>
      </w:pPr>
      <w:r w:rsidRPr="002E55DE">
        <w:t xml:space="preserve">Nagel, C. L., Carlson, N. E., Bosworth, M., </w:t>
      </w:r>
      <w:r w:rsidR="004918CE" w:rsidRPr="002E55DE">
        <w:t>and</w:t>
      </w:r>
      <w:r w:rsidRPr="002E55DE">
        <w:t xml:space="preserve"> Michael, Y. L. (2008). </w:t>
      </w:r>
      <w:r w:rsidR="00F958E6" w:rsidRPr="00AD437E">
        <w:rPr>
          <w:rFonts w:ascii="Times New Roman" w:hAnsi="Times New Roman"/>
          <w:szCs w:val="24"/>
        </w:rPr>
        <w:t>The relation between neighborhood built environment and walking activity among older adults</w:t>
      </w:r>
      <w:r w:rsidRPr="002E55DE">
        <w:t xml:space="preserve">. </w:t>
      </w:r>
      <w:r w:rsidRPr="002E55DE">
        <w:rPr>
          <w:i/>
          <w:iCs/>
        </w:rPr>
        <w:t>American Journal of Epidemiology</w:t>
      </w:r>
      <w:r w:rsidRPr="002E55DE">
        <w:t xml:space="preserve">, </w:t>
      </w:r>
      <w:r w:rsidRPr="002E55DE">
        <w:rPr>
          <w:i/>
          <w:iCs/>
        </w:rPr>
        <w:t>168</w:t>
      </w:r>
      <w:r w:rsidRPr="002E55DE">
        <w:t>(4), 461–468. https://doi.org/10.1093/aje/kwn158</w:t>
      </w:r>
    </w:p>
    <w:p w14:paraId="319A5486" w14:textId="77777777" w:rsidR="00A254CC" w:rsidRPr="002E55DE" w:rsidRDefault="00A254CC" w:rsidP="00485D35">
      <w:pPr>
        <w:pStyle w:val="Bibliography"/>
        <w:spacing w:line="240" w:lineRule="auto"/>
        <w:ind w:left="540" w:hanging="540"/>
        <w:jc w:val="both"/>
      </w:pPr>
      <w:r w:rsidRPr="002E55DE">
        <w:t xml:space="preserve">National Center for Health Statistics. (2019). </w:t>
      </w:r>
      <w:r w:rsidRPr="002E55DE">
        <w:rPr>
          <w:i/>
          <w:iCs/>
        </w:rPr>
        <w:t>Health, America, 2019: Table 25</w:t>
      </w:r>
      <w:r w:rsidRPr="002E55DE">
        <w:t xml:space="preserve"> [Dataset]. https://www.cdc.gov/nchs/hus/contents2019.htm</w:t>
      </w:r>
    </w:p>
    <w:p w14:paraId="08A96E1A" w14:textId="0711DF7D" w:rsidR="00A254CC" w:rsidRPr="002E55DE" w:rsidRDefault="00A254CC" w:rsidP="00485D35">
      <w:pPr>
        <w:pStyle w:val="Bibliography"/>
        <w:spacing w:line="240" w:lineRule="auto"/>
        <w:ind w:left="540" w:hanging="540"/>
        <w:jc w:val="both"/>
      </w:pPr>
      <w:r w:rsidRPr="002E55DE">
        <w:t xml:space="preserve">Oja, P., Kelly, P., Murtagh, E. M., Murphy, M. H., Foster, C., </w:t>
      </w:r>
      <w:r w:rsidR="004918CE" w:rsidRPr="002E55DE">
        <w:t>and</w:t>
      </w:r>
      <w:r w:rsidRPr="002E55DE">
        <w:t xml:space="preserve"> Titze, S. (2018). Effects of frequency, intensity, duration and volume of walking interventions on CVD risk factors: A systematic review and meta-regression analysis of randomised controlled trials among inactive healthy adults. </w:t>
      </w:r>
      <w:r w:rsidRPr="002E55DE">
        <w:rPr>
          <w:i/>
          <w:iCs/>
        </w:rPr>
        <w:t>British Journal of Sports Medicine</w:t>
      </w:r>
      <w:r w:rsidRPr="002E55DE">
        <w:t xml:space="preserve">, </w:t>
      </w:r>
      <w:r w:rsidRPr="002E55DE">
        <w:rPr>
          <w:i/>
          <w:iCs/>
        </w:rPr>
        <w:t>52</w:t>
      </w:r>
      <w:r w:rsidRPr="002E55DE">
        <w:t>(12), 769–775. https://doi.org/10.1136/bjsports-2017-098558</w:t>
      </w:r>
    </w:p>
    <w:p w14:paraId="66F1919E" w14:textId="53B7667F" w:rsidR="00A254CC" w:rsidRPr="002E55DE" w:rsidRDefault="00A254CC" w:rsidP="00005BA7">
      <w:pPr>
        <w:pStyle w:val="Bibliography"/>
        <w:keepLines/>
        <w:spacing w:line="240" w:lineRule="auto"/>
        <w:ind w:left="547" w:hanging="547"/>
        <w:jc w:val="both"/>
      </w:pPr>
      <w:r w:rsidRPr="002E55DE">
        <w:lastRenderedPageBreak/>
        <w:t xml:space="preserve">Oliveira, J. S., Sherrington, C., Amorim, A. B., Dario, A. B., </w:t>
      </w:r>
      <w:r w:rsidR="004918CE" w:rsidRPr="002E55DE">
        <w:t>and</w:t>
      </w:r>
      <w:r w:rsidRPr="002E55DE">
        <w:t xml:space="preserve"> Tiedemann, A. (2017). What is the effect of health coaching on physical activity participation in people aged 60 years and over? A systematic review of randomised controlled trials. </w:t>
      </w:r>
      <w:r w:rsidRPr="002E55DE">
        <w:rPr>
          <w:i/>
          <w:iCs/>
        </w:rPr>
        <w:t>British Journal of Sports Medicine</w:t>
      </w:r>
      <w:r w:rsidRPr="002E55DE">
        <w:t xml:space="preserve">, </w:t>
      </w:r>
      <w:r w:rsidRPr="002E55DE">
        <w:rPr>
          <w:i/>
          <w:iCs/>
        </w:rPr>
        <w:t>51</w:t>
      </w:r>
      <w:r w:rsidRPr="002E55DE">
        <w:t>(19), 1425–1432. https://doi.org/10.1136/bjsports-2016-096943</w:t>
      </w:r>
    </w:p>
    <w:p w14:paraId="5C6C40C0" w14:textId="1959D366" w:rsidR="00A254CC" w:rsidRPr="002E55DE" w:rsidRDefault="00A254CC" w:rsidP="00485D35">
      <w:pPr>
        <w:pStyle w:val="Bibliography"/>
        <w:spacing w:line="240" w:lineRule="auto"/>
        <w:ind w:left="540" w:hanging="540"/>
        <w:jc w:val="both"/>
      </w:pPr>
      <w:r w:rsidRPr="002E55DE">
        <w:t xml:space="preserve">Omura, J. D., Ussery, E. N., Loustalot, F., Fulton, J. E., </w:t>
      </w:r>
      <w:r w:rsidR="004918CE" w:rsidRPr="002E55DE">
        <w:t>and</w:t>
      </w:r>
      <w:r w:rsidRPr="002E55DE">
        <w:t xml:space="preserve"> Carlson, S. A. (2019). </w:t>
      </w:r>
      <w:r w:rsidR="00F958E6" w:rsidRPr="00AD437E">
        <w:rPr>
          <w:rFonts w:ascii="Times New Roman" w:hAnsi="Times New Roman"/>
          <w:szCs w:val="24"/>
        </w:rPr>
        <w:t>Walking as an opportunity for cardiovascular disease prevention</w:t>
      </w:r>
      <w:r w:rsidRPr="002E55DE">
        <w:t xml:space="preserve">. </w:t>
      </w:r>
      <w:r w:rsidRPr="002E55DE">
        <w:rPr>
          <w:i/>
          <w:iCs/>
        </w:rPr>
        <w:t>Preventing Chronic Disease</w:t>
      </w:r>
      <w:r w:rsidRPr="002E55DE">
        <w:t xml:space="preserve">, </w:t>
      </w:r>
      <w:r w:rsidRPr="002E55DE">
        <w:rPr>
          <w:i/>
          <w:iCs/>
        </w:rPr>
        <w:t>16</w:t>
      </w:r>
      <w:r w:rsidRPr="002E55DE">
        <w:t>, 180690. https://doi.org/10.5888/pcd16.180690</w:t>
      </w:r>
    </w:p>
    <w:p w14:paraId="3FFCE43C" w14:textId="6D7FAFB9" w:rsidR="00A254CC" w:rsidRPr="002E55DE" w:rsidRDefault="00A254CC" w:rsidP="00485D35">
      <w:pPr>
        <w:pStyle w:val="Bibliography"/>
        <w:spacing w:line="240" w:lineRule="auto"/>
        <w:ind w:left="540" w:hanging="540"/>
        <w:jc w:val="both"/>
      </w:pPr>
      <w:r w:rsidRPr="002E55DE">
        <w:t xml:space="preserve">Ory, M. G., Towne, S. D., Won, J., Forjuoh, S. N., </w:t>
      </w:r>
      <w:r w:rsidR="004918CE" w:rsidRPr="002E55DE">
        <w:t>and</w:t>
      </w:r>
      <w:r w:rsidRPr="002E55DE">
        <w:t xml:space="preserve"> Lee, C. (2016). Social and environmental predictors of walking among older adults. </w:t>
      </w:r>
      <w:r w:rsidRPr="002E55DE">
        <w:rPr>
          <w:i/>
          <w:iCs/>
        </w:rPr>
        <w:t>BMC Geriatrics</w:t>
      </w:r>
      <w:r w:rsidRPr="002E55DE">
        <w:t xml:space="preserve">, </w:t>
      </w:r>
      <w:r w:rsidRPr="002E55DE">
        <w:rPr>
          <w:i/>
          <w:iCs/>
        </w:rPr>
        <w:t>16</w:t>
      </w:r>
      <w:r w:rsidRPr="002E55DE">
        <w:t>(1), 155. https://doi.org/10.1186/s12877-016-0327-x</w:t>
      </w:r>
    </w:p>
    <w:p w14:paraId="23DCCEB9" w14:textId="474CE37D" w:rsidR="00426A6E" w:rsidRPr="002E55DE" w:rsidRDefault="00426A6E" w:rsidP="00BD7C08">
      <w:pPr>
        <w:pStyle w:val="Bibliography"/>
        <w:keepLines/>
        <w:spacing w:line="240" w:lineRule="auto"/>
        <w:ind w:left="547" w:hanging="547"/>
        <w:jc w:val="both"/>
      </w:pPr>
      <w:r w:rsidRPr="002E55DE">
        <w:t>Olsen, J. R., Whitley, E., Long, E., Rigby, B. P., Macdonald, L., Dibben, G. O., Palmer,V. J., Benzeval, M., Mitchell, K., McCann, M., Anderson, M., Thomson, M., Moore, L., Simpson, S. A. (2024). Individual, social and area level factors associated with older people</w:t>
      </w:r>
      <w:r w:rsidR="00F958E6">
        <w:t>'</w:t>
      </w:r>
      <w:r w:rsidRPr="002E55DE">
        <w:t xml:space="preserve">s walking: Analysis of an UK household panel study (Understanding Society). </w:t>
      </w:r>
      <w:r w:rsidRPr="00265098">
        <w:rPr>
          <w:i/>
          <w:iCs/>
        </w:rPr>
        <w:t xml:space="preserve">Social Science </w:t>
      </w:r>
      <w:r w:rsidR="004918CE" w:rsidRPr="00265098">
        <w:rPr>
          <w:i/>
          <w:iCs/>
        </w:rPr>
        <w:t>and</w:t>
      </w:r>
      <w:r w:rsidRPr="00265098">
        <w:rPr>
          <w:i/>
          <w:iCs/>
        </w:rPr>
        <w:t xml:space="preserve"> Medicine</w:t>
      </w:r>
      <w:r w:rsidRPr="002E55DE">
        <w:t xml:space="preserve">, </w:t>
      </w:r>
      <w:r w:rsidRPr="00265098">
        <w:rPr>
          <w:i/>
          <w:iCs/>
        </w:rPr>
        <w:t>358</w:t>
      </w:r>
      <w:r w:rsidRPr="002E55DE">
        <w:t>, 117083.</w:t>
      </w:r>
    </w:p>
    <w:p w14:paraId="63CCAD82" w14:textId="7F7CB38B" w:rsidR="00A254CC" w:rsidRPr="002E55DE" w:rsidRDefault="00A254CC" w:rsidP="00485D35">
      <w:pPr>
        <w:pStyle w:val="Bibliography"/>
        <w:spacing w:line="240" w:lineRule="auto"/>
        <w:ind w:left="540" w:hanging="540"/>
        <w:jc w:val="both"/>
      </w:pPr>
      <w:r w:rsidRPr="002E55DE">
        <w:t xml:space="preserve">Patel, A. V., Hildebrand, J. S., Leach, C. R., Campbell, P. T., Doyle, C., Shuval, K., Wang, Y., </w:t>
      </w:r>
      <w:r w:rsidR="004918CE" w:rsidRPr="002E55DE">
        <w:t>and</w:t>
      </w:r>
      <w:r w:rsidRPr="002E55DE">
        <w:t xml:space="preserve"> Gapstur, S. M. (2018). </w:t>
      </w:r>
      <w:r w:rsidR="00F958E6" w:rsidRPr="00AD437E">
        <w:rPr>
          <w:rFonts w:ascii="Times New Roman" w:hAnsi="Times New Roman"/>
          <w:szCs w:val="24"/>
        </w:rPr>
        <w:t>Walking in relation to mortality in a large prospective cohort of older U.S. adults</w:t>
      </w:r>
      <w:r w:rsidRPr="002E55DE">
        <w:t xml:space="preserve">. </w:t>
      </w:r>
      <w:r w:rsidRPr="002E55DE">
        <w:rPr>
          <w:i/>
          <w:iCs/>
        </w:rPr>
        <w:t>American Journal of Preventive Medicine</w:t>
      </w:r>
      <w:r w:rsidRPr="002E55DE">
        <w:t xml:space="preserve">, </w:t>
      </w:r>
      <w:r w:rsidRPr="002E55DE">
        <w:rPr>
          <w:i/>
          <w:iCs/>
        </w:rPr>
        <w:t>54</w:t>
      </w:r>
      <w:r w:rsidRPr="002E55DE">
        <w:t>(1), 10–19. https://doi.org/10.1016/j.amepre.2017.08.019</w:t>
      </w:r>
    </w:p>
    <w:p w14:paraId="3E293AA7" w14:textId="22634DB9" w:rsidR="00A254CC" w:rsidRPr="002E55DE" w:rsidRDefault="00A254CC" w:rsidP="00485D35">
      <w:pPr>
        <w:pStyle w:val="Bibliography"/>
        <w:spacing w:line="240" w:lineRule="auto"/>
        <w:ind w:left="540" w:hanging="540"/>
        <w:jc w:val="both"/>
      </w:pPr>
      <w:r w:rsidRPr="002E55DE">
        <w:t xml:space="preserve">Paul, P., Carlson, S. A., Carroll, D. D., Berrigan, D., </w:t>
      </w:r>
      <w:r w:rsidR="004918CE" w:rsidRPr="002E55DE">
        <w:t>and</w:t>
      </w:r>
      <w:r w:rsidRPr="002E55DE">
        <w:t xml:space="preserve"> Fulton, J. E. (2015). </w:t>
      </w:r>
      <w:r w:rsidR="00F958E6" w:rsidRPr="00AD437E">
        <w:rPr>
          <w:rFonts w:ascii="Times New Roman" w:hAnsi="Times New Roman"/>
          <w:szCs w:val="24"/>
        </w:rPr>
        <w:t>Walking for transportation and leisure among U.S. adults—National Health Interview Survey 2010</w:t>
      </w:r>
      <w:r w:rsidRPr="002E55DE">
        <w:t xml:space="preserve">. </w:t>
      </w:r>
      <w:r w:rsidRPr="002E55DE">
        <w:rPr>
          <w:i/>
          <w:iCs/>
        </w:rPr>
        <w:t>Journal of Physical Activity and Health</w:t>
      </w:r>
      <w:r w:rsidRPr="002E55DE">
        <w:t xml:space="preserve">, </w:t>
      </w:r>
      <w:r w:rsidRPr="002E55DE">
        <w:rPr>
          <w:i/>
          <w:iCs/>
        </w:rPr>
        <w:t>12</w:t>
      </w:r>
      <w:r w:rsidRPr="002E55DE">
        <w:t>(s1), Article s1. https://doi.org/10.1123/jpah.2013-0519</w:t>
      </w:r>
    </w:p>
    <w:p w14:paraId="4EBBFE1F" w14:textId="0115DDBF" w:rsidR="00A254CC" w:rsidRPr="002E55DE" w:rsidRDefault="00A254CC" w:rsidP="00485D35">
      <w:pPr>
        <w:pStyle w:val="Bibliography"/>
        <w:spacing w:line="240" w:lineRule="auto"/>
        <w:ind w:left="540" w:hanging="540"/>
        <w:jc w:val="both"/>
      </w:pPr>
      <w:r w:rsidRPr="002E55DE">
        <w:t xml:space="preserve">Paydar, M., </w:t>
      </w:r>
      <w:r w:rsidR="004918CE" w:rsidRPr="002E55DE">
        <w:t>and</w:t>
      </w:r>
      <w:r w:rsidRPr="002E55DE">
        <w:t xml:space="preserve"> Fard, A. K. (2021). </w:t>
      </w:r>
      <w:r w:rsidR="00F958E6" w:rsidRPr="00AD437E">
        <w:rPr>
          <w:rFonts w:ascii="Times New Roman" w:hAnsi="Times New Roman"/>
          <w:szCs w:val="24"/>
        </w:rPr>
        <w:t>The contribution of socio-demographic factors to walking behavior considering destination types; Case study: Temuco, Chile</w:t>
      </w:r>
      <w:r w:rsidRPr="002E55DE">
        <w:t xml:space="preserve">. </w:t>
      </w:r>
      <w:r w:rsidRPr="002E55DE">
        <w:rPr>
          <w:i/>
          <w:iCs/>
        </w:rPr>
        <w:t>Social Sciences</w:t>
      </w:r>
      <w:r w:rsidRPr="002E55DE">
        <w:t xml:space="preserve">, </w:t>
      </w:r>
      <w:r w:rsidRPr="002E55DE">
        <w:rPr>
          <w:i/>
          <w:iCs/>
        </w:rPr>
        <w:t>10</w:t>
      </w:r>
      <w:r w:rsidRPr="002E55DE">
        <w:t>(12), 479. https://doi.org/10.3390/socsci10120479</w:t>
      </w:r>
    </w:p>
    <w:p w14:paraId="1D10C2DB" w14:textId="4DA8AC19" w:rsidR="00A254CC" w:rsidRPr="002E55DE" w:rsidRDefault="00A254CC" w:rsidP="00485D35">
      <w:pPr>
        <w:pStyle w:val="Bibliography"/>
        <w:spacing w:line="240" w:lineRule="auto"/>
        <w:ind w:left="540" w:hanging="540"/>
        <w:jc w:val="both"/>
      </w:pPr>
      <w:r w:rsidRPr="002E55DE">
        <w:t xml:space="preserve">Paz-Soldan, V. A., Reiner, R. C., Morrison, A. C., Stoddard, S. T., Kitron, U., Scott, T. W., Elder, J. P., Halsey, E. S., Kochel, T. J., Astete, H., </w:t>
      </w:r>
      <w:r w:rsidR="004918CE" w:rsidRPr="002E55DE">
        <w:t>and</w:t>
      </w:r>
      <w:r w:rsidRPr="002E55DE">
        <w:t xml:space="preserve"> Vazquez-Prokopec, G. M. (2014). </w:t>
      </w:r>
      <w:r w:rsidR="00F958E6" w:rsidRPr="00AD437E">
        <w:rPr>
          <w:rFonts w:ascii="Times New Roman" w:hAnsi="Times New Roman"/>
          <w:szCs w:val="24"/>
        </w:rPr>
        <w:t>Strengths and weaknesses of Global Positioning System (GPS) data-loggers and semi-structured interviews for capturing fine-scale human mobility: Findings from Iquitos, Peru</w:t>
      </w:r>
      <w:r w:rsidRPr="002E55DE">
        <w:t xml:space="preserve">. </w:t>
      </w:r>
      <w:r w:rsidRPr="002E55DE">
        <w:rPr>
          <w:i/>
          <w:iCs/>
        </w:rPr>
        <w:t>PLoS Neglected Tropical Diseases</w:t>
      </w:r>
      <w:r w:rsidRPr="002E55DE">
        <w:t xml:space="preserve">, </w:t>
      </w:r>
      <w:r w:rsidRPr="002E55DE">
        <w:rPr>
          <w:i/>
          <w:iCs/>
        </w:rPr>
        <w:t>8</w:t>
      </w:r>
      <w:r w:rsidRPr="002E55DE">
        <w:t>(6), e2888. https://doi.org/10.1371/journal.pntd.0002888</w:t>
      </w:r>
    </w:p>
    <w:p w14:paraId="27100C00" w14:textId="7EACFD86" w:rsidR="00A254CC" w:rsidRPr="002E55DE" w:rsidRDefault="00A254CC" w:rsidP="00485D35">
      <w:pPr>
        <w:pStyle w:val="Bibliography"/>
        <w:spacing w:line="240" w:lineRule="auto"/>
        <w:ind w:left="540" w:hanging="540"/>
        <w:jc w:val="both"/>
      </w:pPr>
      <w:r w:rsidRPr="002E55DE">
        <w:t xml:space="preserve">Phillips, S. (2022, August 3). </w:t>
      </w:r>
      <w:r w:rsidR="00F958E6" w:rsidRPr="00AD437E">
        <w:rPr>
          <w:rFonts w:ascii="Times New Roman" w:hAnsi="Times New Roman"/>
          <w:szCs w:val="24"/>
        </w:rPr>
        <w:t>This is the phase of the pandemic where life returns to normal</w:t>
      </w:r>
      <w:r w:rsidRPr="002E55DE">
        <w:t xml:space="preserve">. </w:t>
      </w:r>
      <w:r w:rsidRPr="002E55DE">
        <w:rPr>
          <w:i/>
          <w:iCs/>
        </w:rPr>
        <w:t>Time</w:t>
      </w:r>
      <w:r w:rsidRPr="002E55DE">
        <w:t>. https://time.com/6203058/covid-19-pandemic-return-to-normal-column/</w:t>
      </w:r>
    </w:p>
    <w:p w14:paraId="2DA91792" w14:textId="1ACC3BA6" w:rsidR="00A254CC" w:rsidRPr="002E55DE" w:rsidRDefault="00A254CC" w:rsidP="00485D35">
      <w:pPr>
        <w:pStyle w:val="Bibliography"/>
        <w:spacing w:line="240" w:lineRule="auto"/>
        <w:ind w:left="540" w:hanging="540"/>
        <w:jc w:val="both"/>
      </w:pPr>
      <w:r w:rsidRPr="002E55DE">
        <w:t xml:space="preserve">Prasertsri, P., Phoemsapthawee, J., Kuamsub, S., Poolpol, K., </w:t>
      </w:r>
      <w:r w:rsidR="004918CE" w:rsidRPr="002E55DE">
        <w:t>and</w:t>
      </w:r>
      <w:r w:rsidRPr="002E55DE">
        <w:t xml:space="preserve"> Boonla, O. (2022). </w:t>
      </w:r>
      <w:r w:rsidR="00F958E6" w:rsidRPr="00AD437E">
        <w:rPr>
          <w:rFonts w:ascii="Times New Roman" w:hAnsi="Times New Roman"/>
          <w:szCs w:val="24"/>
        </w:rPr>
        <w:t>Effects of long-term regular continuous and intermittent walking on oxidative stress, metabolic profile, heart rate variability, and blood pressure in older adults with hypertension</w:t>
      </w:r>
      <w:r w:rsidRPr="002E55DE">
        <w:t xml:space="preserve">. </w:t>
      </w:r>
      <w:r w:rsidRPr="002E55DE">
        <w:rPr>
          <w:i/>
          <w:iCs/>
        </w:rPr>
        <w:t>Journal of Environmental and Public Health</w:t>
      </w:r>
      <w:r w:rsidRPr="002E55DE">
        <w:t xml:space="preserve">, </w:t>
      </w:r>
      <w:r w:rsidRPr="002E55DE">
        <w:rPr>
          <w:i/>
          <w:iCs/>
        </w:rPr>
        <w:t>2022</w:t>
      </w:r>
      <w:r w:rsidRPr="002E55DE">
        <w:t>, 1–12. https://doi.org/10.1155/2022/5942947</w:t>
      </w:r>
    </w:p>
    <w:p w14:paraId="4AF9FF06" w14:textId="1C1E2DA6" w:rsidR="00A254CC" w:rsidRPr="002E55DE" w:rsidRDefault="00A254CC" w:rsidP="00485D35">
      <w:pPr>
        <w:pStyle w:val="Bibliography"/>
        <w:spacing w:line="240" w:lineRule="auto"/>
        <w:ind w:left="540" w:hanging="540"/>
        <w:jc w:val="both"/>
      </w:pPr>
      <w:r w:rsidRPr="002E55DE">
        <w:t xml:space="preserve">Richardson, A. S., Ghosh-Dastidar, M., Collins, R. L., Hunter, G. P., Troxel, W. M., Colabianchi, N., Cohen, D. A., </w:t>
      </w:r>
      <w:r w:rsidR="004918CE" w:rsidRPr="002E55DE">
        <w:t>and</w:t>
      </w:r>
      <w:r w:rsidRPr="002E55DE">
        <w:t xml:space="preserve"> Dubowitz, T. (2020). </w:t>
      </w:r>
      <w:r w:rsidR="00F958E6" w:rsidRPr="00AD437E">
        <w:rPr>
          <w:rFonts w:ascii="Times New Roman" w:hAnsi="Times New Roman"/>
          <w:szCs w:val="24"/>
        </w:rPr>
        <w:t>Improved street walkability, incivilities, and esthetics are associated with greater park use in two low-income neighborhoods</w:t>
      </w:r>
      <w:r w:rsidRPr="002E55DE">
        <w:t xml:space="preserve">. </w:t>
      </w:r>
      <w:r w:rsidRPr="002E55DE">
        <w:rPr>
          <w:i/>
          <w:iCs/>
        </w:rPr>
        <w:t>Journal of Urban Health</w:t>
      </w:r>
      <w:r w:rsidRPr="002E55DE">
        <w:t xml:space="preserve">, </w:t>
      </w:r>
      <w:r w:rsidRPr="002E55DE">
        <w:rPr>
          <w:i/>
          <w:iCs/>
        </w:rPr>
        <w:t>97</w:t>
      </w:r>
      <w:r w:rsidRPr="002E55DE">
        <w:t>(2), 204–212. https://doi.org/10.1007/s11524-019-00416-7</w:t>
      </w:r>
    </w:p>
    <w:p w14:paraId="73B971DA" w14:textId="09CF5042" w:rsidR="00A254CC" w:rsidRPr="002E55DE" w:rsidRDefault="00A254CC" w:rsidP="00485D35">
      <w:pPr>
        <w:pStyle w:val="Bibliography"/>
        <w:spacing w:line="240" w:lineRule="auto"/>
        <w:ind w:left="540" w:hanging="540"/>
        <w:jc w:val="both"/>
      </w:pPr>
      <w:r w:rsidRPr="002E55DE">
        <w:t xml:space="preserve">Rigby, B. P., Dodd-Reynolds, C. J., </w:t>
      </w:r>
      <w:r w:rsidR="004918CE" w:rsidRPr="002E55DE">
        <w:t>and</w:t>
      </w:r>
      <w:r w:rsidRPr="002E55DE">
        <w:t xml:space="preserve"> Oliver, E. J. (2020). Inequities and inequalities in outdoor walking groups: A scoping review. </w:t>
      </w:r>
      <w:r w:rsidRPr="002E55DE">
        <w:rPr>
          <w:i/>
          <w:iCs/>
        </w:rPr>
        <w:t>Public Health Reviews</w:t>
      </w:r>
      <w:r w:rsidRPr="002E55DE">
        <w:t xml:space="preserve">, </w:t>
      </w:r>
      <w:r w:rsidRPr="002E55DE">
        <w:rPr>
          <w:i/>
          <w:iCs/>
        </w:rPr>
        <w:t>41</w:t>
      </w:r>
      <w:r w:rsidRPr="002E55DE">
        <w:t>(1), 4. https://doi.org/10.1186/s40985-020-00119-4</w:t>
      </w:r>
    </w:p>
    <w:p w14:paraId="2C51AEE2" w14:textId="7146A128" w:rsidR="00A254CC" w:rsidRPr="002E55DE" w:rsidRDefault="00A254CC" w:rsidP="00485D35">
      <w:pPr>
        <w:pStyle w:val="Bibliography"/>
        <w:spacing w:line="240" w:lineRule="auto"/>
        <w:ind w:left="540" w:hanging="540"/>
        <w:jc w:val="both"/>
      </w:pPr>
      <w:r w:rsidRPr="002E55DE">
        <w:lastRenderedPageBreak/>
        <w:t xml:space="preserve">Rišová, K., </w:t>
      </w:r>
      <w:r w:rsidR="004918CE" w:rsidRPr="002E55DE">
        <w:t>and</w:t>
      </w:r>
      <w:r w:rsidRPr="002E55DE">
        <w:t xml:space="preserve"> Sládeková Madajová, M. (2020). Gender differences in a walking environment safety perception: A case study in a small town of Banská Bystrica (Slovakia). </w:t>
      </w:r>
      <w:r w:rsidRPr="002E55DE">
        <w:rPr>
          <w:i/>
          <w:iCs/>
        </w:rPr>
        <w:t>Journal of Transport Geography</w:t>
      </w:r>
      <w:r w:rsidRPr="002E55DE">
        <w:t xml:space="preserve">, </w:t>
      </w:r>
      <w:r w:rsidRPr="002E55DE">
        <w:rPr>
          <w:i/>
          <w:iCs/>
        </w:rPr>
        <w:t>85</w:t>
      </w:r>
      <w:r w:rsidRPr="002E55DE">
        <w:t>, 102723. https://doi.org/10.1016/j.jtrangeo.2020.102723</w:t>
      </w:r>
    </w:p>
    <w:p w14:paraId="54AEE326" w14:textId="7370230D" w:rsidR="00A254CC" w:rsidRPr="002E55DE" w:rsidRDefault="00A254CC" w:rsidP="00485D35">
      <w:pPr>
        <w:pStyle w:val="Bibliography"/>
        <w:spacing w:line="240" w:lineRule="auto"/>
        <w:ind w:left="540" w:hanging="540"/>
        <w:jc w:val="both"/>
      </w:pPr>
      <w:r w:rsidRPr="002E55DE">
        <w:t xml:space="preserve">Rizka, M., Laksmi Ambardini, R., Adhi Virama, L. O., </w:t>
      </w:r>
      <w:r w:rsidR="004918CE" w:rsidRPr="002E55DE">
        <w:t>and</w:t>
      </w:r>
      <w:r w:rsidRPr="002E55DE">
        <w:t xml:space="preserve"> Yudhistira, D. (2022). </w:t>
      </w:r>
      <w:r w:rsidR="00F958E6" w:rsidRPr="00AD437E">
        <w:rPr>
          <w:rFonts w:ascii="Times New Roman" w:hAnsi="Times New Roman"/>
          <w:szCs w:val="24"/>
        </w:rPr>
        <w:t xml:space="preserve">The </w:t>
      </w:r>
      <w:r w:rsidR="00F958E6">
        <w:rPr>
          <w:rFonts w:ascii="Times New Roman" w:hAnsi="Times New Roman"/>
          <w:szCs w:val="24"/>
        </w:rPr>
        <w:t>e</w:t>
      </w:r>
      <w:r w:rsidR="00F958E6" w:rsidRPr="00AD437E">
        <w:rPr>
          <w:rFonts w:ascii="Times New Roman" w:hAnsi="Times New Roman"/>
          <w:szCs w:val="24"/>
        </w:rPr>
        <w:t>ffect of walking exercise on blood pressure and blood glucose in the elderly</w:t>
      </w:r>
      <w:r w:rsidRPr="002E55DE">
        <w:t xml:space="preserve">. </w:t>
      </w:r>
      <w:r w:rsidRPr="002E55DE">
        <w:rPr>
          <w:i/>
          <w:iCs/>
        </w:rPr>
        <w:t>International Journal of Kinesiology and Sports Science</w:t>
      </w:r>
      <w:r w:rsidRPr="002E55DE">
        <w:t xml:space="preserve">, </w:t>
      </w:r>
      <w:r w:rsidRPr="002E55DE">
        <w:rPr>
          <w:i/>
          <w:iCs/>
        </w:rPr>
        <w:t>10</w:t>
      </w:r>
      <w:r w:rsidRPr="002E55DE">
        <w:t>(1), 30–35. https://doi.org/10.7575/aiac.ijkss.v.10n.1p.30</w:t>
      </w:r>
    </w:p>
    <w:p w14:paraId="544D1AD8" w14:textId="745FEC49" w:rsidR="00A254CC" w:rsidRPr="002E55DE" w:rsidRDefault="00A254CC" w:rsidP="00485D35">
      <w:pPr>
        <w:pStyle w:val="Bibliography"/>
        <w:spacing w:line="240" w:lineRule="auto"/>
        <w:ind w:left="540" w:hanging="540"/>
        <w:jc w:val="both"/>
      </w:pPr>
      <w:r w:rsidRPr="002E55DE">
        <w:t xml:space="preserve">Rodrigue, L., El-Geneidy, A., </w:t>
      </w:r>
      <w:r w:rsidR="004918CE" w:rsidRPr="002E55DE">
        <w:t>and</w:t>
      </w:r>
      <w:r w:rsidRPr="002E55DE">
        <w:t xml:space="preserve"> Manaugh, K. (2024). Sociodemographic matters: Analyzing interactions of individuals’ characteristics with walkability when modelling walking behavior. </w:t>
      </w:r>
      <w:r w:rsidRPr="002E55DE">
        <w:rPr>
          <w:i/>
          <w:iCs/>
        </w:rPr>
        <w:t>Journal of Transport Geography</w:t>
      </w:r>
      <w:r w:rsidRPr="002E55DE">
        <w:t xml:space="preserve">, </w:t>
      </w:r>
      <w:r w:rsidRPr="002E55DE">
        <w:rPr>
          <w:i/>
          <w:iCs/>
        </w:rPr>
        <w:t>114</w:t>
      </w:r>
      <w:r w:rsidRPr="002E55DE">
        <w:t>, 103788. https://doi.org/10.1016/j.jtrangeo.2023.103788</w:t>
      </w:r>
    </w:p>
    <w:p w14:paraId="2D0BBBD8" w14:textId="1BEA62B3" w:rsidR="00A254CC" w:rsidRPr="002E55DE" w:rsidRDefault="00A254CC" w:rsidP="00485D35">
      <w:pPr>
        <w:pStyle w:val="Bibliography"/>
        <w:spacing w:line="240" w:lineRule="auto"/>
        <w:ind w:left="540" w:hanging="540"/>
        <w:jc w:val="both"/>
      </w:pPr>
      <w:r w:rsidRPr="002E55DE">
        <w:t xml:space="preserve">Roe, J., Mondschein, A., Neale, C., Barnes, L., Boukhechba, M., </w:t>
      </w:r>
      <w:r w:rsidR="004918CE" w:rsidRPr="002E55DE">
        <w:t>and</w:t>
      </w:r>
      <w:r w:rsidRPr="002E55DE">
        <w:t xml:space="preserve"> Lopez, S. (2020). </w:t>
      </w:r>
      <w:r w:rsidR="00F958E6" w:rsidRPr="00AD437E">
        <w:rPr>
          <w:rFonts w:ascii="Times New Roman" w:hAnsi="Times New Roman"/>
          <w:szCs w:val="24"/>
        </w:rPr>
        <w:t>The urban built environment, walking and mental health outcomes among older adults: A pilot study</w:t>
      </w:r>
      <w:r w:rsidRPr="002E55DE">
        <w:t xml:space="preserve">. </w:t>
      </w:r>
      <w:r w:rsidRPr="002E55DE">
        <w:rPr>
          <w:i/>
          <w:iCs/>
        </w:rPr>
        <w:t>Frontiers in Public Health</w:t>
      </w:r>
      <w:r w:rsidRPr="002E55DE">
        <w:t xml:space="preserve">, </w:t>
      </w:r>
      <w:r w:rsidRPr="002E55DE">
        <w:rPr>
          <w:i/>
          <w:iCs/>
        </w:rPr>
        <w:t>8</w:t>
      </w:r>
      <w:r w:rsidRPr="002E55DE">
        <w:t>, 575946. https://doi.org/10.3389/fpubh.2020.575946</w:t>
      </w:r>
    </w:p>
    <w:p w14:paraId="36320C1C" w14:textId="40A8D956" w:rsidR="00A254CC" w:rsidRPr="002E55DE" w:rsidRDefault="00A254CC" w:rsidP="00485D35">
      <w:pPr>
        <w:pStyle w:val="Bibliography"/>
        <w:spacing w:line="240" w:lineRule="auto"/>
        <w:ind w:left="540" w:hanging="540"/>
        <w:jc w:val="both"/>
      </w:pPr>
      <w:r w:rsidRPr="002E55DE">
        <w:t xml:space="preserve">Rothman, L., Buliung, R., Howard, A., Macarthur, C., </w:t>
      </w:r>
      <w:r w:rsidR="004918CE" w:rsidRPr="002E55DE">
        <w:t>and</w:t>
      </w:r>
      <w:r w:rsidRPr="002E55DE">
        <w:t xml:space="preserve"> Macpherson, A. (2017). The school environment and student car drop-off at elementary schools. </w:t>
      </w:r>
      <w:r w:rsidRPr="002E55DE">
        <w:rPr>
          <w:i/>
          <w:iCs/>
        </w:rPr>
        <w:t>Travel Behaviour and Society</w:t>
      </w:r>
      <w:r w:rsidRPr="002E55DE">
        <w:t xml:space="preserve">, </w:t>
      </w:r>
      <w:r w:rsidRPr="002E55DE">
        <w:rPr>
          <w:i/>
          <w:iCs/>
        </w:rPr>
        <w:t>9</w:t>
      </w:r>
      <w:r w:rsidRPr="002E55DE">
        <w:t>, 50–57. https://doi.org/10.1016/j.tbs.2017.03.001</w:t>
      </w:r>
    </w:p>
    <w:p w14:paraId="39076251" w14:textId="28A69767" w:rsidR="00A254CC" w:rsidRPr="002E55DE" w:rsidRDefault="00A254CC" w:rsidP="00485D35">
      <w:pPr>
        <w:pStyle w:val="Bibliography"/>
        <w:spacing w:line="240" w:lineRule="auto"/>
        <w:ind w:left="540" w:hanging="540"/>
        <w:jc w:val="both"/>
      </w:pPr>
      <w:r w:rsidRPr="002E55DE">
        <w:t xml:space="preserve">Rothman, L., Ling, R., Hagel, B. E., Macarthur, C., Macpherson, A. K., Buliung, R., Fuselli, P., </w:t>
      </w:r>
      <w:r w:rsidR="004918CE" w:rsidRPr="002E55DE">
        <w:t>and</w:t>
      </w:r>
      <w:r w:rsidRPr="002E55DE">
        <w:t xml:space="preserve"> Howard, A. W. (2022). Pilot study to evaluate school safety zone built environment interventions. </w:t>
      </w:r>
      <w:r w:rsidRPr="002E55DE">
        <w:rPr>
          <w:i/>
          <w:iCs/>
        </w:rPr>
        <w:t>Injury Prevention</w:t>
      </w:r>
      <w:r w:rsidRPr="002E55DE">
        <w:t xml:space="preserve">, </w:t>
      </w:r>
      <w:r w:rsidRPr="002E55DE">
        <w:rPr>
          <w:i/>
          <w:iCs/>
        </w:rPr>
        <w:t>28</w:t>
      </w:r>
      <w:r w:rsidRPr="002E55DE">
        <w:t>(3), 243–248. https://doi.org/10.1136/injuryprev-2021-044299</w:t>
      </w:r>
    </w:p>
    <w:p w14:paraId="6B539697" w14:textId="1A0B181F" w:rsidR="00A254CC" w:rsidRPr="002E55DE" w:rsidRDefault="00A254CC" w:rsidP="00485D35">
      <w:pPr>
        <w:pStyle w:val="Bibliography"/>
        <w:spacing w:line="240" w:lineRule="auto"/>
        <w:ind w:left="540" w:hanging="540"/>
        <w:jc w:val="both"/>
      </w:pPr>
      <w:r w:rsidRPr="002E55DE">
        <w:t xml:space="preserve">Sallis, J. F., Owen, N., Fisher, E., </w:t>
      </w:r>
      <w:r w:rsidR="004918CE" w:rsidRPr="002E55DE">
        <w:t>and</w:t>
      </w:r>
      <w:r w:rsidRPr="002E55DE">
        <w:t xml:space="preserve"> others. (2015). Ecological models of health behavior. </w:t>
      </w:r>
      <w:r w:rsidRPr="002E55DE">
        <w:rPr>
          <w:i/>
          <w:iCs/>
        </w:rPr>
        <w:t>Health Behavior: Theory, Research, and Practice</w:t>
      </w:r>
      <w:r w:rsidRPr="002E55DE">
        <w:t xml:space="preserve">, </w:t>
      </w:r>
      <w:r w:rsidRPr="002E55DE">
        <w:rPr>
          <w:i/>
          <w:iCs/>
        </w:rPr>
        <w:t>5</w:t>
      </w:r>
      <w:r w:rsidRPr="002E55DE">
        <w:t>(43–64).</w:t>
      </w:r>
    </w:p>
    <w:p w14:paraId="00C4FE8B" w14:textId="1107BC69" w:rsidR="00A254CC" w:rsidRPr="002E55DE" w:rsidRDefault="00A254CC" w:rsidP="00485D35">
      <w:pPr>
        <w:pStyle w:val="Bibliography"/>
        <w:spacing w:line="240" w:lineRule="auto"/>
        <w:ind w:left="540" w:hanging="540"/>
        <w:jc w:val="both"/>
      </w:pPr>
      <w:r w:rsidRPr="002E55DE">
        <w:t xml:space="preserve">Sallis, J. F., Slymen, D. J., Conway, T. L., Frank, L. D., Saelens, B. E., Cain, K., </w:t>
      </w:r>
      <w:r w:rsidR="004918CE" w:rsidRPr="002E55DE">
        <w:t>and</w:t>
      </w:r>
      <w:r w:rsidRPr="002E55DE">
        <w:t xml:space="preserve"> Chapman, J. E. (2011). Income disparities in perceived neighborhood built and social environment attributes. </w:t>
      </w:r>
      <w:r w:rsidRPr="002E55DE">
        <w:rPr>
          <w:i/>
          <w:iCs/>
        </w:rPr>
        <w:t xml:space="preserve">Health </w:t>
      </w:r>
      <w:r w:rsidR="004918CE" w:rsidRPr="002E55DE">
        <w:rPr>
          <w:i/>
          <w:iCs/>
        </w:rPr>
        <w:t>and</w:t>
      </w:r>
      <w:r w:rsidRPr="002E55DE">
        <w:rPr>
          <w:i/>
          <w:iCs/>
        </w:rPr>
        <w:t xml:space="preserve"> Place</w:t>
      </w:r>
      <w:r w:rsidRPr="002E55DE">
        <w:t xml:space="preserve">, </w:t>
      </w:r>
      <w:r w:rsidRPr="002E55DE">
        <w:rPr>
          <w:i/>
          <w:iCs/>
        </w:rPr>
        <w:t>17</w:t>
      </w:r>
      <w:r w:rsidRPr="002E55DE">
        <w:t>(6), Article 6. https://doi.org/10.1016/j.healthplace.2011.02.006</w:t>
      </w:r>
    </w:p>
    <w:p w14:paraId="2065CC53" w14:textId="70D3C00A" w:rsidR="00A254CC" w:rsidRPr="002E55DE" w:rsidRDefault="00A254CC" w:rsidP="00485D35">
      <w:pPr>
        <w:pStyle w:val="Bibliography"/>
        <w:spacing w:line="240" w:lineRule="auto"/>
        <w:ind w:left="540" w:hanging="540"/>
        <w:jc w:val="both"/>
      </w:pPr>
      <w:r w:rsidRPr="002E55DE">
        <w:t xml:space="preserve">Samerei, S. A., Aghabayk, K., Shiwakoti, N., </w:t>
      </w:r>
      <w:r w:rsidR="004918CE" w:rsidRPr="002E55DE">
        <w:t>and</w:t>
      </w:r>
      <w:r w:rsidRPr="002E55DE">
        <w:t xml:space="preserve"> Karimi, S. (2021). Modelling bus-pedestrian crash severity in the state of Victoria, Australia. </w:t>
      </w:r>
      <w:r w:rsidRPr="002E55DE">
        <w:rPr>
          <w:i/>
          <w:iCs/>
        </w:rPr>
        <w:t>International Journal of Injury Control and Safety Promotion</w:t>
      </w:r>
      <w:r w:rsidRPr="002E55DE">
        <w:t xml:space="preserve">, </w:t>
      </w:r>
      <w:r w:rsidRPr="002E55DE">
        <w:rPr>
          <w:i/>
          <w:iCs/>
        </w:rPr>
        <w:t>28</w:t>
      </w:r>
      <w:r w:rsidRPr="002E55DE">
        <w:t>(2), 233–242. https://doi.org/10.1080/17457300.2021.1907597</w:t>
      </w:r>
    </w:p>
    <w:p w14:paraId="7C5C5DF9" w14:textId="067B2CCF" w:rsidR="00A254CC" w:rsidRPr="002E55DE" w:rsidRDefault="00A254CC" w:rsidP="00485D35">
      <w:pPr>
        <w:pStyle w:val="Bibliography"/>
        <w:spacing w:line="240" w:lineRule="auto"/>
        <w:ind w:left="540" w:hanging="540"/>
        <w:jc w:val="both"/>
      </w:pPr>
      <w:r w:rsidRPr="002E55DE">
        <w:t xml:space="preserve">Sehatzadeh, B., Noland, R. B., </w:t>
      </w:r>
      <w:r w:rsidR="004918CE" w:rsidRPr="002E55DE">
        <w:t>and</w:t>
      </w:r>
      <w:r w:rsidRPr="002E55DE">
        <w:t xml:space="preserve"> Weiner, M. D. (2011). Walking frequency, cars, dogs, and the built environment. </w:t>
      </w:r>
      <w:r w:rsidRPr="002E55DE">
        <w:rPr>
          <w:i/>
          <w:iCs/>
        </w:rPr>
        <w:t>Transportation Research Part A: Policy and Practice</w:t>
      </w:r>
      <w:r w:rsidRPr="002E55DE">
        <w:t xml:space="preserve">, </w:t>
      </w:r>
      <w:r w:rsidRPr="002E55DE">
        <w:rPr>
          <w:i/>
          <w:iCs/>
        </w:rPr>
        <w:t>45</w:t>
      </w:r>
      <w:r w:rsidRPr="002E55DE">
        <w:t>(8), Article 8. https://doi.org/10.1016/j.tra.2011.06.001</w:t>
      </w:r>
    </w:p>
    <w:p w14:paraId="7E8E0C48" w14:textId="3E72A757" w:rsidR="00A254CC" w:rsidRPr="002E55DE" w:rsidRDefault="00A254CC" w:rsidP="00485D35">
      <w:pPr>
        <w:pStyle w:val="Bibliography"/>
        <w:spacing w:line="240" w:lineRule="auto"/>
        <w:ind w:left="540" w:hanging="540"/>
        <w:jc w:val="both"/>
      </w:pPr>
      <w:r w:rsidRPr="002E55DE">
        <w:t xml:space="preserve">Sheldon, P., Antony, M. G., </w:t>
      </w:r>
      <w:r w:rsidR="004918CE" w:rsidRPr="002E55DE">
        <w:t>and</w:t>
      </w:r>
      <w:r w:rsidRPr="002E55DE">
        <w:t xml:space="preserve"> Ware, L. J. (2021). Baby Boomers’ use of Facebook and Instagram: Uses and gratifications theory and contextual age indicators. </w:t>
      </w:r>
      <w:r w:rsidRPr="002E55DE">
        <w:rPr>
          <w:i/>
          <w:iCs/>
        </w:rPr>
        <w:t>Heliyon</w:t>
      </w:r>
      <w:r w:rsidRPr="002E55DE">
        <w:t xml:space="preserve">, </w:t>
      </w:r>
      <w:r w:rsidRPr="002E55DE">
        <w:rPr>
          <w:i/>
          <w:iCs/>
        </w:rPr>
        <w:t>7</w:t>
      </w:r>
      <w:r w:rsidRPr="002E55DE">
        <w:t>(4), e06670. https://doi.org/10.1016/j.heliyon.2021.e06670</w:t>
      </w:r>
    </w:p>
    <w:p w14:paraId="2A7A2144" w14:textId="589F3B25" w:rsidR="00A254CC" w:rsidRPr="002E55DE" w:rsidRDefault="00A254CC" w:rsidP="00485D35">
      <w:pPr>
        <w:pStyle w:val="Bibliography"/>
        <w:spacing w:line="240" w:lineRule="auto"/>
        <w:ind w:left="540" w:hanging="540"/>
        <w:jc w:val="both"/>
      </w:pPr>
      <w:r w:rsidRPr="002E55DE">
        <w:t xml:space="preserve">Sithichoksakulchai, S., Chen, M.-C., </w:t>
      </w:r>
      <w:r w:rsidR="004918CE" w:rsidRPr="002E55DE">
        <w:t>and</w:t>
      </w:r>
      <w:r w:rsidRPr="002E55DE">
        <w:t xml:space="preserve"> Chen, K.-M. (2022). </w:t>
      </w:r>
      <w:r w:rsidR="00F958E6" w:rsidRPr="00AD437E">
        <w:rPr>
          <w:rFonts w:ascii="Times New Roman" w:hAnsi="Times New Roman"/>
          <w:szCs w:val="24"/>
        </w:rPr>
        <w:t>Walking promotes physical fitness of community-dwelling older adults: A systematic review and meta-analysis</w:t>
      </w:r>
      <w:r w:rsidRPr="002E55DE">
        <w:t xml:space="preserve">. </w:t>
      </w:r>
      <w:r w:rsidRPr="002E55DE">
        <w:rPr>
          <w:i/>
          <w:iCs/>
        </w:rPr>
        <w:t>Topics in Geriatric Rehabilitation</w:t>
      </w:r>
      <w:r w:rsidRPr="002E55DE">
        <w:t xml:space="preserve">, </w:t>
      </w:r>
      <w:r w:rsidRPr="002E55DE">
        <w:rPr>
          <w:i/>
          <w:iCs/>
        </w:rPr>
        <w:t>38</w:t>
      </w:r>
      <w:r w:rsidRPr="002E55DE">
        <w:t>(2), 101–109. https://doi.org/10.1097/TGR.0000000000000351</w:t>
      </w:r>
    </w:p>
    <w:p w14:paraId="2A5AF1F7" w14:textId="0E65812C" w:rsidR="00A254CC" w:rsidRPr="002E55DE" w:rsidRDefault="00A254CC" w:rsidP="00485D35">
      <w:pPr>
        <w:pStyle w:val="Bibliography"/>
        <w:spacing w:line="240" w:lineRule="auto"/>
        <w:ind w:left="540" w:hanging="540"/>
        <w:jc w:val="both"/>
      </w:pPr>
      <w:r w:rsidRPr="002E55DE">
        <w:t xml:space="preserve">Solon, G., Haider, S. J., </w:t>
      </w:r>
      <w:r w:rsidR="004918CE" w:rsidRPr="002E55DE">
        <w:t>and</w:t>
      </w:r>
      <w:r w:rsidRPr="002E55DE">
        <w:t xml:space="preserve"> Wooldridge, J. M. (2015). What are we weighting for? </w:t>
      </w:r>
      <w:r w:rsidRPr="002E55DE">
        <w:rPr>
          <w:i/>
          <w:iCs/>
        </w:rPr>
        <w:t>Journal of Human Resources</w:t>
      </w:r>
      <w:r w:rsidRPr="002E55DE">
        <w:t xml:space="preserve">, </w:t>
      </w:r>
      <w:r w:rsidRPr="002E55DE">
        <w:rPr>
          <w:i/>
          <w:iCs/>
        </w:rPr>
        <w:t>50</w:t>
      </w:r>
      <w:r w:rsidRPr="002E55DE">
        <w:t>(2), 301–316.</w:t>
      </w:r>
    </w:p>
    <w:p w14:paraId="7E015669" w14:textId="3B9589CF" w:rsidR="00A254CC" w:rsidRPr="002E55DE" w:rsidRDefault="00A254CC" w:rsidP="00485D35">
      <w:pPr>
        <w:pStyle w:val="Bibliography"/>
        <w:spacing w:line="240" w:lineRule="auto"/>
        <w:ind w:left="540" w:hanging="540"/>
        <w:jc w:val="both"/>
      </w:pPr>
      <w:r w:rsidRPr="002E55DE">
        <w:t xml:space="preserve">Spiteri, K., Broom, D., Hassan Bekhet, A., Xerri De Caro, J., Laventure, B., </w:t>
      </w:r>
      <w:r w:rsidR="004918CE" w:rsidRPr="002E55DE">
        <w:t>and</w:t>
      </w:r>
      <w:r w:rsidRPr="002E55DE">
        <w:t xml:space="preserve"> Grafton, K. (2019). </w:t>
      </w:r>
      <w:r w:rsidR="00F958E6" w:rsidRPr="00AD437E">
        <w:rPr>
          <w:rFonts w:ascii="Times New Roman" w:hAnsi="Times New Roman"/>
          <w:szCs w:val="24"/>
        </w:rPr>
        <w:t>Barriers and motivators of physical activity participation in middle-aged and older adults—A systematic review</w:t>
      </w:r>
      <w:r w:rsidRPr="002E55DE">
        <w:t xml:space="preserve">. </w:t>
      </w:r>
      <w:r w:rsidRPr="002E55DE">
        <w:rPr>
          <w:i/>
          <w:iCs/>
        </w:rPr>
        <w:t>Journal of Aging and Physical Activity</w:t>
      </w:r>
      <w:r w:rsidRPr="002E55DE">
        <w:t xml:space="preserve">, </w:t>
      </w:r>
      <w:r w:rsidRPr="002E55DE">
        <w:rPr>
          <w:i/>
          <w:iCs/>
        </w:rPr>
        <w:t>27</w:t>
      </w:r>
      <w:r w:rsidRPr="002E55DE">
        <w:t>(6), 929–944. https://doi.org/10.1123/japa.2018-0343</w:t>
      </w:r>
    </w:p>
    <w:p w14:paraId="145CF781" w14:textId="4C319B6E" w:rsidR="00A254CC" w:rsidRPr="002E55DE" w:rsidRDefault="00A254CC" w:rsidP="00485D35">
      <w:pPr>
        <w:pStyle w:val="Bibliography"/>
        <w:spacing w:line="240" w:lineRule="auto"/>
        <w:ind w:left="540" w:hanging="540"/>
        <w:jc w:val="both"/>
      </w:pPr>
      <w:r w:rsidRPr="002E55DE">
        <w:lastRenderedPageBreak/>
        <w:t xml:space="preserve">Stalsberg, R., </w:t>
      </w:r>
      <w:r w:rsidR="004918CE" w:rsidRPr="002E55DE">
        <w:t>and</w:t>
      </w:r>
      <w:r w:rsidRPr="002E55DE">
        <w:t xml:space="preserve"> Pedersen, A. (2018). </w:t>
      </w:r>
      <w:r w:rsidR="00F958E6" w:rsidRPr="00AD437E">
        <w:rPr>
          <w:rFonts w:ascii="Times New Roman" w:hAnsi="Times New Roman"/>
          <w:szCs w:val="24"/>
        </w:rPr>
        <w:t>Are differences in physical activity across socioeconomic groups associated with choice of physical activity variables to report</w:t>
      </w:r>
      <w:r w:rsidRPr="002E55DE">
        <w:t xml:space="preserve">? </w:t>
      </w:r>
      <w:r w:rsidRPr="002E55DE">
        <w:rPr>
          <w:i/>
          <w:iCs/>
        </w:rPr>
        <w:t>International Journal of Environmental Research and Public Health</w:t>
      </w:r>
      <w:r w:rsidRPr="002E55DE">
        <w:t xml:space="preserve">, </w:t>
      </w:r>
      <w:r w:rsidRPr="002E55DE">
        <w:rPr>
          <w:i/>
          <w:iCs/>
        </w:rPr>
        <w:t>15</w:t>
      </w:r>
      <w:r w:rsidRPr="002E55DE">
        <w:t>(5), 922. https://doi.org/10.3390/ijerph15050922</w:t>
      </w:r>
    </w:p>
    <w:p w14:paraId="4D8FBEFE" w14:textId="77777777" w:rsidR="00A254CC" w:rsidRPr="002E55DE" w:rsidRDefault="00A254CC" w:rsidP="00485D35">
      <w:pPr>
        <w:pStyle w:val="Bibliography"/>
        <w:spacing w:line="240" w:lineRule="auto"/>
        <w:ind w:left="540" w:hanging="540"/>
        <w:jc w:val="both"/>
      </w:pPr>
      <w:r w:rsidRPr="002E55DE">
        <w:t xml:space="preserve">Thigpen, C. (2019). Measurement validity of retrospective survey questions of bicycling use, attitude, and skill. </w:t>
      </w:r>
      <w:r w:rsidRPr="002E55DE">
        <w:rPr>
          <w:i/>
          <w:iCs/>
        </w:rPr>
        <w:t>Transportation Research Part F: Traffic Psychology and Behaviour</w:t>
      </w:r>
      <w:r w:rsidRPr="002E55DE">
        <w:t xml:space="preserve">, </w:t>
      </w:r>
      <w:r w:rsidRPr="002E55DE">
        <w:rPr>
          <w:i/>
          <w:iCs/>
        </w:rPr>
        <w:t>60</w:t>
      </w:r>
      <w:r w:rsidRPr="002E55DE">
        <w:t>, 453–461. https://doi.org/10.1016/j.trf.2018.11.002</w:t>
      </w:r>
    </w:p>
    <w:p w14:paraId="1E9EF9C8" w14:textId="0AD37A41" w:rsidR="00A254CC" w:rsidRPr="002E55DE" w:rsidRDefault="00A254CC" w:rsidP="00485D35">
      <w:pPr>
        <w:pStyle w:val="Bibliography"/>
        <w:spacing w:line="240" w:lineRule="auto"/>
        <w:ind w:left="540" w:hanging="540"/>
        <w:jc w:val="both"/>
      </w:pPr>
      <w:r w:rsidRPr="002E55DE">
        <w:t xml:space="preserve">Thornton, C. M., Kerr, J., Conway, T. L., Saelens, B. E., Sallis, J. F., Ahn, D. K., Frank, L. D., Cain, K. L., </w:t>
      </w:r>
      <w:r w:rsidR="004918CE" w:rsidRPr="002E55DE">
        <w:t>and</w:t>
      </w:r>
      <w:r w:rsidRPr="002E55DE">
        <w:t xml:space="preserve"> King, A. C. (2017). </w:t>
      </w:r>
      <w:r w:rsidR="00F958E6" w:rsidRPr="00AD437E">
        <w:rPr>
          <w:rFonts w:ascii="Times New Roman" w:hAnsi="Times New Roman"/>
          <w:szCs w:val="24"/>
        </w:rPr>
        <w:t>Physical activity in older adults: An ecological approach</w:t>
      </w:r>
      <w:r w:rsidRPr="002E55DE">
        <w:t xml:space="preserve">. </w:t>
      </w:r>
      <w:r w:rsidRPr="002E55DE">
        <w:rPr>
          <w:i/>
          <w:iCs/>
        </w:rPr>
        <w:t>Annals of Behavioral Medicine</w:t>
      </w:r>
      <w:r w:rsidRPr="002E55DE">
        <w:t xml:space="preserve">, </w:t>
      </w:r>
      <w:r w:rsidRPr="002E55DE">
        <w:rPr>
          <w:i/>
          <w:iCs/>
        </w:rPr>
        <w:t>51</w:t>
      </w:r>
      <w:r w:rsidRPr="002E55DE">
        <w:t>(2), 159–169.</w:t>
      </w:r>
      <w:r w:rsidR="00F958E6">
        <w:t xml:space="preserve"> </w:t>
      </w:r>
      <w:r w:rsidRPr="002E55DE">
        <w:t>https://doi.org/10.1007/s12160-016-9837-1</w:t>
      </w:r>
    </w:p>
    <w:p w14:paraId="53E12986" w14:textId="1D46A1A6" w:rsidR="00A254CC" w:rsidRPr="002E55DE" w:rsidRDefault="00A254CC" w:rsidP="00485D35">
      <w:pPr>
        <w:pStyle w:val="Bibliography"/>
        <w:spacing w:line="240" w:lineRule="auto"/>
        <w:ind w:left="540" w:hanging="540"/>
        <w:jc w:val="both"/>
      </w:pPr>
      <w:r w:rsidRPr="002E55DE">
        <w:t xml:space="preserve">Umpierre, D., Ribeiro, P. A. B., Schaan, B. D., </w:t>
      </w:r>
      <w:r w:rsidR="004918CE" w:rsidRPr="002E55DE">
        <w:t>and</w:t>
      </w:r>
      <w:r w:rsidRPr="002E55DE">
        <w:t xml:space="preserve"> Ribeiro, J. P. (2013). Volume of supervised exercise training impacts glycaemic control in patients with type 2 diabetes: A systematic review with meta-regression analysis. </w:t>
      </w:r>
      <w:r w:rsidRPr="002E55DE">
        <w:rPr>
          <w:i/>
          <w:iCs/>
        </w:rPr>
        <w:t>Diabetologia</w:t>
      </w:r>
      <w:r w:rsidRPr="002E55DE">
        <w:t xml:space="preserve">, </w:t>
      </w:r>
      <w:r w:rsidRPr="002E55DE">
        <w:rPr>
          <w:i/>
          <w:iCs/>
        </w:rPr>
        <w:t>56</w:t>
      </w:r>
      <w:r w:rsidRPr="002E55DE">
        <w:t>(2), 242–251. https://doi.org/10.1007/s00125-012-2774-z</w:t>
      </w:r>
    </w:p>
    <w:p w14:paraId="0002D88B" w14:textId="77777777" w:rsidR="00A254CC" w:rsidRPr="002E55DE" w:rsidRDefault="00A254CC" w:rsidP="00485D35">
      <w:pPr>
        <w:pStyle w:val="Bibliography"/>
        <w:spacing w:line="240" w:lineRule="auto"/>
        <w:ind w:left="540" w:hanging="540"/>
        <w:jc w:val="both"/>
      </w:pPr>
      <w:r w:rsidRPr="002E55DE">
        <w:t xml:space="preserve">U.S. Department of Health and Human Services. (2018). </w:t>
      </w:r>
      <w:r w:rsidRPr="002E55DE">
        <w:rPr>
          <w:i/>
          <w:iCs/>
        </w:rPr>
        <w:t>Physical Activity Guidelines for Americans, 2nd edition</w:t>
      </w:r>
      <w:r w:rsidRPr="002E55DE">
        <w:t>.</w:t>
      </w:r>
    </w:p>
    <w:p w14:paraId="0839FE54" w14:textId="6D6DF5CA" w:rsidR="00A254CC" w:rsidRPr="002E55DE" w:rsidRDefault="00A254CC" w:rsidP="00485D35">
      <w:pPr>
        <w:pStyle w:val="Bibliography"/>
        <w:spacing w:line="240" w:lineRule="auto"/>
        <w:ind w:left="540" w:hanging="540"/>
        <w:jc w:val="both"/>
      </w:pPr>
      <w:r w:rsidRPr="002E55DE">
        <w:t xml:space="preserve">Valenti, G., Bonomi, A. G., </w:t>
      </w:r>
      <w:r w:rsidR="004918CE" w:rsidRPr="002E55DE">
        <w:t>and</w:t>
      </w:r>
      <w:r w:rsidRPr="002E55DE">
        <w:t xml:space="preserve"> Westerterp, K. R. (2016). </w:t>
      </w:r>
      <w:r w:rsidR="00F958E6" w:rsidRPr="00AD437E">
        <w:rPr>
          <w:rFonts w:ascii="Times New Roman" w:hAnsi="Times New Roman"/>
          <w:szCs w:val="24"/>
        </w:rPr>
        <w:t>Walking as a contributor to physical activity in healthy older adults: 2 week longitudinal study using accelerometry and the doubly labeled water method</w:t>
      </w:r>
      <w:r w:rsidRPr="002E55DE">
        <w:t xml:space="preserve">. </w:t>
      </w:r>
      <w:r w:rsidRPr="002E55DE">
        <w:rPr>
          <w:i/>
          <w:iCs/>
        </w:rPr>
        <w:t>JMIR mHealth and uHealth</w:t>
      </w:r>
      <w:r w:rsidRPr="002E55DE">
        <w:t xml:space="preserve">, </w:t>
      </w:r>
      <w:r w:rsidRPr="002E55DE">
        <w:rPr>
          <w:i/>
          <w:iCs/>
        </w:rPr>
        <w:t>4</w:t>
      </w:r>
      <w:r w:rsidRPr="002E55DE">
        <w:t>(2), e56. https://doi.org/10.2196/mhealth.5445</w:t>
      </w:r>
    </w:p>
    <w:p w14:paraId="33DE87FA" w14:textId="4F2D9536" w:rsidR="00A254CC" w:rsidRPr="002E55DE" w:rsidRDefault="00A254CC" w:rsidP="00485D35">
      <w:pPr>
        <w:pStyle w:val="Bibliography"/>
        <w:spacing w:line="240" w:lineRule="auto"/>
        <w:ind w:left="540" w:hanging="540"/>
        <w:jc w:val="both"/>
      </w:pPr>
      <w:r w:rsidRPr="002E55DE">
        <w:t xml:space="preserve">Van Acker, V., Mokhtarian, P. L., </w:t>
      </w:r>
      <w:r w:rsidR="004918CE" w:rsidRPr="002E55DE">
        <w:t>and</w:t>
      </w:r>
      <w:r w:rsidRPr="002E55DE">
        <w:t xml:space="preserve"> Witlox, F. (2014). Car availability explained by the structural relationships between lifestyles, residential location, and underlying residential and travel attitudes. </w:t>
      </w:r>
      <w:r w:rsidRPr="002E55DE">
        <w:rPr>
          <w:i/>
          <w:iCs/>
        </w:rPr>
        <w:t>Transport Policy</w:t>
      </w:r>
      <w:r w:rsidRPr="002E55DE">
        <w:t xml:space="preserve">, </w:t>
      </w:r>
      <w:r w:rsidRPr="002E55DE">
        <w:rPr>
          <w:i/>
          <w:iCs/>
        </w:rPr>
        <w:t>35</w:t>
      </w:r>
      <w:r w:rsidRPr="002E55DE">
        <w:t>, 88–99. https://doi.org/10.1016/j.tranpol.2014.05.006</w:t>
      </w:r>
    </w:p>
    <w:p w14:paraId="7B13509D" w14:textId="77777777" w:rsidR="00A254CC" w:rsidRPr="002E55DE" w:rsidRDefault="00A254CC" w:rsidP="00485D35">
      <w:pPr>
        <w:pStyle w:val="Bibliography"/>
        <w:spacing w:line="240" w:lineRule="auto"/>
        <w:ind w:left="540" w:hanging="540"/>
        <w:jc w:val="both"/>
      </w:pPr>
      <w:r w:rsidRPr="002E55DE">
        <w:t xml:space="preserve">Van Der Meer, M. J. (2008). The sociospatial diversity in the leisure activities of older people in the Netherlands. </w:t>
      </w:r>
      <w:r w:rsidRPr="002E55DE">
        <w:rPr>
          <w:i/>
          <w:iCs/>
        </w:rPr>
        <w:t>Journal of Aging Studies</w:t>
      </w:r>
      <w:r w:rsidRPr="002E55DE">
        <w:t xml:space="preserve">, </w:t>
      </w:r>
      <w:r w:rsidRPr="002E55DE">
        <w:rPr>
          <w:i/>
          <w:iCs/>
        </w:rPr>
        <w:t>22</w:t>
      </w:r>
      <w:r w:rsidRPr="002E55DE">
        <w:t>(1), 1–12. https://doi.org/10.1016/j.jaging.2007.02.001</w:t>
      </w:r>
    </w:p>
    <w:p w14:paraId="2F08931E" w14:textId="22C21887" w:rsidR="00A254CC" w:rsidRPr="002E55DE" w:rsidRDefault="00A254CC" w:rsidP="00485D35">
      <w:pPr>
        <w:pStyle w:val="Bibliography"/>
        <w:spacing w:line="240" w:lineRule="auto"/>
        <w:ind w:left="540" w:hanging="540"/>
        <w:jc w:val="both"/>
      </w:pPr>
      <w:r w:rsidRPr="002E55DE">
        <w:t xml:space="preserve">Van Uffelen, J. G. Z., Khan, A., </w:t>
      </w:r>
      <w:r w:rsidR="004918CE" w:rsidRPr="002E55DE">
        <w:t>and</w:t>
      </w:r>
      <w:r w:rsidRPr="002E55DE">
        <w:t xml:space="preserve"> Burton, N. W. (2017). Gender differences in physical activity motivators and context preferences: A population-based study in people in their sixties. </w:t>
      </w:r>
      <w:r w:rsidRPr="002E55DE">
        <w:rPr>
          <w:i/>
          <w:iCs/>
        </w:rPr>
        <w:t>BMC Public Health</w:t>
      </w:r>
      <w:r w:rsidRPr="002E55DE">
        <w:t xml:space="preserve">, </w:t>
      </w:r>
      <w:r w:rsidRPr="002E55DE">
        <w:rPr>
          <w:i/>
          <w:iCs/>
        </w:rPr>
        <w:t>17</w:t>
      </w:r>
      <w:r w:rsidRPr="002E55DE">
        <w:t>(1), Article 1. https://doi.org/10.1186/s12889-017-4540-0</w:t>
      </w:r>
    </w:p>
    <w:p w14:paraId="7700B7F1" w14:textId="0A6FD770" w:rsidR="00A254CC" w:rsidRPr="002E55DE" w:rsidRDefault="00A254CC" w:rsidP="00485D35">
      <w:pPr>
        <w:pStyle w:val="Bibliography"/>
        <w:spacing w:line="240" w:lineRule="auto"/>
        <w:ind w:left="540" w:hanging="540"/>
        <w:jc w:val="both"/>
      </w:pPr>
      <w:r w:rsidRPr="002E55DE">
        <w:t xml:space="preserve">Van Wee, B. (2009). </w:t>
      </w:r>
      <w:r w:rsidR="00F958E6" w:rsidRPr="00AD437E">
        <w:rPr>
          <w:rFonts w:ascii="Times New Roman" w:hAnsi="Times New Roman"/>
          <w:szCs w:val="24"/>
        </w:rPr>
        <w:t>Self‐selection: A key to a better understanding of location choices, travel behaviour and transport externalities</w:t>
      </w:r>
      <w:r w:rsidRPr="002E55DE">
        <w:t xml:space="preserve">? </w:t>
      </w:r>
      <w:r w:rsidRPr="002E55DE">
        <w:rPr>
          <w:i/>
          <w:iCs/>
        </w:rPr>
        <w:t>Transport Reviews</w:t>
      </w:r>
      <w:r w:rsidRPr="002E55DE">
        <w:t xml:space="preserve">, </w:t>
      </w:r>
      <w:r w:rsidRPr="002E55DE">
        <w:rPr>
          <w:i/>
          <w:iCs/>
        </w:rPr>
        <w:t>29</w:t>
      </w:r>
      <w:r w:rsidRPr="002E55DE">
        <w:t>(3), 279–292. https://doi.org/10.1080/01441640902752961</w:t>
      </w:r>
    </w:p>
    <w:p w14:paraId="719D94C7" w14:textId="0B33B9B4" w:rsidR="00A254CC" w:rsidRPr="002E55DE" w:rsidRDefault="00A254CC" w:rsidP="00485D35">
      <w:pPr>
        <w:pStyle w:val="Bibliography"/>
        <w:spacing w:line="240" w:lineRule="auto"/>
        <w:ind w:left="540" w:hanging="540"/>
        <w:jc w:val="both"/>
      </w:pPr>
      <w:r w:rsidRPr="002E55DE">
        <w:t xml:space="preserve">Vardhan, M., Hegde, N., Merugu, S., Prabhat, S., Nathani, D., Seneviratne, M., Muhammad, N., Reddy, P., Lakshminarasimhan, S., Singh, R., Lorenzana, K., Motwani, E., Talukdar, P., </w:t>
      </w:r>
      <w:r w:rsidR="004918CE" w:rsidRPr="002E55DE">
        <w:t>and</w:t>
      </w:r>
      <w:r w:rsidRPr="002E55DE">
        <w:t xml:space="preserve"> Raghuveer, A. (2022). Walking with PACE - Personalized and Automated Coaching Engine. </w:t>
      </w:r>
      <w:r w:rsidRPr="002E55DE">
        <w:rPr>
          <w:i/>
          <w:iCs/>
        </w:rPr>
        <w:t>Proceedings of the 30th ACM Conference on User Modeling, Adaptation and Personalization</w:t>
      </w:r>
      <w:r w:rsidRPr="002E55DE">
        <w:t>, 57–68. https://doi.org/10.1145/3503252.3531301</w:t>
      </w:r>
    </w:p>
    <w:p w14:paraId="45619CCA" w14:textId="5A67ECE1" w:rsidR="00A254CC" w:rsidRPr="002E55DE" w:rsidRDefault="00A254CC" w:rsidP="00485D35">
      <w:pPr>
        <w:pStyle w:val="Bibliography"/>
        <w:spacing w:line="240" w:lineRule="auto"/>
        <w:ind w:left="540" w:hanging="540"/>
        <w:jc w:val="both"/>
      </w:pPr>
      <w:r w:rsidRPr="002E55DE">
        <w:t xml:space="preserve">Vasankari, V., Husu, P., Vähä-Ypyä, H., Suni, J., Tokola, K., Halonen, J., Hartikainen, J., Sievänen, H., </w:t>
      </w:r>
      <w:r w:rsidR="004918CE" w:rsidRPr="002E55DE">
        <w:t>and</w:t>
      </w:r>
      <w:r w:rsidRPr="002E55DE">
        <w:t xml:space="preserve"> Vasankari, T. (2017). Association of objectively measured sedentary behaviour and physical activity with cardiovascular disease risk. </w:t>
      </w:r>
      <w:r w:rsidRPr="002E55DE">
        <w:rPr>
          <w:i/>
          <w:iCs/>
        </w:rPr>
        <w:t>European Journal of Preventive Cardiology</w:t>
      </w:r>
      <w:r w:rsidRPr="002E55DE">
        <w:t xml:space="preserve">, </w:t>
      </w:r>
      <w:r w:rsidRPr="002E55DE">
        <w:rPr>
          <w:i/>
          <w:iCs/>
        </w:rPr>
        <w:t>24</w:t>
      </w:r>
      <w:r w:rsidRPr="002E55DE">
        <w:t>(12), 1311–1318. https://doi.org/10.1177/2047487317711048</w:t>
      </w:r>
    </w:p>
    <w:p w14:paraId="4CC8CD05" w14:textId="3036981B" w:rsidR="00A254CC" w:rsidRPr="002E55DE" w:rsidRDefault="00A254CC" w:rsidP="00485D35">
      <w:pPr>
        <w:pStyle w:val="Bibliography"/>
        <w:spacing w:line="240" w:lineRule="auto"/>
        <w:ind w:left="540" w:hanging="540"/>
        <w:jc w:val="both"/>
      </w:pPr>
      <w:r w:rsidRPr="002E55DE">
        <w:t xml:space="preserve">Veitch, J., Flowers, E., Ball, K., Deforche, B., </w:t>
      </w:r>
      <w:r w:rsidR="004918CE" w:rsidRPr="002E55DE">
        <w:t>and</w:t>
      </w:r>
      <w:r w:rsidRPr="002E55DE">
        <w:t xml:space="preserve"> Timperio, A. (2020). Designing parks for older adults: A qualitative study using walk-along interviews. </w:t>
      </w:r>
      <w:r w:rsidRPr="002E55DE">
        <w:rPr>
          <w:i/>
          <w:iCs/>
        </w:rPr>
        <w:t xml:space="preserve">Urban Forestry </w:t>
      </w:r>
      <w:r w:rsidR="004918CE" w:rsidRPr="002E55DE">
        <w:rPr>
          <w:i/>
          <w:iCs/>
        </w:rPr>
        <w:t>and</w:t>
      </w:r>
      <w:r w:rsidRPr="002E55DE">
        <w:rPr>
          <w:i/>
          <w:iCs/>
        </w:rPr>
        <w:t xml:space="preserve"> Urban Greening</w:t>
      </w:r>
      <w:r w:rsidRPr="002E55DE">
        <w:t xml:space="preserve">, </w:t>
      </w:r>
      <w:r w:rsidRPr="002E55DE">
        <w:rPr>
          <w:i/>
          <w:iCs/>
        </w:rPr>
        <w:t>54</w:t>
      </w:r>
      <w:r w:rsidRPr="002E55DE">
        <w:t>, 126768. https://doi.org/10.1016/j.ufug.2020.126768</w:t>
      </w:r>
    </w:p>
    <w:p w14:paraId="4E6E1846" w14:textId="7248A011" w:rsidR="00A254CC" w:rsidRPr="002E55DE" w:rsidRDefault="00A254CC" w:rsidP="00485D35">
      <w:pPr>
        <w:pStyle w:val="Bibliography"/>
        <w:spacing w:line="240" w:lineRule="auto"/>
        <w:ind w:left="540" w:hanging="540"/>
        <w:jc w:val="both"/>
      </w:pPr>
      <w:r w:rsidRPr="002E55DE">
        <w:lastRenderedPageBreak/>
        <w:t xml:space="preserve">Walters, K., Marshall, M., Wilkinson, A. N., </w:t>
      </w:r>
      <w:r w:rsidR="004918CE" w:rsidRPr="002E55DE">
        <w:t>and</w:t>
      </w:r>
      <w:r w:rsidRPr="002E55DE">
        <w:t xml:space="preserve"> Natividad, M. D. (2022). </w:t>
      </w:r>
      <w:r w:rsidR="00F958E6" w:rsidRPr="00AD437E">
        <w:rPr>
          <w:rFonts w:ascii="Times New Roman" w:hAnsi="Times New Roman"/>
          <w:szCs w:val="24"/>
        </w:rPr>
        <w:t>An intentionally designed walking program for seniors results in enhanced community connection</w:t>
      </w:r>
      <w:r w:rsidRPr="002E55DE">
        <w:t xml:space="preserve">. </w:t>
      </w:r>
      <w:r w:rsidRPr="002E55DE">
        <w:rPr>
          <w:i/>
          <w:iCs/>
        </w:rPr>
        <w:t>Journal of Aging and Physical Activity</w:t>
      </w:r>
      <w:r w:rsidRPr="002E55DE">
        <w:t xml:space="preserve">, </w:t>
      </w:r>
      <w:r w:rsidRPr="002E55DE">
        <w:rPr>
          <w:i/>
          <w:iCs/>
        </w:rPr>
        <w:t>30</w:t>
      </w:r>
      <w:r w:rsidRPr="002E55DE">
        <w:t>(1), 44–53. https://doi.org/10.1123/japa.2020-0257</w:t>
      </w:r>
    </w:p>
    <w:p w14:paraId="70A61F00" w14:textId="47CB2BC2" w:rsidR="00A254CC" w:rsidRPr="002E55DE" w:rsidRDefault="00A254CC" w:rsidP="00485D35">
      <w:pPr>
        <w:pStyle w:val="Bibliography"/>
        <w:spacing w:line="240" w:lineRule="auto"/>
        <w:ind w:left="540" w:hanging="540"/>
        <w:jc w:val="both"/>
      </w:pPr>
      <w:r w:rsidRPr="002E55DE">
        <w:t xml:space="preserve">Wei, L., Hu, Y., Tao, Y., Hu, R., </w:t>
      </w:r>
      <w:r w:rsidR="004918CE" w:rsidRPr="002E55DE">
        <w:t>and</w:t>
      </w:r>
      <w:r w:rsidRPr="002E55DE">
        <w:t xml:space="preserve"> Zhang, L. (2022). </w:t>
      </w:r>
      <w:r w:rsidR="00F958E6" w:rsidRPr="00AD437E">
        <w:rPr>
          <w:rFonts w:ascii="Times New Roman" w:hAnsi="Times New Roman"/>
          <w:szCs w:val="24"/>
        </w:rPr>
        <w:t>The effects of physical exercise on the quality of life of healthy older adults in China: A systematic review</w:t>
      </w:r>
      <w:r w:rsidRPr="002E55DE">
        <w:t xml:space="preserve">. </w:t>
      </w:r>
      <w:r w:rsidRPr="002E55DE">
        <w:rPr>
          <w:i/>
          <w:iCs/>
        </w:rPr>
        <w:t>Frontiers in Psychology</w:t>
      </w:r>
      <w:r w:rsidRPr="002E55DE">
        <w:t xml:space="preserve">, </w:t>
      </w:r>
      <w:r w:rsidRPr="002E55DE">
        <w:rPr>
          <w:i/>
          <w:iCs/>
        </w:rPr>
        <w:t>13</w:t>
      </w:r>
      <w:r w:rsidRPr="002E55DE">
        <w:t>, 895373. https://doi.org/10.3389/fpsyg.2022.895373</w:t>
      </w:r>
    </w:p>
    <w:p w14:paraId="30004095" w14:textId="47629F20" w:rsidR="00A254CC" w:rsidRPr="002E55DE" w:rsidRDefault="00A254CC" w:rsidP="00485D35">
      <w:pPr>
        <w:pStyle w:val="Bibliography"/>
        <w:spacing w:line="240" w:lineRule="auto"/>
        <w:ind w:left="540" w:hanging="540"/>
        <w:jc w:val="both"/>
      </w:pPr>
      <w:r w:rsidRPr="002E55DE">
        <w:t xml:space="preserve">Wen, M., Kandula, N. R., </w:t>
      </w:r>
      <w:r w:rsidR="004918CE" w:rsidRPr="002E55DE">
        <w:t>and</w:t>
      </w:r>
      <w:r w:rsidRPr="002E55DE">
        <w:t xml:space="preserve"> Lauderdale, D. S. (2007). </w:t>
      </w:r>
      <w:r w:rsidR="00F958E6" w:rsidRPr="00AD437E">
        <w:rPr>
          <w:rFonts w:ascii="Times New Roman" w:hAnsi="Times New Roman"/>
          <w:szCs w:val="24"/>
        </w:rPr>
        <w:t>Walking for transportation or leisure: What difference does the neighborhood make</w:t>
      </w:r>
      <w:r w:rsidRPr="002E55DE">
        <w:t xml:space="preserve">? </w:t>
      </w:r>
      <w:r w:rsidRPr="002E55DE">
        <w:rPr>
          <w:i/>
          <w:iCs/>
        </w:rPr>
        <w:t>Journal of General Internal Medicine</w:t>
      </w:r>
      <w:r w:rsidRPr="002E55DE">
        <w:t xml:space="preserve">, </w:t>
      </w:r>
      <w:r w:rsidRPr="002E55DE">
        <w:rPr>
          <w:i/>
          <w:iCs/>
        </w:rPr>
        <w:t>22</w:t>
      </w:r>
      <w:r w:rsidRPr="002E55DE">
        <w:t>(12), 1674–1680. https://doi.org/10.1007/s11606-007-0400-4</w:t>
      </w:r>
    </w:p>
    <w:p w14:paraId="14BA5818" w14:textId="1D25ECA9" w:rsidR="00A254CC" w:rsidRPr="002E55DE" w:rsidRDefault="00A254CC" w:rsidP="00485D35">
      <w:pPr>
        <w:pStyle w:val="Bibliography"/>
        <w:spacing w:line="240" w:lineRule="auto"/>
        <w:ind w:left="540" w:hanging="540"/>
        <w:jc w:val="both"/>
      </w:pPr>
      <w:r w:rsidRPr="002E55DE">
        <w:t xml:space="preserve">Wilkes, R., </w:t>
      </w:r>
      <w:r w:rsidR="004918CE" w:rsidRPr="002E55DE">
        <w:t>and</w:t>
      </w:r>
      <w:r w:rsidRPr="002E55DE">
        <w:t xml:space="preserve"> Wu, C. (2019). </w:t>
      </w:r>
      <w:r w:rsidR="00F958E6" w:rsidRPr="00AD437E">
        <w:rPr>
          <w:rFonts w:ascii="Times New Roman" w:hAnsi="Times New Roman"/>
          <w:szCs w:val="24"/>
        </w:rPr>
        <w:t>Immigration, discrimination, and trust: A simply complex relationship</w:t>
      </w:r>
      <w:r w:rsidRPr="002E55DE">
        <w:t xml:space="preserve">. </w:t>
      </w:r>
      <w:r w:rsidRPr="002E55DE">
        <w:rPr>
          <w:i/>
          <w:iCs/>
        </w:rPr>
        <w:t>Frontiers in Sociology</w:t>
      </w:r>
      <w:r w:rsidRPr="002E55DE">
        <w:t xml:space="preserve">, </w:t>
      </w:r>
      <w:r w:rsidRPr="002E55DE">
        <w:rPr>
          <w:i/>
          <w:iCs/>
        </w:rPr>
        <w:t>4</w:t>
      </w:r>
      <w:r w:rsidRPr="002E55DE">
        <w:t>, 32. https://doi.org/10.3389/fsoc.2019.00032</w:t>
      </w:r>
    </w:p>
    <w:p w14:paraId="4BD23A87" w14:textId="55791552" w:rsidR="00A254CC" w:rsidRPr="002E55DE" w:rsidRDefault="00A254CC" w:rsidP="00485D35">
      <w:pPr>
        <w:pStyle w:val="Bibliography"/>
        <w:spacing w:line="240" w:lineRule="auto"/>
        <w:ind w:left="540" w:hanging="540"/>
        <w:jc w:val="both"/>
      </w:pPr>
      <w:r w:rsidRPr="002E55DE">
        <w:t xml:space="preserve">Wood, L., Frank, L. D., </w:t>
      </w:r>
      <w:r w:rsidR="004918CE" w:rsidRPr="002E55DE">
        <w:t>and</w:t>
      </w:r>
      <w:r w:rsidRPr="002E55DE">
        <w:t xml:space="preserve"> Giles-Corti, B. (2010). Sense of community and its relationship with walking and neighborhood design. </w:t>
      </w:r>
      <w:r w:rsidRPr="002E55DE">
        <w:rPr>
          <w:i/>
          <w:iCs/>
        </w:rPr>
        <w:t xml:space="preserve">Social Science </w:t>
      </w:r>
      <w:r w:rsidR="004918CE" w:rsidRPr="002E55DE">
        <w:rPr>
          <w:i/>
          <w:iCs/>
        </w:rPr>
        <w:t>and</w:t>
      </w:r>
      <w:r w:rsidRPr="002E55DE">
        <w:rPr>
          <w:i/>
          <w:iCs/>
        </w:rPr>
        <w:t xml:space="preserve"> Medicine</w:t>
      </w:r>
      <w:r w:rsidRPr="002E55DE">
        <w:t xml:space="preserve">, </w:t>
      </w:r>
      <w:r w:rsidRPr="002E55DE">
        <w:rPr>
          <w:i/>
          <w:iCs/>
        </w:rPr>
        <w:t>70</w:t>
      </w:r>
      <w:r w:rsidRPr="002E55DE">
        <w:t>(9), 1381–1390. https://doi.org/10.1016/j.socscimed.2010.01.021</w:t>
      </w:r>
    </w:p>
    <w:p w14:paraId="3D36A27C" w14:textId="77777777" w:rsidR="00913E7D" w:rsidRDefault="00A254CC" w:rsidP="00913E7D">
      <w:pPr>
        <w:pStyle w:val="Bibliography"/>
        <w:spacing w:line="240" w:lineRule="auto"/>
        <w:ind w:left="540" w:hanging="540"/>
        <w:jc w:val="both"/>
      </w:pPr>
      <w:r w:rsidRPr="002E55DE">
        <w:t xml:space="preserve">Wooldridge, J. M. (1995). Selection corrections for panel data models under conditional mean independence assumptions. </w:t>
      </w:r>
      <w:r w:rsidRPr="002E55DE">
        <w:rPr>
          <w:i/>
          <w:iCs/>
        </w:rPr>
        <w:t>Journal of Econometrics</w:t>
      </w:r>
      <w:r w:rsidRPr="002E55DE">
        <w:t xml:space="preserve">, </w:t>
      </w:r>
      <w:r w:rsidRPr="002E55DE">
        <w:rPr>
          <w:i/>
          <w:iCs/>
        </w:rPr>
        <w:t>68</w:t>
      </w:r>
      <w:r w:rsidRPr="002E55DE">
        <w:t>(1), 115–132.</w:t>
      </w:r>
    </w:p>
    <w:p w14:paraId="165A2CE8" w14:textId="7C516313" w:rsidR="00913E7D" w:rsidRPr="00913E7D" w:rsidRDefault="00913E7D" w:rsidP="00913E7D">
      <w:pPr>
        <w:pStyle w:val="Bibliography"/>
        <w:spacing w:line="240" w:lineRule="auto"/>
        <w:ind w:left="540" w:hanging="540"/>
        <w:jc w:val="both"/>
      </w:pPr>
      <w:r w:rsidRPr="00913E7D">
        <w:t>World Health Organization.</w:t>
      </w:r>
      <w:r>
        <w:t xml:space="preserve"> (</w:t>
      </w:r>
      <w:r w:rsidRPr="00913E7D">
        <w:t>2010</w:t>
      </w:r>
      <w:r>
        <w:t>)</w:t>
      </w:r>
      <w:r w:rsidRPr="00913E7D">
        <w:t xml:space="preserve">. Global recommendations on physical activity for health. WHO </w:t>
      </w:r>
      <w:r>
        <w:t>P</w:t>
      </w:r>
      <w:r w:rsidRPr="00913E7D">
        <w:t>ress</w:t>
      </w:r>
      <w:r>
        <w:t>, Geneva, Switzerland</w:t>
      </w:r>
      <w:r w:rsidRPr="00913E7D">
        <w:t>.</w:t>
      </w:r>
    </w:p>
    <w:p w14:paraId="6417A63C" w14:textId="60541FF0" w:rsidR="00A254CC" w:rsidRPr="002E55DE" w:rsidRDefault="00A254CC" w:rsidP="00485D35">
      <w:pPr>
        <w:pStyle w:val="Bibliography"/>
        <w:spacing w:line="240" w:lineRule="auto"/>
        <w:ind w:left="540" w:hanging="540"/>
        <w:jc w:val="both"/>
      </w:pPr>
      <w:r w:rsidRPr="002E55DE">
        <w:t xml:space="preserve">Wu, J., Zhao, C., Li, C., Wang, T., Wang, L., </w:t>
      </w:r>
      <w:r w:rsidR="004918CE" w:rsidRPr="002E55DE">
        <w:t>and</w:t>
      </w:r>
      <w:r w:rsidRPr="002E55DE">
        <w:t xml:space="preserve"> Zhang, Y. (2021). </w:t>
      </w:r>
      <w:r w:rsidR="00F958E6" w:rsidRPr="00AD437E">
        <w:rPr>
          <w:rFonts w:ascii="Times New Roman" w:hAnsi="Times New Roman"/>
          <w:szCs w:val="24"/>
        </w:rPr>
        <w:t>Non-linear relationships between the built environment and walking frequency among older adults in</w:t>
      </w:r>
      <w:r w:rsidRPr="002E55DE">
        <w:t xml:space="preserve"> Zhongshan, China. </w:t>
      </w:r>
      <w:r w:rsidRPr="002E55DE">
        <w:rPr>
          <w:i/>
          <w:iCs/>
        </w:rPr>
        <w:t>Frontiers in Public Health</w:t>
      </w:r>
      <w:r w:rsidRPr="002E55DE">
        <w:t xml:space="preserve">, </w:t>
      </w:r>
      <w:r w:rsidRPr="002E55DE">
        <w:rPr>
          <w:i/>
          <w:iCs/>
        </w:rPr>
        <w:t>9</w:t>
      </w:r>
      <w:r w:rsidRPr="002E55DE">
        <w:t>, 686144. https://doi.org/10.3389/fpubh.2021.686144</w:t>
      </w:r>
    </w:p>
    <w:p w14:paraId="7A51366B" w14:textId="5F233BA0" w:rsidR="00A254CC" w:rsidRPr="002E55DE" w:rsidRDefault="00A254CC" w:rsidP="00485D35">
      <w:pPr>
        <w:pStyle w:val="Bibliography"/>
        <w:spacing w:line="240" w:lineRule="auto"/>
        <w:ind w:left="540" w:hanging="540"/>
        <w:jc w:val="both"/>
      </w:pPr>
      <w:r w:rsidRPr="002E55DE">
        <w:t xml:space="preserve">Xiong, X., Liu, L., Peng, Z., </w:t>
      </w:r>
      <w:r w:rsidR="004918CE" w:rsidRPr="002E55DE">
        <w:t>and</w:t>
      </w:r>
      <w:r w:rsidRPr="002E55DE">
        <w:t xml:space="preserve"> Wu, H. (2021). </w:t>
      </w:r>
      <w:r w:rsidR="00F958E6" w:rsidRPr="00AD437E">
        <w:rPr>
          <w:rFonts w:ascii="Times New Roman" w:hAnsi="Times New Roman"/>
          <w:szCs w:val="24"/>
        </w:rPr>
        <w:t>Physical activities in public squares: The impact of companionship on Chinese residents’ health</w:t>
      </w:r>
      <w:r w:rsidRPr="002E55DE">
        <w:t xml:space="preserve">. </w:t>
      </w:r>
      <w:r w:rsidRPr="002E55DE">
        <w:rPr>
          <w:i/>
          <w:iCs/>
        </w:rPr>
        <w:t>Land</w:t>
      </w:r>
      <w:r w:rsidRPr="002E55DE">
        <w:t xml:space="preserve">, </w:t>
      </w:r>
      <w:r w:rsidRPr="002E55DE">
        <w:rPr>
          <w:i/>
          <w:iCs/>
        </w:rPr>
        <w:t>10</w:t>
      </w:r>
      <w:r w:rsidRPr="002E55DE">
        <w:t>(7), 720. https://doi.org/10.3390/land10070720</w:t>
      </w:r>
    </w:p>
    <w:p w14:paraId="18A192EC" w14:textId="1BBA8414" w:rsidR="00A254CC" w:rsidRPr="002E55DE" w:rsidRDefault="00A254CC" w:rsidP="00485D35">
      <w:pPr>
        <w:pStyle w:val="Bibliography"/>
        <w:spacing w:line="240" w:lineRule="auto"/>
        <w:ind w:left="540" w:hanging="540"/>
        <w:jc w:val="both"/>
      </w:pPr>
      <w:r w:rsidRPr="002E55DE">
        <w:t xml:space="preserve">Yang, L., Tang, X., Yang, H., Meng, F., </w:t>
      </w:r>
      <w:r w:rsidR="004918CE" w:rsidRPr="002E55DE">
        <w:t>and</w:t>
      </w:r>
      <w:r w:rsidRPr="002E55DE">
        <w:t xml:space="preserve"> Liu, J. (2022). Using a system of equations to assess the determinants of the walking behavior of older adults. </w:t>
      </w:r>
      <w:r w:rsidRPr="002E55DE">
        <w:rPr>
          <w:i/>
          <w:iCs/>
        </w:rPr>
        <w:t>Transactions in GIS</w:t>
      </w:r>
      <w:r w:rsidRPr="002E55DE">
        <w:t xml:space="preserve">, </w:t>
      </w:r>
      <w:r w:rsidRPr="002E55DE">
        <w:rPr>
          <w:i/>
          <w:iCs/>
        </w:rPr>
        <w:t>26</w:t>
      </w:r>
      <w:r w:rsidRPr="002E55DE">
        <w:t>(3), 1339–1354. https://doi.org/10.1111/tgis.12916</w:t>
      </w:r>
    </w:p>
    <w:p w14:paraId="098E1884" w14:textId="65F7533A" w:rsidR="00A254CC" w:rsidRPr="002E55DE" w:rsidRDefault="00A254CC" w:rsidP="00485D35">
      <w:pPr>
        <w:pStyle w:val="Bibliography"/>
        <w:spacing w:line="240" w:lineRule="auto"/>
        <w:ind w:left="540" w:hanging="540"/>
        <w:jc w:val="both"/>
      </w:pPr>
      <w:r w:rsidRPr="002E55DE">
        <w:t xml:space="preserve">Yates, T., Edwardson, C. L., Celis-Morales, C., Biddle, S. J. H., Bodicoat, D., Davies, M. J., Esliger, D., Henson, J., Kazi, A., Khunti, K., Sattar, N., Sinclair, A. J., Rowlands, A., Velayudhan, L., Zaccardi, F., </w:t>
      </w:r>
      <w:r w:rsidR="004918CE" w:rsidRPr="002E55DE">
        <w:t>and</w:t>
      </w:r>
      <w:r w:rsidRPr="002E55DE">
        <w:t xml:space="preserve"> Gill, J. M. R. (2020). </w:t>
      </w:r>
      <w:r w:rsidR="00F958E6" w:rsidRPr="00AD437E">
        <w:rPr>
          <w:rFonts w:ascii="Times New Roman" w:hAnsi="Times New Roman"/>
          <w:szCs w:val="24"/>
        </w:rPr>
        <w:t>Metabolic effects of breaking prolonged sitting with standing or light walking in older South Asians and White Europeans: A randomized acute study</w:t>
      </w:r>
      <w:r w:rsidRPr="002E55DE">
        <w:t xml:space="preserve">. </w:t>
      </w:r>
      <w:r w:rsidRPr="002E55DE">
        <w:rPr>
          <w:i/>
          <w:iCs/>
        </w:rPr>
        <w:t>The Journals of Gerontology: Series A</w:t>
      </w:r>
      <w:r w:rsidRPr="002E55DE">
        <w:t xml:space="preserve">, </w:t>
      </w:r>
      <w:r w:rsidRPr="002E55DE">
        <w:rPr>
          <w:i/>
          <w:iCs/>
        </w:rPr>
        <w:t>75</w:t>
      </w:r>
      <w:r w:rsidRPr="002E55DE">
        <w:t>(1), 139–146. https://doi.org/10.1093/gerona/gly252</w:t>
      </w:r>
    </w:p>
    <w:p w14:paraId="2B4F3CF2" w14:textId="54BDF8DF" w:rsidR="00A254CC" w:rsidRPr="002E55DE" w:rsidRDefault="00A254CC" w:rsidP="00485D35">
      <w:pPr>
        <w:pStyle w:val="Bibliography"/>
        <w:spacing w:line="240" w:lineRule="auto"/>
        <w:ind w:left="540" w:hanging="540"/>
        <w:jc w:val="both"/>
      </w:pPr>
      <w:r w:rsidRPr="002E55DE">
        <w:t xml:space="preserve">Yi, S. S., Trinh-Shevrin, C., Yen, I. H., </w:t>
      </w:r>
      <w:r w:rsidR="004918CE" w:rsidRPr="002E55DE">
        <w:t>and</w:t>
      </w:r>
      <w:r w:rsidRPr="002E55DE">
        <w:t xml:space="preserve"> Kwon, S. C. (2016). </w:t>
      </w:r>
      <w:r w:rsidR="00F958E6" w:rsidRPr="00AD437E">
        <w:rPr>
          <w:rFonts w:ascii="Times New Roman" w:hAnsi="Times New Roman"/>
          <w:szCs w:val="24"/>
        </w:rPr>
        <w:t>Racial/ethnic differences in associations between neighborhood social cohesion and meeting physical activity guidelines</w:t>
      </w:r>
      <w:r w:rsidRPr="002E55DE">
        <w:t xml:space="preserve">, United States, 2013–2014. </w:t>
      </w:r>
      <w:r w:rsidRPr="002E55DE">
        <w:rPr>
          <w:i/>
          <w:iCs/>
        </w:rPr>
        <w:t>Preventing Chronic Disease</w:t>
      </w:r>
      <w:r w:rsidRPr="002E55DE">
        <w:t xml:space="preserve">, </w:t>
      </w:r>
      <w:r w:rsidRPr="002E55DE">
        <w:rPr>
          <w:i/>
          <w:iCs/>
        </w:rPr>
        <w:t>13</w:t>
      </w:r>
      <w:r w:rsidRPr="002E55DE">
        <w:t>, 160261. https://doi.org/10.5888/pcd13.160261</w:t>
      </w:r>
    </w:p>
    <w:p w14:paraId="19E1E436" w14:textId="46EC8367" w:rsidR="00A254CC" w:rsidRPr="002E55DE" w:rsidRDefault="00A254CC" w:rsidP="00485D35">
      <w:pPr>
        <w:pStyle w:val="Bibliography"/>
        <w:spacing w:line="240" w:lineRule="auto"/>
        <w:ind w:left="540" w:hanging="540"/>
        <w:jc w:val="both"/>
      </w:pPr>
      <w:r w:rsidRPr="002E55DE">
        <w:t xml:space="preserve">Younes, H., Noland, R. B., Von Hagen, L. A., </w:t>
      </w:r>
      <w:r w:rsidR="004918CE" w:rsidRPr="002E55DE">
        <w:t>and</w:t>
      </w:r>
      <w:r w:rsidRPr="002E55DE">
        <w:t xml:space="preserve"> Sinclair, J. (2023). Working from </w:t>
      </w:r>
      <w:r w:rsidR="00F958E6">
        <w:t>h</w:t>
      </w:r>
      <w:r w:rsidRPr="002E55DE">
        <w:t xml:space="preserve">ome and </w:t>
      </w:r>
      <w:r w:rsidR="00F958E6">
        <w:t>w</w:t>
      </w:r>
      <w:r w:rsidRPr="002E55DE">
        <w:t xml:space="preserve">alking during and after COVID. </w:t>
      </w:r>
      <w:r w:rsidRPr="002E55DE">
        <w:rPr>
          <w:i/>
          <w:iCs/>
        </w:rPr>
        <w:t>Findings</w:t>
      </w:r>
      <w:r w:rsidRPr="002E55DE">
        <w:t>. https://doi.org/10.32866/001c.78110</w:t>
      </w:r>
    </w:p>
    <w:p w14:paraId="09FCAC5C" w14:textId="0C5A53C7" w:rsidR="00A254CC" w:rsidRPr="002E55DE" w:rsidRDefault="00A254CC" w:rsidP="00485D35">
      <w:pPr>
        <w:pStyle w:val="Bibliography"/>
        <w:spacing w:line="240" w:lineRule="auto"/>
        <w:ind w:left="540" w:hanging="540"/>
        <w:jc w:val="both"/>
      </w:pPr>
      <w:r w:rsidRPr="002E55DE">
        <w:t xml:space="preserve">Yun, H. Y. (2019). </w:t>
      </w:r>
      <w:r w:rsidR="00F958E6" w:rsidRPr="00AD437E">
        <w:rPr>
          <w:rFonts w:ascii="Times New Roman" w:hAnsi="Times New Roman"/>
          <w:szCs w:val="24"/>
        </w:rPr>
        <w:t>Environmental factors associated with older adult’s walking behaviors: A systematic review of quantitative studies</w:t>
      </w:r>
      <w:r w:rsidRPr="002E55DE">
        <w:t xml:space="preserve">. </w:t>
      </w:r>
      <w:r w:rsidRPr="002E55DE">
        <w:rPr>
          <w:i/>
          <w:iCs/>
        </w:rPr>
        <w:t>Sustainability</w:t>
      </w:r>
      <w:r w:rsidRPr="002E55DE">
        <w:t xml:space="preserve">, </w:t>
      </w:r>
      <w:r w:rsidRPr="002E55DE">
        <w:rPr>
          <w:i/>
          <w:iCs/>
        </w:rPr>
        <w:t>11</w:t>
      </w:r>
      <w:r w:rsidRPr="002E55DE">
        <w:t>(12), 3253. https://doi.org/10.3390/su11123253</w:t>
      </w:r>
    </w:p>
    <w:p w14:paraId="3D6CF680" w14:textId="2F9F31EB" w:rsidR="00A254CC" w:rsidRPr="002E55DE" w:rsidRDefault="00A254CC" w:rsidP="00485D35">
      <w:pPr>
        <w:pStyle w:val="Bibliography"/>
        <w:spacing w:line="240" w:lineRule="auto"/>
        <w:ind w:left="540" w:hanging="540"/>
        <w:jc w:val="both"/>
      </w:pPr>
      <w:r w:rsidRPr="002E55DE">
        <w:t xml:space="preserve">Zandieh, R., Martinez, J., Flacke, J., Jones, P., </w:t>
      </w:r>
      <w:r w:rsidR="004918CE" w:rsidRPr="002E55DE">
        <w:t>and</w:t>
      </w:r>
      <w:r w:rsidRPr="002E55DE">
        <w:t xml:space="preserve"> Van Maarseveen, M. (2016). </w:t>
      </w:r>
      <w:r w:rsidR="00F958E6" w:rsidRPr="00AD437E">
        <w:rPr>
          <w:rFonts w:ascii="Times New Roman" w:hAnsi="Times New Roman"/>
          <w:szCs w:val="24"/>
        </w:rPr>
        <w:t>Older adults’ outdoor walking: Inequalities in neighbourhood safety, pedestrian infrastructure and aesthetics</w:t>
      </w:r>
      <w:r w:rsidRPr="002E55DE">
        <w:t xml:space="preserve">. </w:t>
      </w:r>
      <w:r w:rsidRPr="002E55DE">
        <w:rPr>
          <w:i/>
          <w:iCs/>
        </w:rPr>
        <w:t>International Journal of Environmental Research and Public Health</w:t>
      </w:r>
      <w:r w:rsidRPr="002E55DE">
        <w:t xml:space="preserve">, </w:t>
      </w:r>
      <w:r w:rsidRPr="002E55DE">
        <w:rPr>
          <w:i/>
          <w:iCs/>
        </w:rPr>
        <w:t>13</w:t>
      </w:r>
      <w:r w:rsidRPr="002E55DE">
        <w:t>(12), 1179. https://doi.org/10.3390/ijerph13121179</w:t>
      </w:r>
    </w:p>
    <w:p w14:paraId="1839655E" w14:textId="6619DDAA" w:rsidR="00A254CC" w:rsidRPr="002E55DE" w:rsidRDefault="00A254CC" w:rsidP="00005BA7">
      <w:pPr>
        <w:pStyle w:val="Bibliography"/>
        <w:keepLines/>
        <w:spacing w:line="240" w:lineRule="auto"/>
        <w:ind w:left="547" w:hanging="547"/>
        <w:jc w:val="both"/>
      </w:pPr>
      <w:r w:rsidRPr="002E55DE">
        <w:lastRenderedPageBreak/>
        <w:t xml:space="preserve">Zang, P., Lu, Y., Ma, J., Xie, B., Wang, R., </w:t>
      </w:r>
      <w:r w:rsidR="004918CE" w:rsidRPr="002E55DE">
        <w:t>and</w:t>
      </w:r>
      <w:r w:rsidRPr="002E55DE">
        <w:t xml:space="preserve"> Liu, Y. (2019). Disentangling residential self-selection from impacts of built environment characteristics on travel behaviors for older adults. </w:t>
      </w:r>
      <w:r w:rsidRPr="002E55DE">
        <w:rPr>
          <w:i/>
          <w:iCs/>
        </w:rPr>
        <w:t xml:space="preserve">Social Science </w:t>
      </w:r>
      <w:r w:rsidR="004918CE" w:rsidRPr="002E55DE">
        <w:rPr>
          <w:i/>
          <w:iCs/>
        </w:rPr>
        <w:t>and</w:t>
      </w:r>
      <w:r w:rsidRPr="002E55DE">
        <w:rPr>
          <w:i/>
          <w:iCs/>
        </w:rPr>
        <w:t xml:space="preserve"> Medicine</w:t>
      </w:r>
      <w:r w:rsidRPr="002E55DE">
        <w:t xml:space="preserve">, </w:t>
      </w:r>
      <w:r w:rsidRPr="002E55DE">
        <w:rPr>
          <w:i/>
          <w:iCs/>
        </w:rPr>
        <w:t>238</w:t>
      </w:r>
      <w:r w:rsidRPr="002E55DE">
        <w:t>, 112515. https://doi.org/10.1016/j.socscimed.2019.112515</w:t>
      </w:r>
    </w:p>
    <w:p w14:paraId="6CF28AF5" w14:textId="45855832" w:rsidR="00A254CC" w:rsidRPr="002E55DE" w:rsidRDefault="00A254CC" w:rsidP="00485D35">
      <w:pPr>
        <w:pStyle w:val="Bibliography"/>
        <w:spacing w:line="240" w:lineRule="auto"/>
        <w:ind w:left="540" w:hanging="540"/>
        <w:jc w:val="both"/>
      </w:pPr>
      <w:r w:rsidRPr="002E55DE">
        <w:t xml:space="preserve">Zang, P., Xian, F., Qiu, H., Ma, S., Guo, H., Wang, M., </w:t>
      </w:r>
      <w:r w:rsidR="004918CE" w:rsidRPr="002E55DE">
        <w:t>and</w:t>
      </w:r>
      <w:r w:rsidRPr="002E55DE">
        <w:t xml:space="preserve"> Yang, L. (2022). </w:t>
      </w:r>
      <w:r w:rsidR="00F958E6" w:rsidRPr="00AD437E">
        <w:rPr>
          <w:rFonts w:ascii="Times New Roman" w:hAnsi="Times New Roman"/>
          <w:szCs w:val="24"/>
        </w:rPr>
        <w:t>Differences in the correlation between the built environment and walking, moderate, and vigorous physical activity among the elderly in low- and high-income areas</w:t>
      </w:r>
      <w:r w:rsidRPr="002E55DE">
        <w:t xml:space="preserve">. </w:t>
      </w:r>
      <w:r w:rsidRPr="002E55DE">
        <w:rPr>
          <w:i/>
          <w:iCs/>
        </w:rPr>
        <w:t>International Journal of Environmental Research and Public Health</w:t>
      </w:r>
      <w:r w:rsidRPr="002E55DE">
        <w:t xml:space="preserve">, </w:t>
      </w:r>
      <w:r w:rsidRPr="002E55DE">
        <w:rPr>
          <w:i/>
          <w:iCs/>
        </w:rPr>
        <w:t>19</w:t>
      </w:r>
      <w:r w:rsidRPr="002E55DE">
        <w:t>(3), 1894. https://doi.org/10.3390/ijerph19031894</w:t>
      </w:r>
    </w:p>
    <w:p w14:paraId="1DCC27BB" w14:textId="524DA359" w:rsidR="00426A6E" w:rsidRPr="002E55DE" w:rsidRDefault="00426A6E" w:rsidP="00485D35">
      <w:pPr>
        <w:pStyle w:val="Bibliography"/>
        <w:spacing w:line="240" w:lineRule="auto"/>
        <w:ind w:left="540" w:hanging="540"/>
        <w:jc w:val="both"/>
      </w:pPr>
      <w:r w:rsidRPr="002E55DE">
        <w:t xml:space="preserve">Zhang, Y., Li, Y., Liu, Q., </w:t>
      </w:r>
      <w:r w:rsidR="004918CE" w:rsidRPr="002E55DE">
        <w:t>and</w:t>
      </w:r>
      <w:r w:rsidRPr="002E55DE">
        <w:t xml:space="preserve"> Li, C. (2014). The </w:t>
      </w:r>
      <w:r w:rsidR="00F958E6">
        <w:t>b</w:t>
      </w:r>
      <w:r w:rsidRPr="002E55DE">
        <w:t xml:space="preserve">uilt </w:t>
      </w:r>
      <w:r w:rsidR="00F958E6">
        <w:t>e</w:t>
      </w:r>
      <w:r w:rsidRPr="002E55DE">
        <w:t xml:space="preserve">nvironment and </w:t>
      </w:r>
      <w:r w:rsidR="00F958E6">
        <w:t>w</w:t>
      </w:r>
      <w:r w:rsidRPr="002E55DE">
        <w:t xml:space="preserve">alking </w:t>
      </w:r>
      <w:r w:rsidR="00F958E6">
        <w:t>a</w:t>
      </w:r>
      <w:r w:rsidRPr="002E55DE">
        <w:t xml:space="preserve">ctivity of the </w:t>
      </w:r>
      <w:r w:rsidR="00F958E6">
        <w:t>e</w:t>
      </w:r>
      <w:r w:rsidRPr="002E55DE">
        <w:t xml:space="preserve">lderly: An </w:t>
      </w:r>
      <w:r w:rsidR="00F958E6">
        <w:t>e</w:t>
      </w:r>
      <w:r w:rsidRPr="002E55DE">
        <w:t xml:space="preserve">mpirical </w:t>
      </w:r>
      <w:r w:rsidR="00F958E6">
        <w:t>a</w:t>
      </w:r>
      <w:r w:rsidRPr="002E55DE">
        <w:t xml:space="preserve">nalysis in the Zhongshan Metropolitan Area, China. </w:t>
      </w:r>
      <w:r w:rsidRPr="00265098">
        <w:rPr>
          <w:i/>
          <w:iCs/>
        </w:rPr>
        <w:t>Sustainability</w:t>
      </w:r>
      <w:r w:rsidRPr="002E55DE">
        <w:t xml:space="preserve">, </w:t>
      </w:r>
      <w:r w:rsidRPr="00265098">
        <w:rPr>
          <w:i/>
          <w:iCs/>
        </w:rPr>
        <w:t>6</w:t>
      </w:r>
      <w:r w:rsidRPr="002E55DE">
        <w:t>(2), 1076-1092. https://doi.org/10.3390/su6021076</w:t>
      </w:r>
    </w:p>
    <w:p w14:paraId="2FC9C19B" w14:textId="7D4870C4" w:rsidR="00A254CC" w:rsidRPr="002E55DE" w:rsidRDefault="00A254CC" w:rsidP="00485D35">
      <w:pPr>
        <w:pStyle w:val="Bibliography"/>
        <w:spacing w:line="240" w:lineRule="auto"/>
        <w:ind w:left="540" w:hanging="540"/>
        <w:jc w:val="both"/>
      </w:pPr>
      <w:r w:rsidRPr="002E55DE">
        <w:t xml:space="preserve">Zhong, S., Lee, C., </w:t>
      </w:r>
      <w:r w:rsidR="004918CE" w:rsidRPr="002E55DE">
        <w:t>and</w:t>
      </w:r>
      <w:r w:rsidRPr="002E55DE">
        <w:t xml:space="preserve"> Lee, H. (2020). </w:t>
      </w:r>
      <w:r w:rsidR="00F958E6" w:rsidRPr="00AD437E">
        <w:rPr>
          <w:rFonts w:ascii="Times New Roman" w:hAnsi="Times New Roman"/>
          <w:szCs w:val="24"/>
        </w:rPr>
        <w:t>Community environments that promote intergenerational interactions vs. walking among older adults</w:t>
      </w:r>
      <w:r w:rsidRPr="002E55DE">
        <w:t xml:space="preserve">. </w:t>
      </w:r>
      <w:r w:rsidRPr="002E55DE">
        <w:rPr>
          <w:i/>
          <w:iCs/>
        </w:rPr>
        <w:t>Frontiers in Public Health</w:t>
      </w:r>
      <w:r w:rsidRPr="002E55DE">
        <w:t xml:space="preserve">, </w:t>
      </w:r>
      <w:r w:rsidRPr="002E55DE">
        <w:rPr>
          <w:i/>
          <w:iCs/>
        </w:rPr>
        <w:t>8</w:t>
      </w:r>
      <w:r w:rsidRPr="002E55DE">
        <w:t>, 587363. https://doi.org/10.3389/fpubh.2020.587363</w:t>
      </w:r>
    </w:p>
    <w:p w14:paraId="6A1520A9" w14:textId="631B35E1" w:rsidR="00A254CC" w:rsidRPr="002E55DE" w:rsidRDefault="00A254CC" w:rsidP="00485D35">
      <w:pPr>
        <w:pStyle w:val="Bibliography"/>
        <w:spacing w:line="240" w:lineRule="auto"/>
        <w:ind w:left="540" w:hanging="540"/>
        <w:jc w:val="both"/>
      </w:pPr>
      <w:r w:rsidRPr="002E55DE">
        <w:t xml:space="preserve">Zhu, J., </w:t>
      </w:r>
      <w:r w:rsidR="004918CE" w:rsidRPr="002E55DE">
        <w:t>and</w:t>
      </w:r>
      <w:r w:rsidRPr="002E55DE">
        <w:t xml:space="preserve"> Fan, Y. (2018). Daily travel behavior and emotional well-being: Effects of trip mode, duration, purpose, and companionship. </w:t>
      </w:r>
      <w:r w:rsidRPr="002E55DE">
        <w:rPr>
          <w:i/>
          <w:iCs/>
        </w:rPr>
        <w:t>Transportation Research Part A: Policy and Practice</w:t>
      </w:r>
      <w:r w:rsidRPr="002E55DE">
        <w:t xml:space="preserve">, </w:t>
      </w:r>
      <w:r w:rsidRPr="002E55DE">
        <w:rPr>
          <w:i/>
          <w:iCs/>
        </w:rPr>
        <w:t>118</w:t>
      </w:r>
      <w:r w:rsidRPr="002E55DE">
        <w:t>, 360–373. https://doi.org/10.1016/j.tra.2018.09.019</w:t>
      </w:r>
    </w:p>
    <w:p w14:paraId="56E3C7E0" w14:textId="6BB9F4BB" w:rsidR="00400D59" w:rsidRPr="002E55DE" w:rsidRDefault="00400D59" w:rsidP="00485D35">
      <w:pPr>
        <w:ind w:left="540" w:hanging="540"/>
        <w:jc w:val="both"/>
        <w:rPr>
          <w:rFonts w:ascii="Times New Roman" w:hAnsi="Times New Roman"/>
          <w:szCs w:val="24"/>
        </w:rPr>
      </w:pPr>
      <w:r w:rsidRPr="002E55DE">
        <w:rPr>
          <w:rFonts w:ascii="Times New Roman" w:hAnsi="Times New Roman"/>
          <w:szCs w:val="24"/>
        </w:rPr>
        <w:fldChar w:fldCharType="end"/>
      </w:r>
    </w:p>
    <w:sectPr w:rsidR="00400D59" w:rsidRPr="002E55DE" w:rsidSect="00005B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5D3E" w14:textId="77777777" w:rsidR="00735261" w:rsidRDefault="00735261">
      <w:r>
        <w:separator/>
      </w:r>
    </w:p>
  </w:endnote>
  <w:endnote w:type="continuationSeparator" w:id="0">
    <w:p w14:paraId="41732B53" w14:textId="77777777" w:rsidR="00735261" w:rsidRDefault="00735261">
      <w:r>
        <w:continuationSeparator/>
      </w:r>
    </w:p>
  </w:endnote>
  <w:endnote w:type="continuationNotice" w:id="1">
    <w:p w14:paraId="35CE2E24" w14:textId="77777777" w:rsidR="00735261" w:rsidRDefault="00735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1CB1" w14:textId="680F2146" w:rsidR="00F828B0" w:rsidRDefault="00F828B0" w:rsidP="003518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46757"/>
      <w:docPartObj>
        <w:docPartGallery w:val="Page Numbers (Bottom of Page)"/>
        <w:docPartUnique/>
      </w:docPartObj>
    </w:sdtPr>
    <w:sdtEndPr>
      <w:rPr>
        <w:noProof/>
      </w:rPr>
    </w:sdtEndPr>
    <w:sdtContent>
      <w:p w14:paraId="431B13EC" w14:textId="6A1A807B" w:rsidR="00005BA7" w:rsidRDefault="00005BA7" w:rsidP="00005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FC4F" w14:textId="77777777" w:rsidR="00735261" w:rsidRDefault="00735261">
      <w:r>
        <w:separator/>
      </w:r>
    </w:p>
  </w:footnote>
  <w:footnote w:type="continuationSeparator" w:id="0">
    <w:p w14:paraId="336DB87F" w14:textId="77777777" w:rsidR="00735261" w:rsidRDefault="00735261">
      <w:r>
        <w:continuationSeparator/>
      </w:r>
    </w:p>
  </w:footnote>
  <w:footnote w:type="continuationNotice" w:id="1">
    <w:p w14:paraId="5961720E" w14:textId="77777777" w:rsidR="00735261" w:rsidRDefault="00735261"/>
  </w:footnote>
  <w:footnote w:id="2">
    <w:p w14:paraId="0B02804F" w14:textId="1AEB5D3E" w:rsidR="00D64C7C" w:rsidRPr="006A0B02" w:rsidRDefault="00D64C7C" w:rsidP="006A0B02">
      <w:pPr>
        <w:pStyle w:val="FootnoteText"/>
        <w:jc w:val="both"/>
        <w:rPr>
          <w:rFonts w:ascii="Times New Roman" w:hAnsi="Times New Roman"/>
        </w:rPr>
      </w:pPr>
      <w:r w:rsidRPr="00D37534">
        <w:rPr>
          <w:rStyle w:val="FootnoteReference"/>
          <w:rFonts w:ascii="Times New Roman" w:hAnsi="Times New Roman"/>
        </w:rPr>
        <w:footnoteRef/>
      </w:r>
      <w:r w:rsidR="00494601" w:rsidRPr="00494601">
        <w:rPr>
          <w:rFonts w:ascii="Times New Roman" w:hAnsi="Times New Roman"/>
        </w:rPr>
        <w:t xml:space="preserve">We acknowledge that the data constitute self-reported, recall-based survey responses that may be subject to recall bias. However, the survey literature </w:t>
      </w:r>
      <w:r w:rsidR="00BA53C2" w:rsidRPr="00BA53C2">
        <w:rPr>
          <w:rFonts w:ascii="Times New Roman" w:hAnsi="Times New Roman"/>
        </w:rPr>
        <w:t>(see, for example,</w:t>
      </w:r>
      <w:r w:rsidR="00497F7B">
        <w:rPr>
          <w:rFonts w:ascii="Times New Roman" w:hAnsi="Times New Roman"/>
        </w:rPr>
        <w:t xml:space="preserve"> </w:t>
      </w:r>
      <w:r w:rsidR="00497F7B">
        <w:rPr>
          <w:rFonts w:ascii="Times New Roman" w:hAnsi="Times New Roman"/>
        </w:rPr>
        <w:fldChar w:fldCharType="begin"/>
      </w:r>
      <w:r w:rsidR="00A254CC">
        <w:rPr>
          <w:rFonts w:ascii="Times New Roman" w:hAnsi="Times New Roman"/>
        </w:rPr>
        <w:instrText xml:space="preserve"> ADDIN ZOTERO_ITEM CSL_CITATION {"citationID":"wCSNo11u","properties":{"formattedCitation":"(Thigpen, 2019)","plainCitation":"(Thigpen, 2019)","dontUpdate":true,"noteIndex":1},"citationItems":[{"id":"4nY7bDZH/04PH8IVu","uris":["http://zotero.org/users/10132210/items/8WBGBZ67"],"itemData":{"id":2400,"type":"article-journal","container-title":"Transportation Research Part F: Traffic Psychology and Behaviour","DOI":"10.1016/j.trf.2018.11.002","ISSN":"13698478","journalAbbreviation":"Transportation Research Part F: Traffic Psychology and Behaviour","language":"en","page":"453-461","source":"DOI.org (Crossref)","title":"Measurement validity of retrospective survey questions of bicycling use, attitude, and skill","volume":"60","author":[{"family":"Thigpen","given":"Calvin"}],"issued":{"date-parts":[["2019",1]]}}}],"schema":"https://github.com/citation-style-language/schema/raw/master/csl-citation.json"} </w:instrText>
      </w:r>
      <w:r w:rsidR="00497F7B">
        <w:rPr>
          <w:rFonts w:ascii="Times New Roman" w:hAnsi="Times New Roman"/>
        </w:rPr>
        <w:fldChar w:fldCharType="separate"/>
      </w:r>
      <w:r w:rsidR="00497F7B" w:rsidRPr="00497F7B">
        <w:rPr>
          <w:rFonts w:ascii="Times New Roman" w:hAnsi="Times New Roman"/>
        </w:rPr>
        <w:t>Thigpen, 2019</w:t>
      </w:r>
      <w:r w:rsidR="00497F7B">
        <w:rPr>
          <w:rFonts w:ascii="Times New Roman" w:hAnsi="Times New Roman"/>
        </w:rPr>
        <w:fldChar w:fldCharType="end"/>
      </w:r>
      <w:r w:rsidR="00BA53C2" w:rsidRPr="00BA53C2">
        <w:rPr>
          <w:rFonts w:ascii="Times New Roman" w:hAnsi="Times New Roman"/>
        </w:rPr>
        <w:t xml:space="preserve">) indicates that general behaviors (such as number of days of walking in a typical week, or typical walking duration when walked, or number of days walked in social company) </w:t>
      </w:r>
      <w:r w:rsidR="0073749C" w:rsidRPr="0073749C">
        <w:rPr>
          <w:rFonts w:ascii="Times New Roman" w:hAnsi="Times New Roman"/>
        </w:rPr>
        <w:t xml:space="preserve">are more easily and accurately recalled relative to specific behaviors such as walk duration in the afternoon of a specific day or with whom walked </w:t>
      </w:r>
      <w:r w:rsidR="00BA53C2" w:rsidRPr="00BA53C2">
        <w:rPr>
          <w:rFonts w:ascii="Times New Roman" w:hAnsi="Times New Roman"/>
        </w:rPr>
        <w:t xml:space="preserve">(if walked) </w:t>
      </w:r>
      <w:r w:rsidR="004204DE" w:rsidRPr="004204DE">
        <w:rPr>
          <w:rFonts w:ascii="Times New Roman" w:hAnsi="Times New Roman"/>
        </w:rPr>
        <w:t>on a specific day</w:t>
      </w:r>
      <w:r w:rsidR="00BA53C2" w:rsidRPr="00BA53C2">
        <w:rPr>
          <w:rFonts w:ascii="Times New Roman" w:hAnsi="Times New Roman"/>
        </w:rPr>
        <w:t xml:space="preserve">. </w:t>
      </w:r>
      <w:r w:rsidR="00BE2DD6" w:rsidRPr="00BE2DD6">
        <w:rPr>
          <w:rFonts w:ascii="Times New Roman" w:hAnsi="Times New Roman"/>
        </w:rPr>
        <w:t>On the other hand, while it may seem that more “objective” measures of walking, such as those based on wearable GPS devices, may better reflect “ground truth”, such data can miss many walking trips and also not provide a good sense of “typical” walking patterns because they collect data over relatively short periods of time that do not necessarily represent “typical” patterns</w:t>
      </w:r>
      <w:r w:rsidR="00BA53C2" w:rsidRPr="00BA53C2">
        <w:rPr>
          <w:rFonts w:ascii="Times New Roman" w:hAnsi="Times New Roman"/>
        </w:rPr>
        <w:t xml:space="preserve"> </w:t>
      </w:r>
      <w:r w:rsidR="00F92687">
        <w:rPr>
          <w:rFonts w:ascii="Times New Roman" w:hAnsi="Times New Roman"/>
        </w:rPr>
        <w:fldChar w:fldCharType="begin"/>
      </w:r>
      <w:r w:rsidR="00A254CC">
        <w:rPr>
          <w:rFonts w:ascii="Times New Roman" w:hAnsi="Times New Roman"/>
        </w:rPr>
        <w:instrText xml:space="preserve"> ADDIN ZOTERO_ITEM CSL_CITATION {"citationID":"lffN0A6W","properties":{"formattedCitation":"(Paz-Soldan et al., 2014)","plainCitation":"(Paz-Soldan et al., 2014)","noteIndex":1},"citationItems":[{"id":"4nY7bDZH/YIYFhPGV","uris":["http://zotero.org/users/10132210/items/EAC2CEMC"],"itemData":{"id":2399,"type":"article-journal","container-title":"PLoS Neglected Tropical Diseases","DOI":"10.1371/journal.pntd.0002888","ISSN":"1935-2735","issue":"6","journalAbbreviation":"PLoS Negl Trop Dis","language":"en","page":"e2888","source":"DOI.org (Crossref)","title":"Strengths and Weaknesses of Global Positioning System (GPS) Data-Loggers and Semi-structured Interviews for Capturing Fine-scale Human Mobility: Findings from Iquitos, Peru","title-short":"Strengths and Weaknesses of Global Positioning System (GPS) Data-Loggers and Semi-structured Interviews for Capturing Fine-scale Human Mobility","volume":"8","author":[{"family":"Paz-Soldan","given":"Valerie A."},{"family":"Reiner","given":"Robert C."},{"family":"Morrison","given":"Amy C."},{"family":"Stoddard","given":"Steven T."},{"family":"Kitron","given":"Uriel"},{"family":"Scott","given":"Thomas W."},{"family":"Elder","given":"John P."},{"family":"Halsey","given":"Eric S."},{"family":"Kochel","given":"Tadeusz J."},{"family":"Astete","given":"Helvio"},{"family":"Vazquez-Prokopec","given":"Gonzalo M."}],"editor":[{"family":"Jones","given":"Malcolm K."}],"issued":{"date-parts":[["2014",6,12]]}}}],"schema":"https://github.com/citation-style-language/schema/raw/master/csl-citation.json"} </w:instrText>
      </w:r>
      <w:r w:rsidR="00F92687">
        <w:rPr>
          <w:rFonts w:ascii="Times New Roman" w:hAnsi="Times New Roman"/>
        </w:rPr>
        <w:fldChar w:fldCharType="separate"/>
      </w:r>
      <w:r w:rsidR="00F92687" w:rsidRPr="00F92687">
        <w:rPr>
          <w:rFonts w:ascii="Times New Roman" w:hAnsi="Times New Roman"/>
        </w:rPr>
        <w:t>(Paz-Soldan et al., 2014)</w:t>
      </w:r>
      <w:r w:rsidR="00F92687">
        <w:rPr>
          <w:rFonts w:ascii="Times New Roman" w:hAnsi="Times New Roman"/>
        </w:rPr>
        <w:fldChar w:fldCharType="end"/>
      </w:r>
      <w:r w:rsidR="00BA53C2" w:rsidRPr="00BA53C2">
        <w:rPr>
          <w:rFonts w:ascii="Times New Roman" w:hAnsi="Times New Roman"/>
        </w:rPr>
        <w:t xml:space="preserve">. As indicated by </w:t>
      </w:r>
      <w:r w:rsidR="006160E0">
        <w:rPr>
          <w:rFonts w:ascii="Times New Roman" w:hAnsi="Times New Roman"/>
        </w:rPr>
        <w:fldChar w:fldCharType="begin"/>
      </w:r>
      <w:r w:rsidR="00A254CC">
        <w:rPr>
          <w:rFonts w:ascii="Times New Roman" w:hAnsi="Times New Roman"/>
        </w:rPr>
        <w:instrText xml:space="preserve"> ADDIN ZOTERO_ITEM CSL_CITATION {"citationID":"sHD967Oy","properties":{"formattedCitation":"(Bhat, 2022)","plainCitation":"(Bhat, 2022)","dontUpdate":true,"noteIndex":1},"citationItems":[{"id":"4nY7bDZH/vffGf4Kf","uris":["http://zotero.org/users/10132210/items/TR4KMH5I"],"itemData":{"id":2403,"type":"article-journal","container-title":"ITE Journal","issue":"10","page":"29-33","title":"Data collection methods and activity-travel behavior analysis in a fast evolving technological future","volume":"92","author":[{"family":"Bhat","given":"Chandra R"}],"issued":{"date-parts":[["2022"]]}}}],"schema":"https://github.com/citation-style-language/schema/raw/master/csl-citation.json"} </w:instrText>
      </w:r>
      <w:r w:rsidR="006160E0">
        <w:rPr>
          <w:rFonts w:ascii="Times New Roman" w:hAnsi="Times New Roman"/>
        </w:rPr>
        <w:fldChar w:fldCharType="separate"/>
      </w:r>
      <w:r w:rsidR="006160E0" w:rsidRPr="006160E0">
        <w:rPr>
          <w:rFonts w:ascii="Times New Roman" w:hAnsi="Times New Roman"/>
        </w:rPr>
        <w:t xml:space="preserve">Bhat </w:t>
      </w:r>
      <w:r w:rsidR="006160E0">
        <w:rPr>
          <w:rFonts w:ascii="Times New Roman" w:hAnsi="Times New Roman"/>
        </w:rPr>
        <w:t>(</w:t>
      </w:r>
      <w:r w:rsidR="006160E0" w:rsidRPr="006160E0">
        <w:rPr>
          <w:rFonts w:ascii="Times New Roman" w:hAnsi="Times New Roman"/>
        </w:rPr>
        <w:t>2022)</w:t>
      </w:r>
      <w:r w:rsidR="006160E0">
        <w:rPr>
          <w:rFonts w:ascii="Times New Roman" w:hAnsi="Times New Roman"/>
        </w:rPr>
        <w:fldChar w:fldCharType="end"/>
      </w:r>
      <w:r w:rsidR="00BA53C2" w:rsidRPr="00BA53C2">
        <w:rPr>
          <w:rFonts w:ascii="Times New Roman" w:hAnsi="Times New Roman"/>
        </w:rPr>
        <w:t xml:space="preserve">, </w:t>
      </w:r>
      <w:r w:rsidR="00F131FB" w:rsidRPr="00F131FB">
        <w:rPr>
          <w:rFonts w:ascii="Times New Roman" w:hAnsi="Times New Roman"/>
        </w:rPr>
        <w:t>none of the many data collection approaches can be unequivocally considered as providing the “ideal data” or even the “best data” for “ground truth”.</w:t>
      </w:r>
    </w:p>
  </w:footnote>
  <w:footnote w:id="3">
    <w:p w14:paraId="55E187BD" w14:textId="4C95F27A" w:rsidR="00DD6936" w:rsidRPr="00D37534" w:rsidRDefault="00DD6936" w:rsidP="007F24B9">
      <w:pPr>
        <w:autoSpaceDE w:val="0"/>
        <w:autoSpaceDN w:val="0"/>
        <w:adjustRightInd w:val="0"/>
        <w:spacing w:after="60"/>
        <w:jc w:val="both"/>
        <w:rPr>
          <w:rFonts w:ascii="Times New Roman" w:eastAsia="Malgun Gothic" w:hAnsi="Times New Roman"/>
          <w:color w:val="000000"/>
          <w:sz w:val="20"/>
        </w:rPr>
      </w:pPr>
      <w:bookmarkStart w:id="32" w:name="_Hlk196566991"/>
      <w:r w:rsidRPr="00D37534">
        <w:rPr>
          <w:rStyle w:val="FootnoteReference"/>
          <w:rFonts w:ascii="Times New Roman" w:hAnsi="Times New Roman"/>
          <w:sz w:val="20"/>
        </w:rPr>
        <w:footnoteRef/>
      </w:r>
      <w:r w:rsidRPr="00D37534">
        <w:rPr>
          <w:rFonts w:ascii="Times New Roman" w:eastAsia="Malgun Gothic" w:hAnsi="Times New Roman"/>
          <w:sz w:val="20"/>
        </w:rPr>
        <w:t>Further,</w:t>
      </w:r>
      <w:r w:rsidR="00455867" w:rsidRPr="00D37534">
        <w:rPr>
          <w:rFonts w:ascii="Times New Roman" w:eastAsia="Malgun Gothic" w:hAnsi="Times New Roman"/>
          <w:sz w:val="20"/>
        </w:rPr>
        <w:t xml:space="preserve"> while acknowledging their importance, we note that </w:t>
      </w:r>
      <w:r w:rsidRPr="00D37534">
        <w:rPr>
          <w:rFonts w:ascii="Times New Roman" w:eastAsia="Malgun Gothic" w:hAnsi="Times New Roman"/>
          <w:sz w:val="20"/>
        </w:rPr>
        <w:t xml:space="preserve">most studies considering BE measures ignore the potential endogeneity of these measures to walking behavior. </w:t>
      </w:r>
      <w:r w:rsidRPr="00D37534">
        <w:rPr>
          <w:rFonts w:ascii="Times New Roman" w:hAnsi="Times New Roman"/>
          <w:sz w:val="20"/>
        </w:rPr>
        <w:t>This is particularly important when using cross-sectional data, because of the potential comingling of “true” BE effects with a spurious associative effect originating from the non-random assignment of individuals to residential locations.</w:t>
      </w:r>
      <w:r w:rsidR="00F856E8" w:rsidRPr="00D37534">
        <w:rPr>
          <w:rFonts w:ascii="Times New Roman" w:eastAsiaTheme="minorEastAsia" w:hAnsi="Times New Roman"/>
          <w:sz w:val="20"/>
          <w:lang w:eastAsia="ko-KR"/>
        </w:rPr>
        <w:t xml:space="preserve"> </w:t>
      </w:r>
      <w:r w:rsidR="00F856E8" w:rsidRPr="00D37534">
        <w:rPr>
          <w:rFonts w:ascii="Times New Roman" w:eastAsiaTheme="minorEastAsia" w:hAnsi="Times New Roman"/>
          <w:sz w:val="20"/>
          <w:lang w:eastAsia="ko-KR"/>
        </w:rPr>
        <w:fldChar w:fldCharType="begin"/>
      </w:r>
      <w:r w:rsidR="00A254CC">
        <w:rPr>
          <w:rFonts w:ascii="Times New Roman" w:eastAsiaTheme="minorEastAsia" w:hAnsi="Times New Roman"/>
          <w:sz w:val="20"/>
          <w:lang w:eastAsia="ko-KR"/>
        </w:rPr>
        <w:instrText xml:space="preserve"> ADDIN ZOTERO_ITEM CSL_CITATION {"citationID":"nrGXbmZ0","properties":{"formattedCitation":"(Bhat &amp; Guo, 2007)","plainCitation":"(Bhat &amp; Guo, 2007)","dontUpdate":true,"noteIndex":2},"citationItems":[{"id":"4nY7bDZH/eG4eABHE","uris":["http://zotero.org/users/10132210/items/HFHPFCTJ"],"itemData":{"id":1608,"type":"article-journal","abstract":"There has been an increasing interest in the land use-transportation connection in the past decade, motivated by the possibility that design policies associated with the built environment can be used to control, manage, and shape individual traveler behavior and aggregate travel demand. In this line of research and application pursuit, it is critical to understand whether the empirically observed association between the built environment and travel behavior-related variables is a true reﬂection of underlying causality or simply a spurious correlation attributable to the intervening relationship between the built environment and the characteristics of people who choose to live in particular built environments.","container-title":"Transportation Research Part B: Methodological","DOI":"10.1016/j.trb.2005.12.005","ISSN":"01912615","issue":"5","journalAbbreviation":"Transportation Research Part B: Methodological","language":"en","license":"https://www.elsevier.com/tdm/userlicense/1.0/","page":"506-526","source":"DOI.org (Crossref)","title":"A comprehensive analysis of built environment characteristics on household residential choice and auto ownership levels","volume":"41","author":[{"family":"Bhat","given":"Chandra R."},{"family":"Guo","given":"Jessica Y."}],"issued":{"date-parts":[["2007",6]]}}}],"schema":"https://github.com/citation-style-language/schema/raw/master/csl-citation.json"} </w:instrText>
      </w:r>
      <w:r w:rsidR="00F856E8" w:rsidRPr="00D37534">
        <w:rPr>
          <w:rFonts w:ascii="Times New Roman" w:eastAsiaTheme="minorEastAsia" w:hAnsi="Times New Roman"/>
          <w:sz w:val="20"/>
          <w:lang w:eastAsia="ko-KR"/>
        </w:rPr>
        <w:fldChar w:fldCharType="separate"/>
      </w:r>
      <w:r w:rsidR="00F856E8" w:rsidRPr="00D37534">
        <w:rPr>
          <w:rFonts w:ascii="Times New Roman" w:hAnsi="Times New Roman"/>
          <w:sz w:val="20"/>
        </w:rPr>
        <w:t xml:space="preserve">Bhat </w:t>
      </w:r>
      <w:r w:rsidR="00F856E8" w:rsidRPr="00D37534">
        <w:rPr>
          <w:rFonts w:ascii="Times New Roman" w:eastAsiaTheme="minorEastAsia" w:hAnsi="Times New Roman"/>
          <w:sz w:val="20"/>
          <w:lang w:eastAsia="ko-KR"/>
        </w:rPr>
        <w:t>and</w:t>
      </w:r>
      <w:r w:rsidR="00F856E8" w:rsidRPr="00D37534">
        <w:rPr>
          <w:rFonts w:ascii="Times New Roman" w:hAnsi="Times New Roman"/>
          <w:sz w:val="20"/>
        </w:rPr>
        <w:t xml:space="preserve"> Guo </w:t>
      </w:r>
      <w:r w:rsidR="00F856E8" w:rsidRPr="00D37534">
        <w:rPr>
          <w:rFonts w:ascii="Times New Roman" w:eastAsiaTheme="minorEastAsia" w:hAnsi="Times New Roman"/>
          <w:sz w:val="20"/>
          <w:lang w:eastAsia="ko-KR"/>
        </w:rPr>
        <w:t>(</w:t>
      </w:r>
      <w:r w:rsidR="00F856E8" w:rsidRPr="00D37534">
        <w:rPr>
          <w:rFonts w:ascii="Times New Roman" w:hAnsi="Times New Roman"/>
          <w:sz w:val="20"/>
        </w:rPr>
        <w:t>2007)</w:t>
      </w:r>
      <w:r w:rsidR="00F856E8" w:rsidRPr="00D37534">
        <w:rPr>
          <w:rFonts w:ascii="Times New Roman" w:eastAsiaTheme="minorEastAsia" w:hAnsi="Times New Roman"/>
          <w:sz w:val="20"/>
          <w:lang w:eastAsia="ko-KR"/>
        </w:rPr>
        <w:fldChar w:fldCharType="end"/>
      </w:r>
      <w:bookmarkStart w:id="33" w:name="_Hlk155432740"/>
      <w:r w:rsidRPr="00D37534">
        <w:rPr>
          <w:rFonts w:ascii="Times New Roman" w:hAnsi="Times New Roman"/>
          <w:color w:val="000000" w:themeColor="text1"/>
          <w:sz w:val="20"/>
        </w:rPr>
        <w:t xml:space="preserve"> discuss this residential self-selection issue at length. More recent studies that establish the presence of such self-selection effects include</w:t>
      </w:r>
      <w:r w:rsidR="00F856E8" w:rsidRPr="00D37534">
        <w:rPr>
          <w:rFonts w:ascii="Times New Roman" w:eastAsiaTheme="minorEastAsia" w:hAnsi="Times New Roman"/>
          <w:color w:val="000000" w:themeColor="text1"/>
          <w:sz w:val="20"/>
          <w:lang w:eastAsia="ko-KR"/>
        </w:rPr>
        <w:t xml:space="preserve"> </w:t>
      </w:r>
      <w:r w:rsidR="00F856E8" w:rsidRPr="00D37534">
        <w:rPr>
          <w:rFonts w:ascii="Times New Roman" w:eastAsiaTheme="minorEastAsia" w:hAnsi="Times New Roman"/>
          <w:color w:val="000000" w:themeColor="text1"/>
          <w:sz w:val="20"/>
          <w:lang w:eastAsia="ko-KR"/>
        </w:rPr>
        <w:fldChar w:fldCharType="begin"/>
      </w:r>
      <w:r w:rsidR="00A254CC">
        <w:rPr>
          <w:rFonts w:ascii="Times New Roman" w:eastAsiaTheme="minorEastAsia" w:hAnsi="Times New Roman"/>
          <w:color w:val="000000" w:themeColor="text1"/>
          <w:sz w:val="20"/>
          <w:lang w:eastAsia="ko-KR"/>
        </w:rPr>
        <w:instrText xml:space="preserve"> ADDIN ZOTERO_ITEM CSL_CITATION {"citationID":"ZI5mhpWB","properties":{"unsorted":true,"formattedCitation":"(Van Wee, 2009; Van Acker et al., 2014; Bhat et al., 2016; Bhat, 2024)","plainCitation":"(Van Wee, 2009; Van Acker et al., 2014; Bhat et al., 2016; Bhat, 2024)","dontUpdate":true,"noteIndex":2},"citationItems":[{"id":"4nY7bDZH/QwPoT2Jz","uris":["http://zotero.org/users/10132210/items/UTT8RE3Q"],"itemData":{"id":1610,"type":"article-journal","abstract":"In the last decade the importance of attitude-related residential self-selection has frequently been recognized. In addition people can theoretically self-select them with respect to other location choices, such as job locations, with respect to travel behaviour, or with respect to the exposure to transport externalities such as noise and congestion. In this paper, we argue that insights into self-selection processes might significantly improve our knowledge on location choices, travel behaviour and transport externalities. We elaborate on options for self-selection and briefly formulate methodologies for research into self-selection.","container-title":"Transport Reviews","DOI":"10.1080/01441640902752961","ISSN":"0144-1647, 1464-5327","issue":"3","journalAbbreviation":"Transport Reviews","language":"en","page":"279-292","source":"DOI.org (Crossref)","title":"Self‐Selection: A Key to a Better Understanding of Location Choices, Travel Behaviour and Transport Externalities?","title-short":"Self‐Selection","volume":"29","author":[{"family":"Van Wee","given":"Bert"}],"issued":{"date-parts":[["2009",5]]}}},{"id":"4nY7bDZH/e8Giztcu","uris":["http://zotero.org/users/10132210/items/SNZ2ETM6"],"itemData":{"id":1612,"type":"article-journal","abstract":"The majority of land use-travel behaviour studies only considers the direct inﬂuence of spatial characteristics on daily travel behaviour. However, this framework should be expanded. A ﬁrst step is to explore the complex interdependencies of long-term lifestyle decisions, medium-term decisions about residential location and car ownership, and the underlying residential and travel attitudes. Travel behaviour should be considered within a hierarchy of decisions while considering the motivational background of these decisions. Using data from an Internet survey completed by þ1800 respondents in Flanders, Belgium, this paper deﬁnes car ownership somewhat more broadly as car availability. Results of a structural equation model indicate a signiﬁcant direct effect of the residential neighbourhood on car availability. However, effects are small compared to the inﬂuence of other variables such as stage of life and travel (mode) attitude, the latter referring to travel-related selfselection. Moreover, one should keep in mind that residential attitudes remain important in the initial selection of the residential neighbourhood and its spatial characteristics, indicating the need to control for residential self-selection.","container-title":"Transport Policy","DOI":"10.1016/j.tranpol.2014.05.006","ISSN":"0967070X","journalAbbreviation":"Transport Policy","language":"en","page":"88-99","source":"DOI.org (Crossref)","title":"Car availability explained by the structural relationships between lifestyles, residential location, and underlying residential and travel attitudes","volume":"35","author":[{"family":"Van Acker","given":"Veronique"},{"family":"Mokhtarian","given":"Patricia L."},{"family":"Witlox","given":"Frank"}],"issued":{"date-parts":[["2014",9]]}}},{"id":"4nY7bDZH/ovdjVU3J","uris":["http://zotero.org/users/10132210/items/TPHXMB8N"],"itemData":{"id":1620,"type":"article-journal","abstract":"This paper makes both a methodological contribution as well as an empirical contribution. From a methodological perspective, we propose a new econometric approach for the estimation of joint mixed models that include a multiple discrete choice outcome and a nominal discrete outcome, in addition to the count, binary/ordinal outcomes, and continuous outcomes considered in traditional structural equation models. These outcomes are modeled together by specifying latent underlying unobserved individual lifestyle, personality, and attitudinal factors that impact the many outcomes, and generate the jointness among the outcomes. From an empirical perspective, we analyze residential location choice, household vehicle ownership choice, as well as time-use choices, and investigate the extent of association versus causality in the effects of residential density on activity participation and mobility choices. The sample for the empirical application is drawn from a travel survey conducted in the Puget Sound Region in 2014. The results show that residential density effects on activity participation and motorized auto ownership are both associative as well as causal, emphasizing that accounting for residential self-selection effects are not simply esoteric econometric pursuits, but can have important implications for land-use policy measures that focus on neo-urbanist design.","container-title":"Transportation Research Part B: Methodological","DOI":"10.1016/j.trb.2016.03.007","ISSN":"01912615","journalAbbreviation":"Transportation Research Part B: Methodological","language":"en","page":"52-76","source":"DOI.org (Crossref)","title":"Incorporating a multiple discrete-continuous outcome in the generalized heterogeneous data model: Application to residential self-selection effects analysis in an activity time-use behavior model","title-short":"Incorporating a multiple discrete-continuous outcome in the generalized heterogeneous data model","volume":"91","author":[{"family":"Bhat","given":"Chandra R."},{"family":"Astroza","given":"Sebastian"},{"family":"Bhat","given":"Aarti C."},{"family":"Nagel","given":"Kai"}],"issued":{"date-parts":[["2016",9]]}}},{"id":"4nY7bDZH/gMuvXxxK","uris":["http://zotero.org/users/10132210/items/PKIUPAAX"],"itemData":{"id":2308,"type":"article-journal","abstract":"In this paper, we propose a reverse Yeonjoo-Johnson (YJ) transformation to accommodate flexible skewed and fat-tailed specifications of stochastic terms in multivariate choice models. Essentially, we specify a YJ transformation of the univariate error terms to a univariate symmetric distribution, and then tie the resulting transformed univariate symmetric terms into a convenient symmetric multivariate distribution. In this paper, we use a normal distribution for the transformed univariate symmetric terms and bring these together using a multivariate normal distribution. In this way, the original non-normal error terms become reverse YJ-transformed. The use of such a flexible parametric distribution lends additional robustness to the maximum likelihood (ML) estimator. The proposed approach can be applied to a number of different univariate and multivariate mixed modeling choice structures. In a demonstration application, in the current paper, the proposed model is applied to investigate the effect of urban living on walking frequency, considering the choice of urban living as being endogenous to walking frequency.","container-title":"Journal of Choice Modelling","DOI":"10.1016/j.jocm.2024.100522","ISSN":"17555345","journalAbbreviation":"Journal of Choice Modelling","language":"en","page":"100522","source":"DOI.org (Crossref)","title":"Transformation-based flexible error structures for choice modeling","volume":"53","author":[{"family":"Bhat","given":"Chandra R."}],"issued":{"date-parts":[["2024",12]]}}}],"schema":"https://github.com/citation-style-language/schema/raw/master/csl-citation.json"} </w:instrText>
      </w:r>
      <w:r w:rsidR="00F856E8" w:rsidRPr="00D37534">
        <w:rPr>
          <w:rFonts w:ascii="Times New Roman" w:eastAsiaTheme="minorEastAsia" w:hAnsi="Times New Roman"/>
          <w:color w:val="000000" w:themeColor="text1"/>
          <w:sz w:val="20"/>
          <w:lang w:eastAsia="ko-KR"/>
        </w:rPr>
        <w:fldChar w:fldCharType="separate"/>
      </w:r>
      <w:r w:rsidR="00843529" w:rsidRPr="00D37534">
        <w:rPr>
          <w:rFonts w:ascii="Times New Roman" w:hAnsi="Times New Roman"/>
          <w:sz w:val="20"/>
        </w:rPr>
        <w:t>Van Wee, 2009; Van Acker et al., 2014; Bhat et al., 2016; Bhat, 2024</w:t>
      </w:r>
      <w:r w:rsidR="00F856E8" w:rsidRPr="00D37534">
        <w:rPr>
          <w:rFonts w:ascii="Times New Roman" w:eastAsiaTheme="minorEastAsia" w:hAnsi="Times New Roman"/>
          <w:color w:val="000000" w:themeColor="text1"/>
          <w:sz w:val="20"/>
          <w:lang w:eastAsia="ko-KR"/>
        </w:rPr>
        <w:fldChar w:fldCharType="end"/>
      </w:r>
      <w:r w:rsidR="00843529" w:rsidRPr="00D37534">
        <w:rPr>
          <w:rFonts w:ascii="Times New Roman" w:eastAsiaTheme="minorEastAsia" w:hAnsi="Times New Roman"/>
          <w:color w:val="000000" w:themeColor="text1"/>
          <w:sz w:val="20"/>
          <w:lang w:eastAsia="ko-KR"/>
        </w:rPr>
        <w:t>.</w:t>
      </w:r>
      <w:r w:rsidRPr="00D37534">
        <w:rPr>
          <w:rFonts w:ascii="Times New Roman" w:hAnsi="Times New Roman"/>
          <w:sz w:val="20"/>
        </w:rPr>
        <w:t xml:space="preserve"> </w:t>
      </w:r>
      <w:r w:rsidR="00171CB1" w:rsidRPr="00D37534">
        <w:rPr>
          <w:rFonts w:ascii="Times New Roman" w:hAnsi="Times New Roman"/>
          <w:sz w:val="20"/>
        </w:rPr>
        <w:fldChar w:fldCharType="begin"/>
      </w:r>
      <w:r w:rsidR="00A254CC">
        <w:rPr>
          <w:rFonts w:ascii="Times New Roman" w:hAnsi="Times New Roman"/>
          <w:sz w:val="20"/>
        </w:rPr>
        <w:instrText xml:space="preserve"> ADDIN ZOTERO_ITEM CSL_CITATION {"citationID":"ZGWd3fbo","properties":{"formattedCitation":"(Guan et al., 2020)","plainCitation":"(Guan et al., 2020)","dontUpdate":true,"noteIndex":2},"citationItems":[{"id":"4nY7bDZH/ThAdQo8v","uris":["http://zotero.org/users/10132210/items/QJ4V7NCU"],"itemData":{"id":1614,"type":"article-journal","abstract":"Residential self-selection (RSS) is an important concern in the land use-travel research. Although many studies have addressed RSS during the past two decades, empirical results are inconsistent in terms of the existence, magnitude, and direction of self-selection bias. Moreover, recent studies substantiated other plausible associations within the theoretical framework of RSS, such as the endogeneity of travel attitudes. These further complicate the role of RSS in the land use-travel relationship. To improve understanding, this paper summarises recent progress in the RSS research, especially the studies published in the last decade. Speciﬁcally, we review three types of inﬂuences among the built environment, attitudes, and travel behaviour, and discuss unsolved problems within each type. We also discuss measurement issues of the built environment and attitudes in the RSS research. Because attitudes could be confounders, moderators, and mediators of the link between the built environment and travel behaviour, we recommend panel data with at least three waves of household travel surveys to address the complicated inﬂuences of attitudes. Future research needs to be more process-oriented to better understand the nature of RSS and its complex roles in the land usetravel research.","container-title":"Transport Reviews","DOI":"10.1080/01441647.2019.1692965","ISSN":"0144-1647, 1464-5327","issue":"3","journalAbbreviation":"Transport Reviews","language":"en","page":"267-287","source":"DOI.org (Crossref)","title":"The role of residential self-selection in land use-travel research: a review of recent findings","title-short":"The role of residential self-selection in land use-travel research","volume":"40","author":[{"family":"Guan","given":"Xiaodong"},{"family":"Wang","given":"Donggen"},{"family":"Jason Cao","given":"Xinyu"}],"issued":{"date-parts":[["2020",5,3]]}}}],"schema":"https://github.com/citation-style-language/schema/raw/master/csl-citation.json"} </w:instrText>
      </w:r>
      <w:r w:rsidR="00171CB1" w:rsidRPr="00D37534">
        <w:rPr>
          <w:rFonts w:ascii="Times New Roman" w:hAnsi="Times New Roman"/>
          <w:sz w:val="20"/>
        </w:rPr>
        <w:fldChar w:fldCharType="separate"/>
      </w:r>
      <w:r w:rsidR="00171CB1" w:rsidRPr="00D37534">
        <w:rPr>
          <w:rFonts w:ascii="Times New Roman" w:hAnsi="Times New Roman"/>
          <w:sz w:val="20"/>
        </w:rPr>
        <w:t xml:space="preserve">Guan et al., </w:t>
      </w:r>
      <w:r w:rsidR="003579F5" w:rsidRPr="00D37534">
        <w:rPr>
          <w:rFonts w:ascii="Times New Roman" w:eastAsiaTheme="minorEastAsia" w:hAnsi="Times New Roman"/>
          <w:sz w:val="20"/>
          <w:lang w:eastAsia="ko-KR"/>
        </w:rPr>
        <w:t>(</w:t>
      </w:r>
      <w:r w:rsidR="00171CB1" w:rsidRPr="00D37534">
        <w:rPr>
          <w:rFonts w:ascii="Times New Roman" w:hAnsi="Times New Roman"/>
          <w:sz w:val="20"/>
        </w:rPr>
        <w:t>2020)</w:t>
      </w:r>
      <w:r w:rsidR="00171CB1" w:rsidRPr="00D37534">
        <w:rPr>
          <w:rFonts w:ascii="Times New Roman" w:hAnsi="Times New Roman"/>
          <w:sz w:val="20"/>
        </w:rPr>
        <w:fldChar w:fldCharType="end"/>
      </w:r>
      <w:r w:rsidRPr="00D37534">
        <w:rPr>
          <w:rFonts w:ascii="Times New Roman" w:hAnsi="Times New Roman"/>
          <w:color w:val="000000" w:themeColor="text1"/>
          <w:sz w:val="20"/>
        </w:rPr>
        <w:t xml:space="preserve"> </w:t>
      </w:r>
      <w:bookmarkEnd w:id="33"/>
      <w:r w:rsidRPr="00D37534">
        <w:rPr>
          <w:rFonts w:ascii="Times New Roman" w:hAnsi="Times New Roman"/>
          <w:color w:val="000000" w:themeColor="text1"/>
          <w:sz w:val="20"/>
        </w:rPr>
        <w:t xml:space="preserve">provides an exhaustive review of this self-selection literature. In this study, we steer clear of these </w:t>
      </w:r>
      <w:r w:rsidR="007B4C29" w:rsidRPr="00D37534">
        <w:rPr>
          <w:rFonts w:ascii="Times New Roman" w:hAnsi="Times New Roman"/>
          <w:color w:val="000000" w:themeColor="text1"/>
          <w:sz w:val="20"/>
        </w:rPr>
        <w:t xml:space="preserve">endogeneity </w:t>
      </w:r>
      <w:r w:rsidRPr="00D37534">
        <w:rPr>
          <w:rFonts w:ascii="Times New Roman" w:hAnsi="Times New Roman"/>
          <w:color w:val="000000" w:themeColor="text1"/>
          <w:sz w:val="20"/>
        </w:rPr>
        <w:t xml:space="preserve">issues </w:t>
      </w:r>
      <w:r w:rsidR="007B4C29" w:rsidRPr="00D37534">
        <w:rPr>
          <w:rFonts w:ascii="Times New Roman" w:hAnsi="Times New Roman"/>
          <w:color w:val="000000" w:themeColor="text1"/>
          <w:sz w:val="20"/>
        </w:rPr>
        <w:t xml:space="preserve">(which can lead to incorrect inferences about BE effects) </w:t>
      </w:r>
      <w:r w:rsidRPr="00D37534">
        <w:rPr>
          <w:rFonts w:ascii="Times New Roman" w:hAnsi="Times New Roman"/>
          <w:color w:val="000000" w:themeColor="text1"/>
          <w:sz w:val="20"/>
        </w:rPr>
        <w:t>by not considering any BE measure as an exogenous variab</w:t>
      </w:r>
      <w:r w:rsidR="007B4C29" w:rsidRPr="00D37534">
        <w:rPr>
          <w:rFonts w:ascii="Times New Roman" w:hAnsi="Times New Roman"/>
          <w:color w:val="000000" w:themeColor="text1"/>
          <w:sz w:val="20"/>
        </w:rPr>
        <w:t xml:space="preserve">le. </w:t>
      </w:r>
      <w:r w:rsidRPr="00D37534">
        <w:rPr>
          <w:rFonts w:ascii="Times New Roman" w:hAnsi="Times New Roman"/>
          <w:color w:val="000000" w:themeColor="text1"/>
          <w:sz w:val="20"/>
        </w:rPr>
        <w:t xml:space="preserve">In any case, BE measures cannot be constructed in our study, because, other than the Census Division (and Region) of residence, no other geo-location identifier of an individual’s residence was collected in the AARP survey. But, as indicated earlier, the AARP survey is a timely and rich source of walking behavior of older adults in the aftermath of the pandemic. </w:t>
      </w:r>
    </w:p>
    <w:bookmarkEnd w:id="32"/>
  </w:footnote>
  <w:footnote w:id="4">
    <w:p w14:paraId="4347C0F3" w14:textId="1A8DFC17" w:rsidR="00B41242" w:rsidRPr="00D37534" w:rsidRDefault="00B41242" w:rsidP="003518AB">
      <w:pPr>
        <w:pStyle w:val="FootnoteText"/>
        <w:jc w:val="both"/>
        <w:rPr>
          <w:rFonts w:ascii="Times New Roman" w:hAnsi="Times New Roman"/>
        </w:rPr>
      </w:pPr>
      <w:r w:rsidRPr="00D37534">
        <w:rPr>
          <w:rStyle w:val="FootnoteReference"/>
          <w:rFonts w:ascii="Times New Roman" w:hAnsi="Times New Roman"/>
        </w:rPr>
        <w:footnoteRef/>
      </w:r>
      <w:r w:rsidRPr="00D37534">
        <w:rPr>
          <w:rFonts w:ascii="Times New Roman" w:hAnsi="Times New Roman"/>
        </w:rPr>
        <w:t>In joint limited dependent variable models such as the one estimated in the current paper, logical consistency considerations allow only one-way recursive effects, where the observed value of one endogenous variable can influence the underlying propensity of another endogenous variable, but not vice versa. This is discussed in detail in</w:t>
      </w:r>
      <w:r w:rsidRPr="00D37534">
        <w:rPr>
          <w:rFonts w:ascii="Times New Roman" w:eastAsiaTheme="minorEastAsia" w:hAnsi="Times New Roman"/>
          <w:lang w:eastAsia="ko-KR"/>
        </w:rPr>
        <w:t xml:space="preserve"> </w:t>
      </w:r>
      <w:r w:rsidRPr="00D37534">
        <w:rPr>
          <w:rFonts w:ascii="Times New Roman" w:eastAsiaTheme="minorEastAsia" w:hAnsi="Times New Roman"/>
          <w:lang w:eastAsia="ko-KR"/>
        </w:rPr>
        <w:fldChar w:fldCharType="begin"/>
      </w:r>
      <w:r w:rsidR="00A254CC">
        <w:rPr>
          <w:rFonts w:ascii="Times New Roman" w:eastAsiaTheme="minorEastAsia" w:hAnsi="Times New Roman"/>
          <w:lang w:eastAsia="ko-KR"/>
        </w:rPr>
        <w:instrText xml:space="preserve"> ADDIN ZOTERO_ITEM CSL_CITATION {"citationID":"g0X9e2Rm","properties":{"formattedCitation":"(Bhat, 2015)","plainCitation":"(Bhat, 2015)","noteIndex":3},"citationItems":[{"id":"4nY7bDZH/lPV2zF20","uris":["http://zotero.org/users/10132210/items/QL3P4LZD"],"itemData":{"id":1131,"type":"article-journal","abstract":"This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Sufﬁciency conditions for identiﬁcation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Methodological","DOI":"10.1016/j.trb.2015.05.017","ISSN":"01912615","journalAbbreviation":"Transportation Research Part B: Methodological","language":"en","page":"50-77","source":"DOI.org (Crossref)","title":"A new generalized heterogeneous data model (GHDM) to jointly model mixed types of dependent variables","volume":"79","author":[{"family":"Bhat","given":"Chandra R."}],"issued":{"date-parts":[["2015",9]]}}}],"schema":"https://github.com/citation-style-language/schema/raw/master/csl-citation.json"} </w:instrText>
      </w:r>
      <w:r w:rsidRPr="00D37534">
        <w:rPr>
          <w:rFonts w:ascii="Times New Roman" w:eastAsiaTheme="minorEastAsia" w:hAnsi="Times New Roman"/>
          <w:lang w:eastAsia="ko-KR"/>
        </w:rPr>
        <w:fldChar w:fldCharType="separate"/>
      </w:r>
      <w:r w:rsidRPr="00D37534">
        <w:rPr>
          <w:rFonts w:ascii="Times New Roman" w:hAnsi="Times New Roman"/>
        </w:rPr>
        <w:t>(Bhat, 2015)</w:t>
      </w:r>
      <w:r w:rsidRPr="00D37534">
        <w:rPr>
          <w:rFonts w:ascii="Times New Roman" w:eastAsiaTheme="minorEastAsia" w:hAnsi="Times New Roman"/>
          <w:lang w:eastAsia="ko-KR"/>
        </w:rPr>
        <w:fldChar w:fldCharType="end"/>
      </w:r>
      <w:r w:rsidRPr="00D37534">
        <w:rPr>
          <w:rFonts w:ascii="Times New Roman" w:eastAsiaTheme="minorEastAsia" w:hAnsi="Times New Roman"/>
          <w:lang w:eastAsia="ko-KR"/>
        </w:rPr>
        <w:t>.</w:t>
      </w:r>
    </w:p>
  </w:footnote>
  <w:footnote w:id="5">
    <w:p w14:paraId="3706EDCF" w14:textId="7E3D1673" w:rsidR="00E4784E" w:rsidRPr="00D37534" w:rsidRDefault="00E4784E" w:rsidP="007F24B9">
      <w:pPr>
        <w:spacing w:after="60"/>
        <w:rPr>
          <w:rFonts w:ascii="Times New Roman" w:hAnsi="Times New Roman"/>
          <w:sz w:val="20"/>
        </w:rPr>
      </w:pPr>
      <w:r w:rsidRPr="00D37534">
        <w:rPr>
          <w:rStyle w:val="FootnoteReference"/>
          <w:rFonts w:ascii="Times New Roman" w:hAnsi="Times New Roman"/>
          <w:sz w:val="20"/>
        </w:rPr>
        <w:footnoteRef/>
      </w:r>
      <w:r w:rsidRPr="00D37534">
        <w:rPr>
          <w:rFonts w:ascii="Times New Roman" w:hAnsi="Times New Roman"/>
          <w:sz w:val="20"/>
        </w:rPr>
        <w:t xml:space="preserve">Additional details of the survey administration and methodology are available at </w:t>
      </w:r>
      <w:hyperlink r:id="rId1" w:history="1">
        <w:r w:rsidRPr="00D37534">
          <w:rPr>
            <w:rFonts w:ascii="Times New Roman" w:hAnsi="Times New Roman"/>
            <w:sz w:val="20"/>
          </w:rPr>
          <w:t>https://www.aarp.org/pri/topics/health/prevention-wellness/walking-attitudes-habits-adults-50-older/</w:t>
        </w:r>
      </w:hyperlink>
      <w:r w:rsidRPr="00D37534">
        <w:rPr>
          <w:rFonts w:ascii="Times New Roman" w:hAnsi="Times New Roman"/>
          <w:sz w:val="20"/>
        </w:rPr>
        <w:t xml:space="preserve">. Accessed June 6, 2024. </w:t>
      </w:r>
    </w:p>
  </w:footnote>
  <w:footnote w:id="6">
    <w:p w14:paraId="462E6357" w14:textId="08934599" w:rsidR="00212F6A" w:rsidRPr="00D37534" w:rsidRDefault="00212F6A" w:rsidP="003518AB">
      <w:pPr>
        <w:autoSpaceDE w:val="0"/>
        <w:autoSpaceDN w:val="0"/>
        <w:adjustRightInd w:val="0"/>
        <w:jc w:val="both"/>
        <w:rPr>
          <w:rFonts w:ascii="Times New Roman" w:hAnsi="Times New Roman"/>
          <w:sz w:val="20"/>
        </w:rPr>
      </w:pPr>
      <w:r w:rsidRPr="00D37534">
        <w:rPr>
          <w:rStyle w:val="FootnoteReference"/>
          <w:rFonts w:ascii="Times New Roman" w:hAnsi="Times New Roman"/>
          <w:sz w:val="20"/>
        </w:rPr>
        <w:footnoteRef/>
      </w:r>
      <w:r w:rsidRPr="00D37534">
        <w:rPr>
          <w:rFonts w:ascii="Times New Roman" w:hAnsi="Times New Roman"/>
          <w:sz w:val="20"/>
        </w:rPr>
        <w:t xml:space="preserve">The regions were </w:t>
      </w:r>
      <w:r w:rsidRPr="00D37534">
        <w:rPr>
          <w:rFonts w:ascii="Times New Roman" w:eastAsiaTheme="minorEastAsia" w:hAnsi="Times New Roman"/>
          <w:sz w:val="20"/>
          <w:lang w:eastAsia="ko-KR"/>
        </w:rPr>
        <w:t xml:space="preserve">defined based on the nine US Census Divisions of </w:t>
      </w:r>
      <w:r w:rsidRPr="00D37534">
        <w:rPr>
          <w:rFonts w:ascii="Times New Roman" w:hAnsi="Times New Roman"/>
          <w:sz w:val="20"/>
        </w:rPr>
        <w:t>New England, Middle Atlantic, East North Central, West North Central, South Atlantic, East South Central, West South Central, Mountain and Pacific. Further, these divisions were aggregated into four Census Regions</w:t>
      </w:r>
      <w:r w:rsidR="00C7226E" w:rsidRPr="00D37534">
        <w:rPr>
          <w:rFonts w:ascii="Times New Roman" w:hAnsi="Times New Roman"/>
          <w:sz w:val="20"/>
        </w:rPr>
        <w:t xml:space="preserve">: </w:t>
      </w:r>
      <w:r w:rsidRPr="00D37534">
        <w:rPr>
          <w:rFonts w:ascii="Times New Roman" w:hAnsi="Times New Roman"/>
          <w:sz w:val="20"/>
        </w:rPr>
        <w:t xml:space="preserve">Northeast, South, West, and Midwest. Interestingly, while our sample had ample representation from each Census Division and Region, these geographic dummy variables </w:t>
      </w:r>
      <w:r w:rsidR="00C7226E" w:rsidRPr="00D37534">
        <w:rPr>
          <w:rFonts w:ascii="Times New Roman" w:hAnsi="Times New Roman"/>
          <w:sz w:val="20"/>
        </w:rPr>
        <w:t xml:space="preserve">(with one of them being the base category) </w:t>
      </w:r>
      <w:r w:rsidRPr="00D37534">
        <w:rPr>
          <w:rFonts w:ascii="Times New Roman" w:hAnsi="Times New Roman"/>
          <w:sz w:val="20"/>
        </w:rPr>
        <w:t>did not turn out to be statistically significant even at the 80% confidence level, after controlling for the socio-demographic variables.</w:t>
      </w:r>
      <w:r w:rsidR="00C7226E" w:rsidRPr="00D37534">
        <w:rPr>
          <w:rFonts w:ascii="Times New Roman" w:hAnsi="Times New Roman"/>
          <w:sz w:val="20"/>
        </w:rPr>
        <w:t xml:space="preserve"> That is, after controlling for socio-demographics, no heterogeneity based on geography of residence (at least captured in the form of Census Divisions and Regions, as available in the AARP walking survey) was observed in any of the three walking outcomes considered in the current paper. </w:t>
      </w:r>
      <w:r w:rsidRPr="00D37534">
        <w:rPr>
          <w:rFonts w:ascii="Times New Roman" w:hAnsi="Times New Roman"/>
          <w:sz w:val="20"/>
        </w:rPr>
        <w:t>Thus, in the rest of this paper, we do n</w:t>
      </w:r>
      <w:r w:rsidR="00C7226E" w:rsidRPr="00D37534">
        <w:rPr>
          <w:rFonts w:ascii="Times New Roman" w:hAnsi="Times New Roman"/>
          <w:sz w:val="20"/>
        </w:rPr>
        <w:t xml:space="preserve">ot </w:t>
      </w:r>
      <w:r w:rsidR="00874470" w:rsidRPr="00D37534">
        <w:rPr>
          <w:rFonts w:ascii="Times New Roman" w:hAnsi="Times New Roman"/>
          <w:sz w:val="20"/>
        </w:rPr>
        <w:t xml:space="preserve">raise the issue of </w:t>
      </w:r>
      <w:r w:rsidR="00C7226E" w:rsidRPr="00D37534">
        <w:rPr>
          <w:rFonts w:ascii="Times New Roman" w:hAnsi="Times New Roman"/>
          <w:sz w:val="20"/>
        </w:rPr>
        <w:t xml:space="preserve">geographic </w:t>
      </w:r>
      <w:r w:rsidR="00874470" w:rsidRPr="00D37534">
        <w:rPr>
          <w:rFonts w:ascii="Times New Roman" w:hAnsi="Times New Roman"/>
          <w:sz w:val="20"/>
        </w:rPr>
        <w:t>location residence</w:t>
      </w:r>
      <w:r w:rsidR="00C7226E" w:rsidRPr="00D37534">
        <w:rPr>
          <w:rFonts w:ascii="Times New Roman" w:hAnsi="Times New Roman"/>
          <w:sz w:val="20"/>
        </w:rPr>
        <w:t xml:space="preserve">. </w:t>
      </w:r>
    </w:p>
  </w:footnote>
  <w:footnote w:id="7">
    <w:p w14:paraId="4F48AF8B" w14:textId="4F62127D" w:rsidR="00BF4EDE" w:rsidRPr="00A94D0C" w:rsidRDefault="00BF4EDE" w:rsidP="00BF4EDE">
      <w:pPr>
        <w:pStyle w:val="FootnoteText"/>
        <w:jc w:val="both"/>
        <w:rPr>
          <w:rFonts w:ascii="Times New Roman" w:hAnsi="Times New Roman"/>
        </w:rPr>
      </w:pPr>
      <w:r w:rsidRPr="00A94D0C">
        <w:rPr>
          <w:rStyle w:val="FootnoteReference"/>
          <w:rFonts w:ascii="Times New Roman" w:hAnsi="Times New Roman"/>
        </w:rPr>
        <w:footnoteRef/>
      </w:r>
      <w:r w:rsidR="00A94D0C">
        <w:rPr>
          <w:rFonts w:ascii="Times New Roman" w:hAnsi="Times New Roman"/>
        </w:rPr>
        <w:t xml:space="preserve"> </w:t>
      </w:r>
      <w:r w:rsidR="001C479F" w:rsidRPr="00A94D0C">
        <w:rPr>
          <w:rFonts w:ascii="Times New Roman" w:hAnsi="Times New Roman"/>
        </w:rPr>
        <w:t xml:space="preserve">For full transparency, we should </w:t>
      </w:r>
      <w:r w:rsidRPr="00A94D0C">
        <w:rPr>
          <w:rFonts w:ascii="Times New Roman" w:hAnsi="Times New Roman"/>
        </w:rPr>
        <w:t xml:space="preserve">note that the latest World Health Organization guidelines on physical activity and sedentary behavior </w:t>
      </w:r>
      <w:r w:rsidR="005B5A2D" w:rsidRPr="00A94D0C">
        <w:rPr>
          <w:rFonts w:ascii="Times New Roman" w:hAnsi="Times New Roman"/>
        </w:rPr>
        <w:fldChar w:fldCharType="begin"/>
      </w:r>
      <w:r w:rsidR="00A254CC">
        <w:rPr>
          <w:rFonts w:ascii="Times New Roman" w:hAnsi="Times New Roman"/>
        </w:rPr>
        <w:instrText xml:space="preserve"> ADDIN ZOTERO_ITEM CSL_CITATION {"citationID":"adwM932V","properties":{"formattedCitation":"(Bull et al., 2020)","plainCitation":"(Bull et al., 2020)","noteIndex":6},"citationItems":[{"id":"4nY7bDZH/tHCXqq3w","uris":["http://zotero.org/users/10132210/items/GRHAQ966"],"itemData":{"id":1178,"type":"article-journal","abstract":"Objectives\n              To describe new WHO 2020 guidelines on physical activity and sedentary behaviour.\n            \n            \n              Methods\n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            \n            \n              Results\n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            \n            \n              Conclusion\n              \n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the\n                WHO Global Action Plan on Physical Activity 2018–2030\n                and to strengthen surveillance systems that track progress towards national and global targets.","container-title":"British Journal of Sports Medicine","DOI":"10.1136/bjsports-2020-102955","ISSN":"0306-3674, 1473-0480","issue":"24","journalAbbreviation":"Br J Sports Med","language":"en","page":"1451-1462","source":"DOI.org (Crossref)","title":"World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P"},{"family":"Van Der Ploeg","given":"Hidde P"},{"family":"Wari","given":"Vicky"},{"family":"Willumsen","given":"Juana F"}],"issued":{"date-parts":[["2020",12]]}}}],"schema":"https://github.com/citation-style-language/schema/raw/master/csl-citation.json"} </w:instrText>
      </w:r>
      <w:r w:rsidR="005B5A2D" w:rsidRPr="00A94D0C">
        <w:rPr>
          <w:rFonts w:ascii="Times New Roman" w:hAnsi="Times New Roman"/>
        </w:rPr>
        <w:fldChar w:fldCharType="separate"/>
      </w:r>
      <w:r w:rsidR="005B5A2D" w:rsidRPr="00A94D0C">
        <w:rPr>
          <w:rFonts w:ascii="Times New Roman" w:hAnsi="Times New Roman"/>
        </w:rPr>
        <w:t>(Bull et al., 2020)</w:t>
      </w:r>
      <w:r w:rsidR="005B5A2D" w:rsidRPr="00A94D0C">
        <w:rPr>
          <w:rFonts w:ascii="Times New Roman" w:hAnsi="Times New Roman"/>
        </w:rPr>
        <w:fldChar w:fldCharType="end"/>
      </w:r>
      <w:r w:rsidRPr="00A94D0C">
        <w:rPr>
          <w:rFonts w:ascii="Times New Roman" w:hAnsi="Times New Roman"/>
        </w:rPr>
        <w:t xml:space="preserve"> have removed the minimum bout duration </w:t>
      </w:r>
      <w:r w:rsidR="001C479F" w:rsidRPr="00A94D0C">
        <w:rPr>
          <w:rFonts w:ascii="Times New Roman" w:hAnsi="Times New Roman"/>
        </w:rPr>
        <w:t xml:space="preserve">recommendation </w:t>
      </w:r>
      <w:r w:rsidRPr="00A94D0C">
        <w:rPr>
          <w:rFonts w:ascii="Times New Roman" w:hAnsi="Times New Roman"/>
        </w:rPr>
        <w:t xml:space="preserve">of 10 minutes. </w:t>
      </w:r>
    </w:p>
  </w:footnote>
  <w:footnote w:id="8">
    <w:p w14:paraId="546ED096" w14:textId="3D32946A" w:rsidR="00F048CB" w:rsidRDefault="00F048CB" w:rsidP="00F048CB">
      <w:pPr>
        <w:pStyle w:val="FootnoteText"/>
        <w:jc w:val="both"/>
      </w:pPr>
      <w:r w:rsidRPr="00DE2670">
        <w:rPr>
          <w:rStyle w:val="FootnoteReference"/>
        </w:rPr>
        <w:footnoteRef/>
      </w:r>
      <w:r>
        <w:t xml:space="preserve"> </w:t>
      </w:r>
      <w:r w:rsidRPr="00587212">
        <w:t>Neighborhood social cohesion refers to the sense of trust, belonging, and closeness shared among neighbors in a community. Higher social cohesion generally means people feel more connected to their neighbors (</w:t>
      </w:r>
      <w:r w:rsidRPr="00587212">
        <w:rPr>
          <w:rFonts w:eastAsiaTheme="minorEastAsia"/>
          <w:lang w:eastAsia="ko-KR"/>
        </w:rPr>
        <w:fldChar w:fldCharType="begin"/>
      </w:r>
      <w:r w:rsidR="00A254CC">
        <w:rPr>
          <w:rFonts w:eastAsiaTheme="minorEastAsia"/>
          <w:lang w:eastAsia="ko-KR"/>
        </w:rPr>
        <w:instrText xml:space="preserve"> ADDIN ZOTERO_ITEM CSL_CITATION {"citationID":"fXnUnloW","properties":{"formattedCitation":"(Wen et al., 2007)","plainCitation":"(Wen et al., 2007)","dontUpdate":true,"noteIndex":7},"citationItems":[{"id":"4nY7bDZH/nCfRsHLP","uris":["http://zotero.org/users/10132210/items/6EGKLCUW"],"itemData":{"id":1037,"type":"article-journal","abstract":"BACKGROUND: Patients are often advised to initiate a physical activity program by walking for transportation or leisure. This study explored whether neighborhood factors beyond the individual might affect compliance.\nOBJECTIVE: We examined the associations between total walking and neighborhood factors in a multiethnic population-based sample in California and the roles race/ethnicity plays in these associations. DESIGN: Cross-sectional study PARTICIPANTS: Individual-level data were obtained from the 2003 California Health Interview Survey. Participants’ census tracts were linked to Census 2000 data to capture neighborhood SES.\nMEASUREMENTS AND MAIN RESULTS: The dependent variable was self-reported walking at recommended levels. Neighborhood SES was measured by a scale of 4 Census-based variables (alpha=0.83). Social cohesion was measured by a scale tapping the extent of perceived social connectedness, trust, and solidarity among neighbors (alpha=0.70). Neighborhood access to a park, playground, or open space was measured by a single item. Safety was measured by a scale of three items (alpha=0.66). We performed a series of multiple logit models with robust variance estimates while taking complex survey design into account. Neighborhood social cohesion (odds ratio [OR]=1.09, 95% CI= 1.04, 1.14) and access to a park, playground, or open space (OR=1.26, 95% CI=1.16, 1.36) were significant environmental correlates of walking at recommended levels, independent of individual socio-demographics. Subgroup analysis showed that neighborhood effects were different by race/ethnicity.\nCONCLUSIONS: Neighborhood physical and social environmental factors are significantly associated with walking at recommended levels. Being aware of the ways that the environment could affect a patient’s compliance with PA recommendations may help physicians tailor recommendations to circumstances.","container-title":"Journal of General Internal Medicine","DOI":"10.1007/s11606-007-0400-4","ISSN":"0884-8734, 1525-1497","issue":"12","journalAbbreviation":"J GEN INTERN MED","language":"en","license":"http://www.springer.com/tdm","page":"1674-1680","source":"DOI.org (Crossref)","title":"Walking for Transportation or Leisure: What Difference Does the Neighborhood Make?","title-short":"Walking for Transportation or Leisure","volume":"22","author":[{"family":"Wen","given":"Ming"},{"family":"Kandula","given":"Namratha R."},{"family":"Lauderdale","given":"Diane S."}],"issued":{"date-parts":[["2007",11,16]]}}}],"schema":"https://github.com/citation-style-language/schema/raw/master/csl-citation.json"} </w:instrText>
      </w:r>
      <w:r w:rsidRPr="00587212">
        <w:rPr>
          <w:rFonts w:eastAsiaTheme="minorEastAsia"/>
          <w:lang w:eastAsia="ko-KR"/>
        </w:rPr>
        <w:fldChar w:fldCharType="separate"/>
      </w:r>
      <w:r w:rsidRPr="00587212">
        <w:rPr>
          <w:rFonts w:cs="Times"/>
        </w:rPr>
        <w:t>Wen et al., 2007</w:t>
      </w:r>
      <w:r w:rsidRPr="00587212">
        <w:rPr>
          <w:rFonts w:eastAsiaTheme="minorEastAsia"/>
          <w:lang w:eastAsia="ko-KR"/>
        </w:rPr>
        <w:fldChar w:fldCharType="end"/>
      </w:r>
      <w:r w:rsidRPr="00587212">
        <w:rPr>
          <w:rFonts w:eastAsiaTheme="minorEastAsia"/>
          <w:lang w:eastAsia="ko-KR"/>
        </w:rPr>
        <w:t xml:space="preserve">, and </w:t>
      </w:r>
      <w:r w:rsidRPr="00587212">
        <w:rPr>
          <w:rFonts w:eastAsiaTheme="minorEastAsia"/>
          <w:lang w:eastAsia="ko-KR"/>
        </w:rPr>
        <w:fldChar w:fldCharType="begin"/>
      </w:r>
      <w:r w:rsidR="00A254CC">
        <w:rPr>
          <w:rFonts w:eastAsiaTheme="minorEastAsia"/>
          <w:lang w:eastAsia="ko-KR"/>
        </w:rPr>
        <w:instrText xml:space="preserve"> ADDIN ZOTERO_ITEM CSL_CITATION {"citationID":"G5Jei9AG","properties":{"formattedCitation":"(Yi et al., 2016)","plainCitation":"(Yi et al., 2016)","dontUpdate":true,"noteIndex":7},"citationItems":[{"id":"4nY7bDZH/u7njKJ07","uris":["http://zotero.org/users/10132210/items/N8IF8UQT"],"itemData":{"id":1039,"type":"article-journal","container-title":"Preventing Chronic Disease","DOI":"10.5888/pcd13.160261","ISSN":"1545-1151","journalAbbreviation":"Prev. Chronic Dis.","language":"en","page":"160261","source":"DOI.org (Crossref)","title":"Racial/Ethnic Differences in Associations Between Neighborhood Social Cohesion and Meeting Physical Activity Guidelines, United States, 2013–2014","volume":"13","author":[{"family":"Yi","given":"Stella S."},{"family":"Trinh-Shevrin","given":"Chau"},{"family":"Yen","given":"Irene H."},{"family":"Kwon","given":"Simona C."}],"issued":{"date-parts":[["2016",12,8]]}}}],"schema":"https://github.com/citation-style-language/schema/raw/master/csl-citation.json"} </w:instrText>
      </w:r>
      <w:r w:rsidRPr="00587212">
        <w:rPr>
          <w:rFonts w:eastAsiaTheme="minorEastAsia"/>
          <w:lang w:eastAsia="ko-KR"/>
        </w:rPr>
        <w:fldChar w:fldCharType="separate"/>
      </w:r>
      <w:r w:rsidRPr="00587212">
        <w:rPr>
          <w:rFonts w:cs="Times"/>
        </w:rPr>
        <w:t>Yi et al. 2016)</w:t>
      </w:r>
      <w:r w:rsidRPr="00587212">
        <w:rPr>
          <w:rFonts w:eastAsiaTheme="minorEastAsia"/>
          <w:lang w:eastAsia="ko-KR"/>
        </w:rPr>
        <w:fldChar w:fldCharType="end"/>
      </w:r>
      <w:r w:rsidRPr="00587212">
        <w:rPr>
          <w:rFonts w:eastAsiaTheme="minorEastAsia"/>
          <w:lang w:eastAsia="ko-KR"/>
        </w:rPr>
        <w:t>.</w:t>
      </w:r>
    </w:p>
  </w:footnote>
  <w:footnote w:id="9">
    <w:p w14:paraId="63A2F4AD" w14:textId="76012CE5" w:rsidR="0068736A" w:rsidRDefault="0068736A" w:rsidP="00DD1B58">
      <w:pPr>
        <w:pStyle w:val="FootnoteText"/>
        <w:jc w:val="both"/>
      </w:pPr>
      <w:r w:rsidRPr="00DE2670">
        <w:rPr>
          <w:rStyle w:val="FootnoteReference"/>
        </w:rPr>
        <w:footnoteRef/>
      </w:r>
      <w:r>
        <w:t xml:space="preserve"> Note that, while the average probability of correct prediction may seem low, this is because of the multivariate nature of our model. </w:t>
      </w:r>
      <w:r w:rsidR="00FD0357">
        <w:t>For almost all individuals in our sample, t</w:t>
      </w:r>
      <w:r>
        <w:t xml:space="preserve">here is a total of </w:t>
      </w:r>
      <w:r w:rsidR="00FD0357">
        <w:t xml:space="preserve">100 combinations of the frequency, duration, and social companionship dimensions; a random prediction model would have an average probability of correct prediction of the order of 0.01.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51"/>
    <w:multiLevelType w:val="hybridMultilevel"/>
    <w:tmpl w:val="F042A970"/>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4328"/>
    <w:multiLevelType w:val="hybridMultilevel"/>
    <w:tmpl w:val="B4689776"/>
    <w:lvl w:ilvl="0" w:tplc="B99E67AA">
      <w:start w:val="1"/>
      <w:numFmt w:val="decimal"/>
      <w:lvlText w:val="%1)"/>
      <w:lvlJc w:val="left"/>
      <w:pPr>
        <w:ind w:left="720" w:hanging="360"/>
      </w:pPr>
      <w:rPr>
        <w:rFonts w:hint="default"/>
      </w:rPr>
    </w:lvl>
    <w:lvl w:ilvl="1" w:tplc="583699E2">
      <w:start w:val="1"/>
      <w:numFmt w:val="lowerLetter"/>
      <w:lvlText w:val="%2."/>
      <w:lvlJc w:val="left"/>
      <w:pPr>
        <w:ind w:left="1440" w:hanging="360"/>
      </w:pPr>
    </w:lvl>
    <w:lvl w:ilvl="2" w:tplc="F43EB68C">
      <w:start w:val="1"/>
      <w:numFmt w:val="lowerRoman"/>
      <w:lvlText w:val="%3."/>
      <w:lvlJc w:val="right"/>
      <w:pPr>
        <w:ind w:left="2160" w:hanging="180"/>
      </w:pPr>
    </w:lvl>
    <w:lvl w:ilvl="3" w:tplc="B9FEC374" w:tentative="1">
      <w:start w:val="1"/>
      <w:numFmt w:val="decimal"/>
      <w:lvlText w:val="%4."/>
      <w:lvlJc w:val="left"/>
      <w:pPr>
        <w:ind w:left="2880" w:hanging="360"/>
      </w:pPr>
    </w:lvl>
    <w:lvl w:ilvl="4" w:tplc="B0E0EF5E" w:tentative="1">
      <w:start w:val="1"/>
      <w:numFmt w:val="lowerLetter"/>
      <w:lvlText w:val="%5."/>
      <w:lvlJc w:val="left"/>
      <w:pPr>
        <w:ind w:left="3600" w:hanging="360"/>
      </w:pPr>
    </w:lvl>
    <w:lvl w:ilvl="5" w:tplc="6D6AD4D0" w:tentative="1">
      <w:start w:val="1"/>
      <w:numFmt w:val="lowerRoman"/>
      <w:lvlText w:val="%6."/>
      <w:lvlJc w:val="right"/>
      <w:pPr>
        <w:ind w:left="4320" w:hanging="180"/>
      </w:pPr>
    </w:lvl>
    <w:lvl w:ilvl="6" w:tplc="EAFEAA76" w:tentative="1">
      <w:start w:val="1"/>
      <w:numFmt w:val="decimal"/>
      <w:lvlText w:val="%7."/>
      <w:lvlJc w:val="left"/>
      <w:pPr>
        <w:ind w:left="5040" w:hanging="360"/>
      </w:pPr>
    </w:lvl>
    <w:lvl w:ilvl="7" w:tplc="02AA8AC8" w:tentative="1">
      <w:start w:val="1"/>
      <w:numFmt w:val="lowerLetter"/>
      <w:lvlText w:val="%8."/>
      <w:lvlJc w:val="left"/>
      <w:pPr>
        <w:ind w:left="5760" w:hanging="360"/>
      </w:pPr>
    </w:lvl>
    <w:lvl w:ilvl="8" w:tplc="A64E91F6" w:tentative="1">
      <w:start w:val="1"/>
      <w:numFmt w:val="lowerRoman"/>
      <w:lvlText w:val="%9."/>
      <w:lvlJc w:val="right"/>
      <w:pPr>
        <w:ind w:left="6480" w:hanging="180"/>
      </w:pPr>
    </w:lvl>
  </w:abstractNum>
  <w:abstractNum w:abstractNumId="2" w15:restartNumberingAfterBreak="0">
    <w:nsid w:val="0EAD342B"/>
    <w:multiLevelType w:val="hybridMultilevel"/>
    <w:tmpl w:val="0F383BA4"/>
    <w:lvl w:ilvl="0" w:tplc="7188F83E">
      <w:start w:val="6"/>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B3E2C"/>
    <w:multiLevelType w:val="hybridMultilevel"/>
    <w:tmpl w:val="2AB2383A"/>
    <w:lvl w:ilvl="0" w:tplc="84427B90">
      <w:start w:val="1"/>
      <w:numFmt w:val="bullet"/>
      <w:lvlText w:val=""/>
      <w:lvlJc w:val="left"/>
      <w:pPr>
        <w:ind w:left="1242" w:hanging="360"/>
      </w:pPr>
      <w:rPr>
        <w:rFonts w:ascii="Symbol" w:hAnsi="Symbol" w:hint="default"/>
      </w:rPr>
    </w:lvl>
    <w:lvl w:ilvl="1" w:tplc="A9DAB398">
      <w:start w:val="1"/>
      <w:numFmt w:val="bullet"/>
      <w:lvlText w:val="o"/>
      <w:lvlJc w:val="left"/>
      <w:pPr>
        <w:ind w:left="1962" w:hanging="360"/>
      </w:pPr>
      <w:rPr>
        <w:rFonts w:ascii="Courier New" w:hAnsi="Courier New" w:cs="Courier New" w:hint="default"/>
      </w:rPr>
    </w:lvl>
    <w:lvl w:ilvl="2" w:tplc="7FB0FF16" w:tentative="1">
      <w:start w:val="1"/>
      <w:numFmt w:val="bullet"/>
      <w:lvlText w:val=""/>
      <w:lvlJc w:val="left"/>
      <w:pPr>
        <w:ind w:left="2682" w:hanging="360"/>
      </w:pPr>
      <w:rPr>
        <w:rFonts w:ascii="Wingdings" w:hAnsi="Wingdings" w:hint="default"/>
      </w:rPr>
    </w:lvl>
    <w:lvl w:ilvl="3" w:tplc="82B0084E" w:tentative="1">
      <w:start w:val="1"/>
      <w:numFmt w:val="bullet"/>
      <w:lvlText w:val=""/>
      <w:lvlJc w:val="left"/>
      <w:pPr>
        <w:ind w:left="3402" w:hanging="360"/>
      </w:pPr>
      <w:rPr>
        <w:rFonts w:ascii="Symbol" w:hAnsi="Symbol" w:hint="default"/>
      </w:rPr>
    </w:lvl>
    <w:lvl w:ilvl="4" w:tplc="D22EAAA6" w:tentative="1">
      <w:start w:val="1"/>
      <w:numFmt w:val="bullet"/>
      <w:lvlText w:val="o"/>
      <w:lvlJc w:val="left"/>
      <w:pPr>
        <w:ind w:left="4122" w:hanging="360"/>
      </w:pPr>
      <w:rPr>
        <w:rFonts w:ascii="Courier New" w:hAnsi="Courier New" w:cs="Courier New" w:hint="default"/>
      </w:rPr>
    </w:lvl>
    <w:lvl w:ilvl="5" w:tplc="1E9A8552" w:tentative="1">
      <w:start w:val="1"/>
      <w:numFmt w:val="bullet"/>
      <w:lvlText w:val=""/>
      <w:lvlJc w:val="left"/>
      <w:pPr>
        <w:ind w:left="4842" w:hanging="360"/>
      </w:pPr>
      <w:rPr>
        <w:rFonts w:ascii="Wingdings" w:hAnsi="Wingdings" w:hint="default"/>
      </w:rPr>
    </w:lvl>
    <w:lvl w:ilvl="6" w:tplc="1DBCF68A" w:tentative="1">
      <w:start w:val="1"/>
      <w:numFmt w:val="bullet"/>
      <w:lvlText w:val=""/>
      <w:lvlJc w:val="left"/>
      <w:pPr>
        <w:ind w:left="5562" w:hanging="360"/>
      </w:pPr>
      <w:rPr>
        <w:rFonts w:ascii="Symbol" w:hAnsi="Symbol" w:hint="default"/>
      </w:rPr>
    </w:lvl>
    <w:lvl w:ilvl="7" w:tplc="BCC42186" w:tentative="1">
      <w:start w:val="1"/>
      <w:numFmt w:val="bullet"/>
      <w:lvlText w:val="o"/>
      <w:lvlJc w:val="left"/>
      <w:pPr>
        <w:ind w:left="6282" w:hanging="360"/>
      </w:pPr>
      <w:rPr>
        <w:rFonts w:ascii="Courier New" w:hAnsi="Courier New" w:cs="Courier New" w:hint="default"/>
      </w:rPr>
    </w:lvl>
    <w:lvl w:ilvl="8" w:tplc="70A4C752" w:tentative="1">
      <w:start w:val="1"/>
      <w:numFmt w:val="bullet"/>
      <w:lvlText w:val=""/>
      <w:lvlJc w:val="left"/>
      <w:pPr>
        <w:ind w:left="7002" w:hanging="360"/>
      </w:pPr>
      <w:rPr>
        <w:rFonts w:ascii="Wingdings" w:hAnsi="Wingdings" w:hint="default"/>
      </w:rPr>
    </w:lvl>
  </w:abstractNum>
  <w:abstractNum w:abstractNumId="4" w15:restartNumberingAfterBreak="0">
    <w:nsid w:val="1F7C213C"/>
    <w:multiLevelType w:val="hybridMultilevel"/>
    <w:tmpl w:val="77E29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C41F4"/>
    <w:multiLevelType w:val="hybridMultilevel"/>
    <w:tmpl w:val="C770C6FE"/>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4451"/>
    <w:multiLevelType w:val="multilevel"/>
    <w:tmpl w:val="328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12DE0"/>
    <w:multiLevelType w:val="hybridMultilevel"/>
    <w:tmpl w:val="4A68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32F32"/>
    <w:multiLevelType w:val="multilevel"/>
    <w:tmpl w:val="45D8E09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770" w:hanging="360"/>
      </w:pPr>
      <w:rPr>
        <w:lang w:bidi="x-none"/>
        <w:specVanish w:val="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032B1C"/>
    <w:multiLevelType w:val="hybridMultilevel"/>
    <w:tmpl w:val="2D94D18E"/>
    <w:lvl w:ilvl="0" w:tplc="74729CC2">
      <w:start w:val="1"/>
      <w:numFmt w:val="bullet"/>
      <w:lvlText w:val=""/>
      <w:lvlJc w:val="left"/>
      <w:pPr>
        <w:ind w:left="720" w:hanging="360"/>
      </w:pPr>
      <w:rPr>
        <w:rFonts w:ascii="Symbol" w:hAnsi="Symbol" w:hint="default"/>
      </w:rPr>
    </w:lvl>
    <w:lvl w:ilvl="1" w:tplc="4D924972" w:tentative="1">
      <w:start w:val="1"/>
      <w:numFmt w:val="bullet"/>
      <w:lvlText w:val="o"/>
      <w:lvlJc w:val="left"/>
      <w:pPr>
        <w:ind w:left="1440" w:hanging="360"/>
      </w:pPr>
      <w:rPr>
        <w:rFonts w:ascii="Courier New" w:hAnsi="Courier New" w:cs="Courier New" w:hint="default"/>
      </w:rPr>
    </w:lvl>
    <w:lvl w:ilvl="2" w:tplc="1E145A12" w:tentative="1">
      <w:start w:val="1"/>
      <w:numFmt w:val="bullet"/>
      <w:lvlText w:val=""/>
      <w:lvlJc w:val="left"/>
      <w:pPr>
        <w:ind w:left="2160" w:hanging="360"/>
      </w:pPr>
      <w:rPr>
        <w:rFonts w:ascii="Wingdings" w:hAnsi="Wingdings" w:hint="default"/>
      </w:rPr>
    </w:lvl>
    <w:lvl w:ilvl="3" w:tplc="D5C45B84" w:tentative="1">
      <w:start w:val="1"/>
      <w:numFmt w:val="bullet"/>
      <w:lvlText w:val=""/>
      <w:lvlJc w:val="left"/>
      <w:pPr>
        <w:ind w:left="2880" w:hanging="360"/>
      </w:pPr>
      <w:rPr>
        <w:rFonts w:ascii="Symbol" w:hAnsi="Symbol" w:hint="default"/>
      </w:rPr>
    </w:lvl>
    <w:lvl w:ilvl="4" w:tplc="5A0879F0" w:tentative="1">
      <w:start w:val="1"/>
      <w:numFmt w:val="bullet"/>
      <w:lvlText w:val="o"/>
      <w:lvlJc w:val="left"/>
      <w:pPr>
        <w:ind w:left="3600" w:hanging="360"/>
      </w:pPr>
      <w:rPr>
        <w:rFonts w:ascii="Courier New" w:hAnsi="Courier New" w:cs="Courier New" w:hint="default"/>
      </w:rPr>
    </w:lvl>
    <w:lvl w:ilvl="5" w:tplc="5B7AD11A" w:tentative="1">
      <w:start w:val="1"/>
      <w:numFmt w:val="bullet"/>
      <w:lvlText w:val=""/>
      <w:lvlJc w:val="left"/>
      <w:pPr>
        <w:ind w:left="4320" w:hanging="360"/>
      </w:pPr>
      <w:rPr>
        <w:rFonts w:ascii="Wingdings" w:hAnsi="Wingdings" w:hint="default"/>
      </w:rPr>
    </w:lvl>
    <w:lvl w:ilvl="6" w:tplc="597409A8" w:tentative="1">
      <w:start w:val="1"/>
      <w:numFmt w:val="bullet"/>
      <w:lvlText w:val=""/>
      <w:lvlJc w:val="left"/>
      <w:pPr>
        <w:ind w:left="5040" w:hanging="360"/>
      </w:pPr>
      <w:rPr>
        <w:rFonts w:ascii="Symbol" w:hAnsi="Symbol" w:hint="default"/>
      </w:rPr>
    </w:lvl>
    <w:lvl w:ilvl="7" w:tplc="D38EB000" w:tentative="1">
      <w:start w:val="1"/>
      <w:numFmt w:val="bullet"/>
      <w:lvlText w:val="o"/>
      <w:lvlJc w:val="left"/>
      <w:pPr>
        <w:ind w:left="5760" w:hanging="360"/>
      </w:pPr>
      <w:rPr>
        <w:rFonts w:ascii="Courier New" w:hAnsi="Courier New" w:cs="Courier New" w:hint="default"/>
      </w:rPr>
    </w:lvl>
    <w:lvl w:ilvl="8" w:tplc="7E16996A" w:tentative="1">
      <w:start w:val="1"/>
      <w:numFmt w:val="bullet"/>
      <w:lvlText w:val=""/>
      <w:lvlJc w:val="left"/>
      <w:pPr>
        <w:ind w:left="6480" w:hanging="360"/>
      </w:pPr>
      <w:rPr>
        <w:rFonts w:ascii="Wingdings" w:hAnsi="Wingdings" w:hint="default"/>
      </w:rPr>
    </w:lvl>
  </w:abstractNum>
  <w:abstractNum w:abstractNumId="10" w15:restartNumberingAfterBreak="0">
    <w:nsid w:val="338A7CA3"/>
    <w:multiLevelType w:val="hybridMultilevel"/>
    <w:tmpl w:val="B08A1F26"/>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E51DE"/>
    <w:multiLevelType w:val="multilevel"/>
    <w:tmpl w:val="03FA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13683B"/>
    <w:multiLevelType w:val="hybridMultilevel"/>
    <w:tmpl w:val="E6025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A76A19"/>
    <w:multiLevelType w:val="hybridMultilevel"/>
    <w:tmpl w:val="B4689776"/>
    <w:lvl w:ilvl="0" w:tplc="59FEBC78">
      <w:start w:val="1"/>
      <w:numFmt w:val="decimal"/>
      <w:lvlText w:val="%1)"/>
      <w:lvlJc w:val="left"/>
      <w:pPr>
        <w:ind w:left="720" w:hanging="360"/>
      </w:pPr>
      <w:rPr>
        <w:rFonts w:hint="default"/>
      </w:rPr>
    </w:lvl>
    <w:lvl w:ilvl="1" w:tplc="C7106534">
      <w:start w:val="1"/>
      <w:numFmt w:val="lowerLetter"/>
      <w:lvlText w:val="%2."/>
      <w:lvlJc w:val="left"/>
      <w:pPr>
        <w:ind w:left="1440" w:hanging="360"/>
      </w:pPr>
    </w:lvl>
    <w:lvl w:ilvl="2" w:tplc="DE16A72C">
      <w:start w:val="1"/>
      <w:numFmt w:val="lowerRoman"/>
      <w:lvlText w:val="%3."/>
      <w:lvlJc w:val="right"/>
      <w:pPr>
        <w:ind w:left="2160" w:hanging="180"/>
      </w:pPr>
    </w:lvl>
    <w:lvl w:ilvl="3" w:tplc="F4B6835A" w:tentative="1">
      <w:start w:val="1"/>
      <w:numFmt w:val="decimal"/>
      <w:lvlText w:val="%4."/>
      <w:lvlJc w:val="left"/>
      <w:pPr>
        <w:ind w:left="2880" w:hanging="360"/>
      </w:pPr>
    </w:lvl>
    <w:lvl w:ilvl="4" w:tplc="A860EA54" w:tentative="1">
      <w:start w:val="1"/>
      <w:numFmt w:val="lowerLetter"/>
      <w:lvlText w:val="%5."/>
      <w:lvlJc w:val="left"/>
      <w:pPr>
        <w:ind w:left="3600" w:hanging="360"/>
      </w:pPr>
    </w:lvl>
    <w:lvl w:ilvl="5" w:tplc="468E1F12" w:tentative="1">
      <w:start w:val="1"/>
      <w:numFmt w:val="lowerRoman"/>
      <w:lvlText w:val="%6."/>
      <w:lvlJc w:val="right"/>
      <w:pPr>
        <w:ind w:left="4320" w:hanging="180"/>
      </w:pPr>
    </w:lvl>
    <w:lvl w:ilvl="6" w:tplc="3D101948" w:tentative="1">
      <w:start w:val="1"/>
      <w:numFmt w:val="decimal"/>
      <w:lvlText w:val="%7."/>
      <w:lvlJc w:val="left"/>
      <w:pPr>
        <w:ind w:left="5040" w:hanging="360"/>
      </w:pPr>
    </w:lvl>
    <w:lvl w:ilvl="7" w:tplc="1E7E4182" w:tentative="1">
      <w:start w:val="1"/>
      <w:numFmt w:val="lowerLetter"/>
      <w:lvlText w:val="%8."/>
      <w:lvlJc w:val="left"/>
      <w:pPr>
        <w:ind w:left="5760" w:hanging="360"/>
      </w:pPr>
    </w:lvl>
    <w:lvl w:ilvl="8" w:tplc="A1F0FA1C" w:tentative="1">
      <w:start w:val="1"/>
      <w:numFmt w:val="lowerRoman"/>
      <w:lvlText w:val="%9."/>
      <w:lvlJc w:val="right"/>
      <w:pPr>
        <w:ind w:left="6480" w:hanging="180"/>
      </w:pPr>
    </w:lvl>
  </w:abstractNum>
  <w:abstractNum w:abstractNumId="14" w15:restartNumberingAfterBreak="0">
    <w:nsid w:val="3C833C3C"/>
    <w:multiLevelType w:val="hybridMultilevel"/>
    <w:tmpl w:val="9ADEAC2E"/>
    <w:lvl w:ilvl="0" w:tplc="D766E7D6">
      <w:start w:val="6"/>
      <w:numFmt w:val="bullet"/>
      <w:lvlText w:val="*"/>
      <w:lvlJc w:val="left"/>
      <w:pPr>
        <w:ind w:left="510" w:hanging="360"/>
      </w:pPr>
      <w:rPr>
        <w:rFonts w:ascii="Times New Roman" w:eastAsia="Times"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5" w15:restartNumberingAfterBreak="0">
    <w:nsid w:val="3CAA006B"/>
    <w:multiLevelType w:val="hybridMultilevel"/>
    <w:tmpl w:val="722ED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A2F6B"/>
    <w:multiLevelType w:val="hybridMultilevel"/>
    <w:tmpl w:val="9252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B3E79"/>
    <w:multiLevelType w:val="hybridMultilevel"/>
    <w:tmpl w:val="E2A2EF54"/>
    <w:lvl w:ilvl="0" w:tplc="96EEBBA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F2E7B"/>
    <w:multiLevelType w:val="hybridMultilevel"/>
    <w:tmpl w:val="D8A4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2797"/>
    <w:multiLevelType w:val="hybridMultilevel"/>
    <w:tmpl w:val="25269F7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15:restartNumberingAfterBreak="0">
    <w:nsid w:val="5ED01EBC"/>
    <w:multiLevelType w:val="hybridMultilevel"/>
    <w:tmpl w:val="BAD29E76"/>
    <w:lvl w:ilvl="0" w:tplc="44AE4EC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272DDB"/>
    <w:multiLevelType w:val="hybridMultilevel"/>
    <w:tmpl w:val="D626EEDA"/>
    <w:lvl w:ilvl="0" w:tplc="D766E7D6">
      <w:start w:val="6"/>
      <w:numFmt w:val="bullet"/>
      <w:lvlText w:val="*"/>
      <w:lvlJc w:val="left"/>
      <w:pPr>
        <w:ind w:left="51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C5D27"/>
    <w:multiLevelType w:val="hybridMultilevel"/>
    <w:tmpl w:val="B9EE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F27F4"/>
    <w:multiLevelType w:val="hybridMultilevel"/>
    <w:tmpl w:val="EDA8CB64"/>
    <w:lvl w:ilvl="0" w:tplc="7188F83E">
      <w:start w:val="6"/>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56EF1"/>
    <w:multiLevelType w:val="hybridMultilevel"/>
    <w:tmpl w:val="41164866"/>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819EF"/>
    <w:multiLevelType w:val="hybridMultilevel"/>
    <w:tmpl w:val="4920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67BF5"/>
    <w:multiLevelType w:val="hybridMultilevel"/>
    <w:tmpl w:val="791464F0"/>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093BE5"/>
    <w:multiLevelType w:val="hybridMultilevel"/>
    <w:tmpl w:val="F48C5BF4"/>
    <w:lvl w:ilvl="0" w:tplc="2CECA27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207E9B"/>
    <w:multiLevelType w:val="hybridMultilevel"/>
    <w:tmpl w:val="B6603350"/>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4344D"/>
    <w:multiLevelType w:val="hybridMultilevel"/>
    <w:tmpl w:val="422E41FC"/>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73989"/>
    <w:multiLevelType w:val="hybridMultilevel"/>
    <w:tmpl w:val="62A03388"/>
    <w:lvl w:ilvl="0" w:tplc="84E6D48A">
      <w:start w:val="1"/>
      <w:numFmt w:val="bullet"/>
      <w:lvlText w:val=""/>
      <w:lvlJc w:val="left"/>
      <w:pPr>
        <w:ind w:left="720" w:hanging="360"/>
      </w:pPr>
      <w:rPr>
        <w:rFonts w:ascii="Symbol" w:hAnsi="Symbol" w:hint="default"/>
      </w:rPr>
    </w:lvl>
    <w:lvl w:ilvl="1" w:tplc="55CA8224" w:tentative="1">
      <w:start w:val="1"/>
      <w:numFmt w:val="bullet"/>
      <w:lvlText w:val="o"/>
      <w:lvlJc w:val="left"/>
      <w:pPr>
        <w:ind w:left="1440" w:hanging="360"/>
      </w:pPr>
      <w:rPr>
        <w:rFonts w:ascii="Courier New" w:hAnsi="Courier New" w:cs="Courier New" w:hint="default"/>
      </w:rPr>
    </w:lvl>
    <w:lvl w:ilvl="2" w:tplc="FC2CEEC6" w:tentative="1">
      <w:start w:val="1"/>
      <w:numFmt w:val="bullet"/>
      <w:lvlText w:val=""/>
      <w:lvlJc w:val="left"/>
      <w:pPr>
        <w:ind w:left="2160" w:hanging="360"/>
      </w:pPr>
      <w:rPr>
        <w:rFonts w:ascii="Wingdings" w:hAnsi="Wingdings" w:hint="default"/>
      </w:rPr>
    </w:lvl>
    <w:lvl w:ilvl="3" w:tplc="A0F0A026" w:tentative="1">
      <w:start w:val="1"/>
      <w:numFmt w:val="bullet"/>
      <w:lvlText w:val=""/>
      <w:lvlJc w:val="left"/>
      <w:pPr>
        <w:ind w:left="2880" w:hanging="360"/>
      </w:pPr>
      <w:rPr>
        <w:rFonts w:ascii="Symbol" w:hAnsi="Symbol" w:hint="default"/>
      </w:rPr>
    </w:lvl>
    <w:lvl w:ilvl="4" w:tplc="7BCE2B72" w:tentative="1">
      <w:start w:val="1"/>
      <w:numFmt w:val="bullet"/>
      <w:lvlText w:val="o"/>
      <w:lvlJc w:val="left"/>
      <w:pPr>
        <w:ind w:left="3600" w:hanging="360"/>
      </w:pPr>
      <w:rPr>
        <w:rFonts w:ascii="Courier New" w:hAnsi="Courier New" w:cs="Courier New" w:hint="default"/>
      </w:rPr>
    </w:lvl>
    <w:lvl w:ilvl="5" w:tplc="38ACAC3E" w:tentative="1">
      <w:start w:val="1"/>
      <w:numFmt w:val="bullet"/>
      <w:lvlText w:val=""/>
      <w:lvlJc w:val="left"/>
      <w:pPr>
        <w:ind w:left="4320" w:hanging="360"/>
      </w:pPr>
      <w:rPr>
        <w:rFonts w:ascii="Wingdings" w:hAnsi="Wingdings" w:hint="default"/>
      </w:rPr>
    </w:lvl>
    <w:lvl w:ilvl="6" w:tplc="68B20BC2" w:tentative="1">
      <w:start w:val="1"/>
      <w:numFmt w:val="bullet"/>
      <w:lvlText w:val=""/>
      <w:lvlJc w:val="left"/>
      <w:pPr>
        <w:ind w:left="5040" w:hanging="360"/>
      </w:pPr>
      <w:rPr>
        <w:rFonts w:ascii="Symbol" w:hAnsi="Symbol" w:hint="default"/>
      </w:rPr>
    </w:lvl>
    <w:lvl w:ilvl="7" w:tplc="503A2BD4" w:tentative="1">
      <w:start w:val="1"/>
      <w:numFmt w:val="bullet"/>
      <w:lvlText w:val="o"/>
      <w:lvlJc w:val="left"/>
      <w:pPr>
        <w:ind w:left="5760" w:hanging="360"/>
      </w:pPr>
      <w:rPr>
        <w:rFonts w:ascii="Courier New" w:hAnsi="Courier New" w:cs="Courier New" w:hint="default"/>
      </w:rPr>
    </w:lvl>
    <w:lvl w:ilvl="8" w:tplc="DD5A5366" w:tentative="1">
      <w:start w:val="1"/>
      <w:numFmt w:val="bullet"/>
      <w:lvlText w:val=""/>
      <w:lvlJc w:val="left"/>
      <w:pPr>
        <w:ind w:left="6480" w:hanging="360"/>
      </w:pPr>
      <w:rPr>
        <w:rFonts w:ascii="Wingdings" w:hAnsi="Wingdings" w:hint="default"/>
      </w:rPr>
    </w:lvl>
  </w:abstractNum>
  <w:abstractNum w:abstractNumId="31" w15:restartNumberingAfterBreak="0">
    <w:nsid w:val="74CA485B"/>
    <w:multiLevelType w:val="hybridMultilevel"/>
    <w:tmpl w:val="201074DE"/>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A12C9"/>
    <w:multiLevelType w:val="hybridMultilevel"/>
    <w:tmpl w:val="94D0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272D8"/>
    <w:multiLevelType w:val="hybridMultilevel"/>
    <w:tmpl w:val="412A7640"/>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B3BBE"/>
    <w:multiLevelType w:val="multilevel"/>
    <w:tmpl w:val="37E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30"/>
  </w:num>
  <w:num w:numId="4">
    <w:abstractNumId w:val="9"/>
  </w:num>
  <w:num w:numId="5">
    <w:abstractNumId w:val="8"/>
  </w:num>
  <w:num w:numId="6">
    <w:abstractNumId w:val="3"/>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2"/>
  </w:num>
  <w:num w:numId="15">
    <w:abstractNumId w:val="25"/>
  </w:num>
  <w:num w:numId="16">
    <w:abstractNumId w:val="4"/>
  </w:num>
  <w:num w:numId="17">
    <w:abstractNumId w:val="16"/>
  </w:num>
  <w:num w:numId="18">
    <w:abstractNumId w:val="10"/>
  </w:num>
  <w:num w:numId="19">
    <w:abstractNumId w:val="5"/>
  </w:num>
  <w:num w:numId="20">
    <w:abstractNumId w:val="28"/>
  </w:num>
  <w:num w:numId="21">
    <w:abstractNumId w:val="26"/>
  </w:num>
  <w:num w:numId="22">
    <w:abstractNumId w:val="0"/>
  </w:num>
  <w:num w:numId="23">
    <w:abstractNumId w:val="31"/>
  </w:num>
  <w:num w:numId="24">
    <w:abstractNumId w:val="29"/>
  </w:num>
  <w:num w:numId="25">
    <w:abstractNumId w:val="24"/>
  </w:num>
  <w:num w:numId="26">
    <w:abstractNumId w:val="14"/>
  </w:num>
  <w:num w:numId="27">
    <w:abstractNumId w:val="21"/>
  </w:num>
  <w:num w:numId="28">
    <w:abstractNumId w:val="33"/>
  </w:num>
  <w:num w:numId="29">
    <w:abstractNumId w:val="18"/>
  </w:num>
  <w:num w:numId="30">
    <w:abstractNumId w:val="1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5"/>
  </w:num>
  <w:num w:numId="34">
    <w:abstractNumId w:val="19"/>
  </w:num>
  <w:num w:numId="35">
    <w:abstractNumId w:val="32"/>
  </w:num>
  <w:num w:numId="36">
    <w:abstractNumId w:val="6"/>
  </w:num>
  <w:num w:numId="37">
    <w:abstractNumId w:val="34"/>
  </w:num>
  <w:num w:numId="38">
    <w:abstractNumId w:val="2"/>
  </w:num>
  <w:num w:numId="39">
    <w:abstractNumId w:val="23"/>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MzE0sDCwMDE3NzdT0lEKTi0uzszPAykwNKsFADEipH8tAAAA"/>
  </w:docVars>
  <w:rsids>
    <w:rsidRoot w:val="007B2B5E"/>
    <w:rsid w:val="00000B70"/>
    <w:rsid w:val="000019E2"/>
    <w:rsid w:val="00001AF5"/>
    <w:rsid w:val="00001FA0"/>
    <w:rsid w:val="00002864"/>
    <w:rsid w:val="00002A6A"/>
    <w:rsid w:val="00002C60"/>
    <w:rsid w:val="00002FBD"/>
    <w:rsid w:val="00004CE7"/>
    <w:rsid w:val="00004FBD"/>
    <w:rsid w:val="00005BA7"/>
    <w:rsid w:val="00006599"/>
    <w:rsid w:val="00006F52"/>
    <w:rsid w:val="00006FF6"/>
    <w:rsid w:val="000071A0"/>
    <w:rsid w:val="00007E71"/>
    <w:rsid w:val="000111D2"/>
    <w:rsid w:val="0001143D"/>
    <w:rsid w:val="00011586"/>
    <w:rsid w:val="00011B07"/>
    <w:rsid w:val="0001270C"/>
    <w:rsid w:val="00012E87"/>
    <w:rsid w:val="00013084"/>
    <w:rsid w:val="000135F9"/>
    <w:rsid w:val="00013C2D"/>
    <w:rsid w:val="00014493"/>
    <w:rsid w:val="000148DB"/>
    <w:rsid w:val="00014E59"/>
    <w:rsid w:val="000151A8"/>
    <w:rsid w:val="0001585C"/>
    <w:rsid w:val="00015C2F"/>
    <w:rsid w:val="0001713A"/>
    <w:rsid w:val="00017518"/>
    <w:rsid w:val="00017C25"/>
    <w:rsid w:val="000201A5"/>
    <w:rsid w:val="000209C4"/>
    <w:rsid w:val="0002154A"/>
    <w:rsid w:val="00022163"/>
    <w:rsid w:val="00022491"/>
    <w:rsid w:val="0002278A"/>
    <w:rsid w:val="00022EAC"/>
    <w:rsid w:val="00023565"/>
    <w:rsid w:val="000246F7"/>
    <w:rsid w:val="00025738"/>
    <w:rsid w:val="00025D34"/>
    <w:rsid w:val="000260B0"/>
    <w:rsid w:val="000264D8"/>
    <w:rsid w:val="000266E0"/>
    <w:rsid w:val="000310F6"/>
    <w:rsid w:val="00031E82"/>
    <w:rsid w:val="00032371"/>
    <w:rsid w:val="00032C90"/>
    <w:rsid w:val="00032D57"/>
    <w:rsid w:val="00033885"/>
    <w:rsid w:val="00034669"/>
    <w:rsid w:val="0003479D"/>
    <w:rsid w:val="00035595"/>
    <w:rsid w:val="00035654"/>
    <w:rsid w:val="000359C8"/>
    <w:rsid w:val="000377AC"/>
    <w:rsid w:val="00040710"/>
    <w:rsid w:val="000414E6"/>
    <w:rsid w:val="0004155E"/>
    <w:rsid w:val="00041575"/>
    <w:rsid w:val="000421EF"/>
    <w:rsid w:val="00042586"/>
    <w:rsid w:val="00042683"/>
    <w:rsid w:val="00042C01"/>
    <w:rsid w:val="00042FB2"/>
    <w:rsid w:val="000438C0"/>
    <w:rsid w:val="00043B7C"/>
    <w:rsid w:val="00045030"/>
    <w:rsid w:val="00046261"/>
    <w:rsid w:val="00046D90"/>
    <w:rsid w:val="00046FD2"/>
    <w:rsid w:val="000472B3"/>
    <w:rsid w:val="00047DA0"/>
    <w:rsid w:val="00047DCC"/>
    <w:rsid w:val="00050249"/>
    <w:rsid w:val="00050DDD"/>
    <w:rsid w:val="00051470"/>
    <w:rsid w:val="000518D9"/>
    <w:rsid w:val="00051AC1"/>
    <w:rsid w:val="00052286"/>
    <w:rsid w:val="00052663"/>
    <w:rsid w:val="00052B96"/>
    <w:rsid w:val="00053F95"/>
    <w:rsid w:val="0005414E"/>
    <w:rsid w:val="0005439F"/>
    <w:rsid w:val="000546D7"/>
    <w:rsid w:val="0005498E"/>
    <w:rsid w:val="00055425"/>
    <w:rsid w:val="000556AB"/>
    <w:rsid w:val="00056282"/>
    <w:rsid w:val="00056543"/>
    <w:rsid w:val="000567F8"/>
    <w:rsid w:val="00056D31"/>
    <w:rsid w:val="000579F3"/>
    <w:rsid w:val="00057BAA"/>
    <w:rsid w:val="00057C87"/>
    <w:rsid w:val="0006059F"/>
    <w:rsid w:val="00060C29"/>
    <w:rsid w:val="00060DF7"/>
    <w:rsid w:val="00061654"/>
    <w:rsid w:val="00062FFF"/>
    <w:rsid w:val="000635CE"/>
    <w:rsid w:val="0006360A"/>
    <w:rsid w:val="0006379F"/>
    <w:rsid w:val="0006405F"/>
    <w:rsid w:val="00064273"/>
    <w:rsid w:val="000648C5"/>
    <w:rsid w:val="00065655"/>
    <w:rsid w:val="000659F5"/>
    <w:rsid w:val="00065F3C"/>
    <w:rsid w:val="00066BFC"/>
    <w:rsid w:val="000671AC"/>
    <w:rsid w:val="00067B39"/>
    <w:rsid w:val="00070FA5"/>
    <w:rsid w:val="0007156B"/>
    <w:rsid w:val="00071652"/>
    <w:rsid w:val="00072135"/>
    <w:rsid w:val="00072180"/>
    <w:rsid w:val="00072B08"/>
    <w:rsid w:val="00073F15"/>
    <w:rsid w:val="00074742"/>
    <w:rsid w:val="00074B40"/>
    <w:rsid w:val="00074FC0"/>
    <w:rsid w:val="00075D6D"/>
    <w:rsid w:val="00075F17"/>
    <w:rsid w:val="00075F95"/>
    <w:rsid w:val="00076A0E"/>
    <w:rsid w:val="00076CC5"/>
    <w:rsid w:val="000776E8"/>
    <w:rsid w:val="000778A5"/>
    <w:rsid w:val="000778D3"/>
    <w:rsid w:val="00080216"/>
    <w:rsid w:val="00080A0E"/>
    <w:rsid w:val="00080BA9"/>
    <w:rsid w:val="000810C0"/>
    <w:rsid w:val="0008123C"/>
    <w:rsid w:val="0008194A"/>
    <w:rsid w:val="00082743"/>
    <w:rsid w:val="00083362"/>
    <w:rsid w:val="0008348F"/>
    <w:rsid w:val="00083BB9"/>
    <w:rsid w:val="00083EE2"/>
    <w:rsid w:val="0008533A"/>
    <w:rsid w:val="000854BC"/>
    <w:rsid w:val="00085619"/>
    <w:rsid w:val="0008595C"/>
    <w:rsid w:val="00085A8A"/>
    <w:rsid w:val="00086756"/>
    <w:rsid w:val="00087051"/>
    <w:rsid w:val="00087766"/>
    <w:rsid w:val="00090759"/>
    <w:rsid w:val="00090793"/>
    <w:rsid w:val="00090E68"/>
    <w:rsid w:val="0009107F"/>
    <w:rsid w:val="0009134F"/>
    <w:rsid w:val="0009172D"/>
    <w:rsid w:val="00092687"/>
    <w:rsid w:val="00093636"/>
    <w:rsid w:val="000940D5"/>
    <w:rsid w:val="000944B1"/>
    <w:rsid w:val="00094797"/>
    <w:rsid w:val="00094816"/>
    <w:rsid w:val="000956E6"/>
    <w:rsid w:val="0009573A"/>
    <w:rsid w:val="000957D1"/>
    <w:rsid w:val="00095AC2"/>
    <w:rsid w:val="00095F9C"/>
    <w:rsid w:val="00096BAF"/>
    <w:rsid w:val="00096E03"/>
    <w:rsid w:val="0009721B"/>
    <w:rsid w:val="00097461"/>
    <w:rsid w:val="000979C9"/>
    <w:rsid w:val="000A05CC"/>
    <w:rsid w:val="000A090F"/>
    <w:rsid w:val="000A09E8"/>
    <w:rsid w:val="000A0F54"/>
    <w:rsid w:val="000A15BB"/>
    <w:rsid w:val="000A16FF"/>
    <w:rsid w:val="000A1ADF"/>
    <w:rsid w:val="000A1C26"/>
    <w:rsid w:val="000A35EA"/>
    <w:rsid w:val="000A36C6"/>
    <w:rsid w:val="000A3B0E"/>
    <w:rsid w:val="000A4087"/>
    <w:rsid w:val="000A5540"/>
    <w:rsid w:val="000A58E8"/>
    <w:rsid w:val="000A5FCD"/>
    <w:rsid w:val="000A67BD"/>
    <w:rsid w:val="000A6987"/>
    <w:rsid w:val="000A6CC8"/>
    <w:rsid w:val="000A72D2"/>
    <w:rsid w:val="000A7EC2"/>
    <w:rsid w:val="000B08A8"/>
    <w:rsid w:val="000B0B0A"/>
    <w:rsid w:val="000B0B8A"/>
    <w:rsid w:val="000B0E86"/>
    <w:rsid w:val="000B0F36"/>
    <w:rsid w:val="000B1340"/>
    <w:rsid w:val="000B16BC"/>
    <w:rsid w:val="000B1A67"/>
    <w:rsid w:val="000B1E22"/>
    <w:rsid w:val="000B1F27"/>
    <w:rsid w:val="000B2B2D"/>
    <w:rsid w:val="000B2C30"/>
    <w:rsid w:val="000B30CB"/>
    <w:rsid w:val="000B406A"/>
    <w:rsid w:val="000B42DF"/>
    <w:rsid w:val="000B46A9"/>
    <w:rsid w:val="000B52CF"/>
    <w:rsid w:val="000B5C30"/>
    <w:rsid w:val="000B6BA2"/>
    <w:rsid w:val="000B6F74"/>
    <w:rsid w:val="000B709A"/>
    <w:rsid w:val="000B7687"/>
    <w:rsid w:val="000B76A2"/>
    <w:rsid w:val="000B7D28"/>
    <w:rsid w:val="000C0062"/>
    <w:rsid w:val="000C2125"/>
    <w:rsid w:val="000C26E8"/>
    <w:rsid w:val="000C309B"/>
    <w:rsid w:val="000C36F4"/>
    <w:rsid w:val="000C3D37"/>
    <w:rsid w:val="000C4C1C"/>
    <w:rsid w:val="000C6257"/>
    <w:rsid w:val="000C7F4E"/>
    <w:rsid w:val="000D147D"/>
    <w:rsid w:val="000D26F7"/>
    <w:rsid w:val="000D3498"/>
    <w:rsid w:val="000D3901"/>
    <w:rsid w:val="000D3B70"/>
    <w:rsid w:val="000D3CC9"/>
    <w:rsid w:val="000D4062"/>
    <w:rsid w:val="000D46F1"/>
    <w:rsid w:val="000D48E3"/>
    <w:rsid w:val="000D4F64"/>
    <w:rsid w:val="000D5286"/>
    <w:rsid w:val="000D5356"/>
    <w:rsid w:val="000D5367"/>
    <w:rsid w:val="000D5A83"/>
    <w:rsid w:val="000D6331"/>
    <w:rsid w:val="000D6813"/>
    <w:rsid w:val="000D6C57"/>
    <w:rsid w:val="000D6F1B"/>
    <w:rsid w:val="000D7FD4"/>
    <w:rsid w:val="000E02AB"/>
    <w:rsid w:val="000E05AC"/>
    <w:rsid w:val="000E0831"/>
    <w:rsid w:val="000E0939"/>
    <w:rsid w:val="000E0D4F"/>
    <w:rsid w:val="000E0D83"/>
    <w:rsid w:val="000E18FB"/>
    <w:rsid w:val="000E2265"/>
    <w:rsid w:val="000E24C8"/>
    <w:rsid w:val="000E2D7B"/>
    <w:rsid w:val="000E32C1"/>
    <w:rsid w:val="000E3CA4"/>
    <w:rsid w:val="000E3E78"/>
    <w:rsid w:val="000E420F"/>
    <w:rsid w:val="000E467F"/>
    <w:rsid w:val="000E499F"/>
    <w:rsid w:val="000E5714"/>
    <w:rsid w:val="000E6132"/>
    <w:rsid w:val="000E665D"/>
    <w:rsid w:val="000E6840"/>
    <w:rsid w:val="000E6874"/>
    <w:rsid w:val="000E6925"/>
    <w:rsid w:val="000E6A66"/>
    <w:rsid w:val="000E7338"/>
    <w:rsid w:val="000E7A31"/>
    <w:rsid w:val="000E7C87"/>
    <w:rsid w:val="000E7EE3"/>
    <w:rsid w:val="000F15D8"/>
    <w:rsid w:val="000F1704"/>
    <w:rsid w:val="000F17D6"/>
    <w:rsid w:val="000F1DE0"/>
    <w:rsid w:val="000F2B98"/>
    <w:rsid w:val="000F3878"/>
    <w:rsid w:val="000F3AF9"/>
    <w:rsid w:val="000F4719"/>
    <w:rsid w:val="000F4A2E"/>
    <w:rsid w:val="000F4AC8"/>
    <w:rsid w:val="000F4BDD"/>
    <w:rsid w:val="000F5261"/>
    <w:rsid w:val="000F594A"/>
    <w:rsid w:val="000F5D41"/>
    <w:rsid w:val="000F630D"/>
    <w:rsid w:val="000F70CD"/>
    <w:rsid w:val="000F739A"/>
    <w:rsid w:val="000F73C7"/>
    <w:rsid w:val="000F75EE"/>
    <w:rsid w:val="000F7A78"/>
    <w:rsid w:val="00100C51"/>
    <w:rsid w:val="00100DEB"/>
    <w:rsid w:val="00101077"/>
    <w:rsid w:val="001013DD"/>
    <w:rsid w:val="0010210E"/>
    <w:rsid w:val="0010263D"/>
    <w:rsid w:val="001029C5"/>
    <w:rsid w:val="00102BD8"/>
    <w:rsid w:val="00102EE7"/>
    <w:rsid w:val="001046F2"/>
    <w:rsid w:val="001051AE"/>
    <w:rsid w:val="00105360"/>
    <w:rsid w:val="001055FC"/>
    <w:rsid w:val="001057B8"/>
    <w:rsid w:val="00106A1D"/>
    <w:rsid w:val="0010719B"/>
    <w:rsid w:val="00107A78"/>
    <w:rsid w:val="001102CC"/>
    <w:rsid w:val="00110614"/>
    <w:rsid w:val="00110EA2"/>
    <w:rsid w:val="001113CB"/>
    <w:rsid w:val="001113D4"/>
    <w:rsid w:val="001119F2"/>
    <w:rsid w:val="00112617"/>
    <w:rsid w:val="00113330"/>
    <w:rsid w:val="001145AE"/>
    <w:rsid w:val="001151B3"/>
    <w:rsid w:val="001156F7"/>
    <w:rsid w:val="00115787"/>
    <w:rsid w:val="0011589E"/>
    <w:rsid w:val="00115B78"/>
    <w:rsid w:val="00116169"/>
    <w:rsid w:val="00116361"/>
    <w:rsid w:val="0011651A"/>
    <w:rsid w:val="00116C09"/>
    <w:rsid w:val="00116D17"/>
    <w:rsid w:val="00117241"/>
    <w:rsid w:val="001177E8"/>
    <w:rsid w:val="001202C4"/>
    <w:rsid w:val="00120820"/>
    <w:rsid w:val="001211AF"/>
    <w:rsid w:val="001213B7"/>
    <w:rsid w:val="00121976"/>
    <w:rsid w:val="00121DC9"/>
    <w:rsid w:val="0012215C"/>
    <w:rsid w:val="001230D4"/>
    <w:rsid w:val="00123196"/>
    <w:rsid w:val="0012347C"/>
    <w:rsid w:val="001235FB"/>
    <w:rsid w:val="001236B9"/>
    <w:rsid w:val="0012382C"/>
    <w:rsid w:val="00123899"/>
    <w:rsid w:val="00123948"/>
    <w:rsid w:val="00123997"/>
    <w:rsid w:val="00124012"/>
    <w:rsid w:val="00124153"/>
    <w:rsid w:val="00124281"/>
    <w:rsid w:val="00124817"/>
    <w:rsid w:val="0012490E"/>
    <w:rsid w:val="001249CE"/>
    <w:rsid w:val="0012510C"/>
    <w:rsid w:val="00125B58"/>
    <w:rsid w:val="001263FD"/>
    <w:rsid w:val="00126528"/>
    <w:rsid w:val="0012664D"/>
    <w:rsid w:val="00127C33"/>
    <w:rsid w:val="001302E8"/>
    <w:rsid w:val="00130D33"/>
    <w:rsid w:val="001310F7"/>
    <w:rsid w:val="0013158F"/>
    <w:rsid w:val="0013180E"/>
    <w:rsid w:val="00131C9C"/>
    <w:rsid w:val="00131DB5"/>
    <w:rsid w:val="001320F9"/>
    <w:rsid w:val="00132C55"/>
    <w:rsid w:val="001330D1"/>
    <w:rsid w:val="00133630"/>
    <w:rsid w:val="0013383E"/>
    <w:rsid w:val="00133B90"/>
    <w:rsid w:val="00134666"/>
    <w:rsid w:val="00134B6D"/>
    <w:rsid w:val="00134C35"/>
    <w:rsid w:val="001356FE"/>
    <w:rsid w:val="00135C3C"/>
    <w:rsid w:val="00135C76"/>
    <w:rsid w:val="00135DB2"/>
    <w:rsid w:val="00137651"/>
    <w:rsid w:val="001378C6"/>
    <w:rsid w:val="0013798C"/>
    <w:rsid w:val="00137F85"/>
    <w:rsid w:val="001404F8"/>
    <w:rsid w:val="001415C2"/>
    <w:rsid w:val="00141DA5"/>
    <w:rsid w:val="001426DF"/>
    <w:rsid w:val="00142AA6"/>
    <w:rsid w:val="00143523"/>
    <w:rsid w:val="001451D8"/>
    <w:rsid w:val="0014542F"/>
    <w:rsid w:val="00145D50"/>
    <w:rsid w:val="0014658B"/>
    <w:rsid w:val="00146B64"/>
    <w:rsid w:val="00146D20"/>
    <w:rsid w:val="00147A18"/>
    <w:rsid w:val="00147A88"/>
    <w:rsid w:val="00147BCA"/>
    <w:rsid w:val="0015066F"/>
    <w:rsid w:val="00150AE4"/>
    <w:rsid w:val="00150B38"/>
    <w:rsid w:val="00151276"/>
    <w:rsid w:val="001521B9"/>
    <w:rsid w:val="001525F9"/>
    <w:rsid w:val="0015291E"/>
    <w:rsid w:val="00152E26"/>
    <w:rsid w:val="00152E9A"/>
    <w:rsid w:val="00152F8C"/>
    <w:rsid w:val="00153043"/>
    <w:rsid w:val="00153545"/>
    <w:rsid w:val="00154128"/>
    <w:rsid w:val="001541CA"/>
    <w:rsid w:val="00154225"/>
    <w:rsid w:val="00154932"/>
    <w:rsid w:val="00154B73"/>
    <w:rsid w:val="00154DD5"/>
    <w:rsid w:val="00155152"/>
    <w:rsid w:val="001558D7"/>
    <w:rsid w:val="00156652"/>
    <w:rsid w:val="0015667B"/>
    <w:rsid w:val="001566C0"/>
    <w:rsid w:val="00156C80"/>
    <w:rsid w:val="001572DB"/>
    <w:rsid w:val="00157EA2"/>
    <w:rsid w:val="00160175"/>
    <w:rsid w:val="00160974"/>
    <w:rsid w:val="00161B54"/>
    <w:rsid w:val="00163211"/>
    <w:rsid w:val="00163DC7"/>
    <w:rsid w:val="00163E61"/>
    <w:rsid w:val="0016417C"/>
    <w:rsid w:val="001652B2"/>
    <w:rsid w:val="001652C3"/>
    <w:rsid w:val="001661F5"/>
    <w:rsid w:val="001667F9"/>
    <w:rsid w:val="001700AC"/>
    <w:rsid w:val="00170283"/>
    <w:rsid w:val="001707FC"/>
    <w:rsid w:val="0017087E"/>
    <w:rsid w:val="00170B5D"/>
    <w:rsid w:val="00170ED8"/>
    <w:rsid w:val="001715E3"/>
    <w:rsid w:val="00171BE0"/>
    <w:rsid w:val="00171CB1"/>
    <w:rsid w:val="001723C2"/>
    <w:rsid w:val="001728AB"/>
    <w:rsid w:val="00172BEE"/>
    <w:rsid w:val="00172E3C"/>
    <w:rsid w:val="00172E5C"/>
    <w:rsid w:val="0017308B"/>
    <w:rsid w:val="0017394C"/>
    <w:rsid w:val="00173F50"/>
    <w:rsid w:val="00175425"/>
    <w:rsid w:val="001760E0"/>
    <w:rsid w:val="001763D7"/>
    <w:rsid w:val="00177534"/>
    <w:rsid w:val="00177866"/>
    <w:rsid w:val="0018090C"/>
    <w:rsid w:val="00180D3F"/>
    <w:rsid w:val="001819E7"/>
    <w:rsid w:val="00181E31"/>
    <w:rsid w:val="0018202C"/>
    <w:rsid w:val="001820F2"/>
    <w:rsid w:val="00182363"/>
    <w:rsid w:val="00182B25"/>
    <w:rsid w:val="00182F15"/>
    <w:rsid w:val="0018427F"/>
    <w:rsid w:val="001850AE"/>
    <w:rsid w:val="00185FC5"/>
    <w:rsid w:val="00186597"/>
    <w:rsid w:val="0018681B"/>
    <w:rsid w:val="00186B45"/>
    <w:rsid w:val="00186CCE"/>
    <w:rsid w:val="00187150"/>
    <w:rsid w:val="0018744A"/>
    <w:rsid w:val="00187590"/>
    <w:rsid w:val="00187997"/>
    <w:rsid w:val="001901BE"/>
    <w:rsid w:val="00190983"/>
    <w:rsid w:val="00190C0A"/>
    <w:rsid w:val="00190FE2"/>
    <w:rsid w:val="0019139A"/>
    <w:rsid w:val="0019169D"/>
    <w:rsid w:val="0019174D"/>
    <w:rsid w:val="00191A1E"/>
    <w:rsid w:val="001922F6"/>
    <w:rsid w:val="00192AD4"/>
    <w:rsid w:val="00192CE5"/>
    <w:rsid w:val="0019301A"/>
    <w:rsid w:val="00194079"/>
    <w:rsid w:val="001946BD"/>
    <w:rsid w:val="001948E5"/>
    <w:rsid w:val="001952A0"/>
    <w:rsid w:val="00195B61"/>
    <w:rsid w:val="00196223"/>
    <w:rsid w:val="0019731A"/>
    <w:rsid w:val="0019775C"/>
    <w:rsid w:val="0019787C"/>
    <w:rsid w:val="00197A5A"/>
    <w:rsid w:val="001A015E"/>
    <w:rsid w:val="001A022C"/>
    <w:rsid w:val="001A06B9"/>
    <w:rsid w:val="001A1705"/>
    <w:rsid w:val="001A1990"/>
    <w:rsid w:val="001A1D18"/>
    <w:rsid w:val="001A370A"/>
    <w:rsid w:val="001A4237"/>
    <w:rsid w:val="001A5039"/>
    <w:rsid w:val="001A5C25"/>
    <w:rsid w:val="001A5E42"/>
    <w:rsid w:val="001A5EB4"/>
    <w:rsid w:val="001A61CB"/>
    <w:rsid w:val="001A6AF4"/>
    <w:rsid w:val="001A6DAC"/>
    <w:rsid w:val="001A7082"/>
    <w:rsid w:val="001A735F"/>
    <w:rsid w:val="001A7F3B"/>
    <w:rsid w:val="001B029F"/>
    <w:rsid w:val="001B0ABC"/>
    <w:rsid w:val="001B23BD"/>
    <w:rsid w:val="001B264E"/>
    <w:rsid w:val="001B316E"/>
    <w:rsid w:val="001B3982"/>
    <w:rsid w:val="001B3B07"/>
    <w:rsid w:val="001B3CF3"/>
    <w:rsid w:val="001B3FB3"/>
    <w:rsid w:val="001B4C95"/>
    <w:rsid w:val="001B50BE"/>
    <w:rsid w:val="001B51B2"/>
    <w:rsid w:val="001B5251"/>
    <w:rsid w:val="001B6344"/>
    <w:rsid w:val="001B635D"/>
    <w:rsid w:val="001B64C9"/>
    <w:rsid w:val="001B7370"/>
    <w:rsid w:val="001B795E"/>
    <w:rsid w:val="001B7987"/>
    <w:rsid w:val="001B7B7B"/>
    <w:rsid w:val="001C00C0"/>
    <w:rsid w:val="001C00EE"/>
    <w:rsid w:val="001C0918"/>
    <w:rsid w:val="001C1379"/>
    <w:rsid w:val="001C14CF"/>
    <w:rsid w:val="001C2389"/>
    <w:rsid w:val="001C2E12"/>
    <w:rsid w:val="001C3168"/>
    <w:rsid w:val="001C3806"/>
    <w:rsid w:val="001C39B6"/>
    <w:rsid w:val="001C43E1"/>
    <w:rsid w:val="001C4643"/>
    <w:rsid w:val="001C479F"/>
    <w:rsid w:val="001C4BDB"/>
    <w:rsid w:val="001C4CC2"/>
    <w:rsid w:val="001C4D71"/>
    <w:rsid w:val="001C4E5F"/>
    <w:rsid w:val="001C4EBB"/>
    <w:rsid w:val="001C5838"/>
    <w:rsid w:val="001C604A"/>
    <w:rsid w:val="001C6CE9"/>
    <w:rsid w:val="001C716F"/>
    <w:rsid w:val="001C71A2"/>
    <w:rsid w:val="001C7553"/>
    <w:rsid w:val="001C7CA4"/>
    <w:rsid w:val="001D0E5A"/>
    <w:rsid w:val="001D1380"/>
    <w:rsid w:val="001D1772"/>
    <w:rsid w:val="001D1BB5"/>
    <w:rsid w:val="001D2F35"/>
    <w:rsid w:val="001D311F"/>
    <w:rsid w:val="001D3182"/>
    <w:rsid w:val="001D3D53"/>
    <w:rsid w:val="001D4E8F"/>
    <w:rsid w:val="001D5307"/>
    <w:rsid w:val="001D5388"/>
    <w:rsid w:val="001D574C"/>
    <w:rsid w:val="001D5D51"/>
    <w:rsid w:val="001D7138"/>
    <w:rsid w:val="001D7D22"/>
    <w:rsid w:val="001D7ECC"/>
    <w:rsid w:val="001E062F"/>
    <w:rsid w:val="001E0857"/>
    <w:rsid w:val="001E08B5"/>
    <w:rsid w:val="001E0B81"/>
    <w:rsid w:val="001E0BB1"/>
    <w:rsid w:val="001E11CD"/>
    <w:rsid w:val="001E1584"/>
    <w:rsid w:val="001E1653"/>
    <w:rsid w:val="001E1FE8"/>
    <w:rsid w:val="001E21E5"/>
    <w:rsid w:val="001E22B0"/>
    <w:rsid w:val="001E239E"/>
    <w:rsid w:val="001E2678"/>
    <w:rsid w:val="001E2B6A"/>
    <w:rsid w:val="001E40A8"/>
    <w:rsid w:val="001E41A4"/>
    <w:rsid w:val="001E4693"/>
    <w:rsid w:val="001E4FB9"/>
    <w:rsid w:val="001E5690"/>
    <w:rsid w:val="001E5937"/>
    <w:rsid w:val="001E6C50"/>
    <w:rsid w:val="001E7356"/>
    <w:rsid w:val="001E7702"/>
    <w:rsid w:val="001E7858"/>
    <w:rsid w:val="001E7E59"/>
    <w:rsid w:val="001F0171"/>
    <w:rsid w:val="001F0B63"/>
    <w:rsid w:val="001F0BAD"/>
    <w:rsid w:val="001F2055"/>
    <w:rsid w:val="001F270B"/>
    <w:rsid w:val="001F36DB"/>
    <w:rsid w:val="001F3989"/>
    <w:rsid w:val="001F444C"/>
    <w:rsid w:val="001F4E96"/>
    <w:rsid w:val="001F4FA8"/>
    <w:rsid w:val="001F57F8"/>
    <w:rsid w:val="001F65EA"/>
    <w:rsid w:val="001F6849"/>
    <w:rsid w:val="001F75CB"/>
    <w:rsid w:val="001F7F00"/>
    <w:rsid w:val="001F7FB7"/>
    <w:rsid w:val="001F7FCB"/>
    <w:rsid w:val="002001B0"/>
    <w:rsid w:val="00200776"/>
    <w:rsid w:val="002007D8"/>
    <w:rsid w:val="00200993"/>
    <w:rsid w:val="00200F11"/>
    <w:rsid w:val="00200F85"/>
    <w:rsid w:val="002018BE"/>
    <w:rsid w:val="00203947"/>
    <w:rsid w:val="00204304"/>
    <w:rsid w:val="00205B37"/>
    <w:rsid w:val="00205C13"/>
    <w:rsid w:val="00205F90"/>
    <w:rsid w:val="0020644A"/>
    <w:rsid w:val="0020715C"/>
    <w:rsid w:val="00207A82"/>
    <w:rsid w:val="00210350"/>
    <w:rsid w:val="00210489"/>
    <w:rsid w:val="00211142"/>
    <w:rsid w:val="002118C9"/>
    <w:rsid w:val="00211B49"/>
    <w:rsid w:val="002121D6"/>
    <w:rsid w:val="00212366"/>
    <w:rsid w:val="002124A6"/>
    <w:rsid w:val="00212F6A"/>
    <w:rsid w:val="00212FD0"/>
    <w:rsid w:val="002132F7"/>
    <w:rsid w:val="002133FD"/>
    <w:rsid w:val="002134DC"/>
    <w:rsid w:val="002145A9"/>
    <w:rsid w:val="0021493F"/>
    <w:rsid w:val="00214EC0"/>
    <w:rsid w:val="0021587F"/>
    <w:rsid w:val="002164E5"/>
    <w:rsid w:val="00216605"/>
    <w:rsid w:val="00216BF8"/>
    <w:rsid w:val="00217644"/>
    <w:rsid w:val="00217B8E"/>
    <w:rsid w:val="00217D15"/>
    <w:rsid w:val="00217E49"/>
    <w:rsid w:val="00220449"/>
    <w:rsid w:val="002208BC"/>
    <w:rsid w:val="00220B0A"/>
    <w:rsid w:val="00221473"/>
    <w:rsid w:val="002224B8"/>
    <w:rsid w:val="0022266B"/>
    <w:rsid w:val="00222D2D"/>
    <w:rsid w:val="00222DDD"/>
    <w:rsid w:val="00223E11"/>
    <w:rsid w:val="00224CE4"/>
    <w:rsid w:val="0022591F"/>
    <w:rsid w:val="00225CD1"/>
    <w:rsid w:val="00225E72"/>
    <w:rsid w:val="0022679A"/>
    <w:rsid w:val="00226C2B"/>
    <w:rsid w:val="00226C8F"/>
    <w:rsid w:val="00227088"/>
    <w:rsid w:val="00227A59"/>
    <w:rsid w:val="00227DAB"/>
    <w:rsid w:val="0023081A"/>
    <w:rsid w:val="002309D5"/>
    <w:rsid w:val="00230A09"/>
    <w:rsid w:val="0023219C"/>
    <w:rsid w:val="00232607"/>
    <w:rsid w:val="002328A0"/>
    <w:rsid w:val="002329DF"/>
    <w:rsid w:val="00232B82"/>
    <w:rsid w:val="00233A5D"/>
    <w:rsid w:val="002345EA"/>
    <w:rsid w:val="00234995"/>
    <w:rsid w:val="00234B11"/>
    <w:rsid w:val="002356D0"/>
    <w:rsid w:val="002356D7"/>
    <w:rsid w:val="00235967"/>
    <w:rsid w:val="00235FB3"/>
    <w:rsid w:val="002362F9"/>
    <w:rsid w:val="00236ADB"/>
    <w:rsid w:val="002373CC"/>
    <w:rsid w:val="00237AD1"/>
    <w:rsid w:val="0024009F"/>
    <w:rsid w:val="002408B1"/>
    <w:rsid w:val="00240940"/>
    <w:rsid w:val="00241553"/>
    <w:rsid w:val="00241E62"/>
    <w:rsid w:val="002427BC"/>
    <w:rsid w:val="002428E0"/>
    <w:rsid w:val="00242DC6"/>
    <w:rsid w:val="00244216"/>
    <w:rsid w:val="0024455C"/>
    <w:rsid w:val="00244678"/>
    <w:rsid w:val="002446CC"/>
    <w:rsid w:val="00244A99"/>
    <w:rsid w:val="00244D5F"/>
    <w:rsid w:val="0024537B"/>
    <w:rsid w:val="002466BF"/>
    <w:rsid w:val="0024683A"/>
    <w:rsid w:val="0024702D"/>
    <w:rsid w:val="00247847"/>
    <w:rsid w:val="00250046"/>
    <w:rsid w:val="002509BB"/>
    <w:rsid w:val="00250BF4"/>
    <w:rsid w:val="00251C22"/>
    <w:rsid w:val="0025209C"/>
    <w:rsid w:val="00252572"/>
    <w:rsid w:val="00253089"/>
    <w:rsid w:val="00254D17"/>
    <w:rsid w:val="002555CA"/>
    <w:rsid w:val="00256600"/>
    <w:rsid w:val="00256817"/>
    <w:rsid w:val="00256ED0"/>
    <w:rsid w:val="002577D0"/>
    <w:rsid w:val="00257B57"/>
    <w:rsid w:val="002603B7"/>
    <w:rsid w:val="00260C7B"/>
    <w:rsid w:val="00260D0D"/>
    <w:rsid w:val="002611EC"/>
    <w:rsid w:val="00261282"/>
    <w:rsid w:val="00262A27"/>
    <w:rsid w:val="00263A20"/>
    <w:rsid w:val="00264337"/>
    <w:rsid w:val="00264689"/>
    <w:rsid w:val="002649F4"/>
    <w:rsid w:val="00264E71"/>
    <w:rsid w:val="00265098"/>
    <w:rsid w:val="0026559B"/>
    <w:rsid w:val="002657F4"/>
    <w:rsid w:val="00265E38"/>
    <w:rsid w:val="00266D41"/>
    <w:rsid w:val="0026771A"/>
    <w:rsid w:val="00267B4A"/>
    <w:rsid w:val="00270008"/>
    <w:rsid w:val="0027020B"/>
    <w:rsid w:val="0027056D"/>
    <w:rsid w:val="00270A00"/>
    <w:rsid w:val="00270B7D"/>
    <w:rsid w:val="00270ED3"/>
    <w:rsid w:val="002710DB"/>
    <w:rsid w:val="00271150"/>
    <w:rsid w:val="002713C4"/>
    <w:rsid w:val="0027158F"/>
    <w:rsid w:val="00272638"/>
    <w:rsid w:val="002729CE"/>
    <w:rsid w:val="00272BCE"/>
    <w:rsid w:val="00272FD3"/>
    <w:rsid w:val="00273293"/>
    <w:rsid w:val="00273467"/>
    <w:rsid w:val="002740C5"/>
    <w:rsid w:val="002743AC"/>
    <w:rsid w:val="00274409"/>
    <w:rsid w:val="002752A9"/>
    <w:rsid w:val="002757AD"/>
    <w:rsid w:val="00276B57"/>
    <w:rsid w:val="00276FD0"/>
    <w:rsid w:val="00276FF3"/>
    <w:rsid w:val="00277292"/>
    <w:rsid w:val="00280389"/>
    <w:rsid w:val="002807A8"/>
    <w:rsid w:val="002818CA"/>
    <w:rsid w:val="00281F03"/>
    <w:rsid w:val="00282819"/>
    <w:rsid w:val="002828B7"/>
    <w:rsid w:val="00282C50"/>
    <w:rsid w:val="00283F2C"/>
    <w:rsid w:val="00284719"/>
    <w:rsid w:val="00284A72"/>
    <w:rsid w:val="00284B9A"/>
    <w:rsid w:val="00285291"/>
    <w:rsid w:val="00285D0F"/>
    <w:rsid w:val="00286D58"/>
    <w:rsid w:val="002876E3"/>
    <w:rsid w:val="00287DD8"/>
    <w:rsid w:val="00291049"/>
    <w:rsid w:val="002910E4"/>
    <w:rsid w:val="00291211"/>
    <w:rsid w:val="00291B31"/>
    <w:rsid w:val="0029231D"/>
    <w:rsid w:val="002927C4"/>
    <w:rsid w:val="00293084"/>
    <w:rsid w:val="0029354A"/>
    <w:rsid w:val="002939E2"/>
    <w:rsid w:val="00293A63"/>
    <w:rsid w:val="002940D5"/>
    <w:rsid w:val="00294278"/>
    <w:rsid w:val="00294339"/>
    <w:rsid w:val="002949CC"/>
    <w:rsid w:val="00295663"/>
    <w:rsid w:val="00296475"/>
    <w:rsid w:val="00296D08"/>
    <w:rsid w:val="00297403"/>
    <w:rsid w:val="002975E7"/>
    <w:rsid w:val="002A0022"/>
    <w:rsid w:val="002A007B"/>
    <w:rsid w:val="002A1172"/>
    <w:rsid w:val="002A14A0"/>
    <w:rsid w:val="002A26B2"/>
    <w:rsid w:val="002A2810"/>
    <w:rsid w:val="002A2CDC"/>
    <w:rsid w:val="002A30E6"/>
    <w:rsid w:val="002A3447"/>
    <w:rsid w:val="002A3FCA"/>
    <w:rsid w:val="002A4743"/>
    <w:rsid w:val="002A4C39"/>
    <w:rsid w:val="002A5265"/>
    <w:rsid w:val="002A5941"/>
    <w:rsid w:val="002A5DCA"/>
    <w:rsid w:val="002A6334"/>
    <w:rsid w:val="002A64AD"/>
    <w:rsid w:val="002A7346"/>
    <w:rsid w:val="002A77BE"/>
    <w:rsid w:val="002A7F09"/>
    <w:rsid w:val="002B0368"/>
    <w:rsid w:val="002B068B"/>
    <w:rsid w:val="002B11BD"/>
    <w:rsid w:val="002B13E8"/>
    <w:rsid w:val="002B1A34"/>
    <w:rsid w:val="002B1AC1"/>
    <w:rsid w:val="002B22F0"/>
    <w:rsid w:val="002B2BF1"/>
    <w:rsid w:val="002B3DF5"/>
    <w:rsid w:val="002B464F"/>
    <w:rsid w:val="002B5C4D"/>
    <w:rsid w:val="002B70E9"/>
    <w:rsid w:val="002B7957"/>
    <w:rsid w:val="002B7CB6"/>
    <w:rsid w:val="002C0019"/>
    <w:rsid w:val="002C0DCE"/>
    <w:rsid w:val="002C0F55"/>
    <w:rsid w:val="002C1AE4"/>
    <w:rsid w:val="002C1E63"/>
    <w:rsid w:val="002C225B"/>
    <w:rsid w:val="002C2F15"/>
    <w:rsid w:val="002C33F7"/>
    <w:rsid w:val="002C3951"/>
    <w:rsid w:val="002C3C7D"/>
    <w:rsid w:val="002C3DE8"/>
    <w:rsid w:val="002C4AE2"/>
    <w:rsid w:val="002C544D"/>
    <w:rsid w:val="002C7217"/>
    <w:rsid w:val="002C741C"/>
    <w:rsid w:val="002D07A9"/>
    <w:rsid w:val="002D09AC"/>
    <w:rsid w:val="002D0F5A"/>
    <w:rsid w:val="002D1037"/>
    <w:rsid w:val="002D1323"/>
    <w:rsid w:val="002D1478"/>
    <w:rsid w:val="002D150A"/>
    <w:rsid w:val="002D1584"/>
    <w:rsid w:val="002D1C7E"/>
    <w:rsid w:val="002D1FB8"/>
    <w:rsid w:val="002D23A2"/>
    <w:rsid w:val="002D28E4"/>
    <w:rsid w:val="002D2A23"/>
    <w:rsid w:val="002D2BD3"/>
    <w:rsid w:val="002D2E7C"/>
    <w:rsid w:val="002D33DB"/>
    <w:rsid w:val="002D38BC"/>
    <w:rsid w:val="002D3FC3"/>
    <w:rsid w:val="002D4521"/>
    <w:rsid w:val="002D457E"/>
    <w:rsid w:val="002D4F15"/>
    <w:rsid w:val="002D55CD"/>
    <w:rsid w:val="002D55D1"/>
    <w:rsid w:val="002D5FDA"/>
    <w:rsid w:val="002D78D7"/>
    <w:rsid w:val="002D7D72"/>
    <w:rsid w:val="002E03FF"/>
    <w:rsid w:val="002E0488"/>
    <w:rsid w:val="002E0C10"/>
    <w:rsid w:val="002E119C"/>
    <w:rsid w:val="002E2205"/>
    <w:rsid w:val="002E2A12"/>
    <w:rsid w:val="002E2D95"/>
    <w:rsid w:val="002E3672"/>
    <w:rsid w:val="002E367D"/>
    <w:rsid w:val="002E48AA"/>
    <w:rsid w:val="002E4A99"/>
    <w:rsid w:val="002E55DE"/>
    <w:rsid w:val="002E57CA"/>
    <w:rsid w:val="002E58EB"/>
    <w:rsid w:val="002E5CA1"/>
    <w:rsid w:val="002E615B"/>
    <w:rsid w:val="002E622E"/>
    <w:rsid w:val="002E724B"/>
    <w:rsid w:val="002E7418"/>
    <w:rsid w:val="002E7A59"/>
    <w:rsid w:val="002E7BA4"/>
    <w:rsid w:val="002F04ED"/>
    <w:rsid w:val="002F0EF8"/>
    <w:rsid w:val="002F15CD"/>
    <w:rsid w:val="002F297B"/>
    <w:rsid w:val="002F3217"/>
    <w:rsid w:val="002F43BA"/>
    <w:rsid w:val="002F45B2"/>
    <w:rsid w:val="002F4683"/>
    <w:rsid w:val="002F46E4"/>
    <w:rsid w:val="002F47FA"/>
    <w:rsid w:val="002F58B5"/>
    <w:rsid w:val="002F74E3"/>
    <w:rsid w:val="002F7895"/>
    <w:rsid w:val="002F7951"/>
    <w:rsid w:val="002F7C73"/>
    <w:rsid w:val="002F7E63"/>
    <w:rsid w:val="0030219D"/>
    <w:rsid w:val="00302958"/>
    <w:rsid w:val="00302DD8"/>
    <w:rsid w:val="00302F02"/>
    <w:rsid w:val="003035C7"/>
    <w:rsid w:val="00303652"/>
    <w:rsid w:val="003047D8"/>
    <w:rsid w:val="00304D4D"/>
    <w:rsid w:val="00305083"/>
    <w:rsid w:val="00305114"/>
    <w:rsid w:val="0030583B"/>
    <w:rsid w:val="003062A4"/>
    <w:rsid w:val="00306666"/>
    <w:rsid w:val="00306B94"/>
    <w:rsid w:val="00306BB1"/>
    <w:rsid w:val="00307064"/>
    <w:rsid w:val="00310BDA"/>
    <w:rsid w:val="00311243"/>
    <w:rsid w:val="00311DC6"/>
    <w:rsid w:val="00311E29"/>
    <w:rsid w:val="003123FA"/>
    <w:rsid w:val="003135C3"/>
    <w:rsid w:val="00313DF7"/>
    <w:rsid w:val="00313EF8"/>
    <w:rsid w:val="00315207"/>
    <w:rsid w:val="00315699"/>
    <w:rsid w:val="00315771"/>
    <w:rsid w:val="00315FBB"/>
    <w:rsid w:val="003162C6"/>
    <w:rsid w:val="00316CC7"/>
    <w:rsid w:val="00317092"/>
    <w:rsid w:val="003172F9"/>
    <w:rsid w:val="00317344"/>
    <w:rsid w:val="00317938"/>
    <w:rsid w:val="00317A69"/>
    <w:rsid w:val="00321814"/>
    <w:rsid w:val="00321CFC"/>
    <w:rsid w:val="0032223A"/>
    <w:rsid w:val="00322D82"/>
    <w:rsid w:val="003231C5"/>
    <w:rsid w:val="00323449"/>
    <w:rsid w:val="0032453D"/>
    <w:rsid w:val="0032536E"/>
    <w:rsid w:val="00325421"/>
    <w:rsid w:val="00325743"/>
    <w:rsid w:val="00325A46"/>
    <w:rsid w:val="00325A6C"/>
    <w:rsid w:val="00325E6F"/>
    <w:rsid w:val="0032650A"/>
    <w:rsid w:val="0032730C"/>
    <w:rsid w:val="00327348"/>
    <w:rsid w:val="00327660"/>
    <w:rsid w:val="00327874"/>
    <w:rsid w:val="0033012E"/>
    <w:rsid w:val="0033018C"/>
    <w:rsid w:val="003308B5"/>
    <w:rsid w:val="003318DB"/>
    <w:rsid w:val="00332370"/>
    <w:rsid w:val="0033245B"/>
    <w:rsid w:val="00332701"/>
    <w:rsid w:val="00332BCF"/>
    <w:rsid w:val="00332E56"/>
    <w:rsid w:val="003339DE"/>
    <w:rsid w:val="00333CB2"/>
    <w:rsid w:val="00334374"/>
    <w:rsid w:val="00334952"/>
    <w:rsid w:val="00334957"/>
    <w:rsid w:val="00334AA7"/>
    <w:rsid w:val="00334E02"/>
    <w:rsid w:val="00335674"/>
    <w:rsid w:val="00336317"/>
    <w:rsid w:val="003366C0"/>
    <w:rsid w:val="00336B7E"/>
    <w:rsid w:val="003370A6"/>
    <w:rsid w:val="00337853"/>
    <w:rsid w:val="003406F9"/>
    <w:rsid w:val="0034070F"/>
    <w:rsid w:val="00340843"/>
    <w:rsid w:val="00340ABA"/>
    <w:rsid w:val="00340EFE"/>
    <w:rsid w:val="0034118E"/>
    <w:rsid w:val="0034149A"/>
    <w:rsid w:val="0034175F"/>
    <w:rsid w:val="003417B3"/>
    <w:rsid w:val="00342616"/>
    <w:rsid w:val="00342CC0"/>
    <w:rsid w:val="00342CFE"/>
    <w:rsid w:val="00343052"/>
    <w:rsid w:val="003430FA"/>
    <w:rsid w:val="003432C4"/>
    <w:rsid w:val="00343398"/>
    <w:rsid w:val="00343D99"/>
    <w:rsid w:val="00343FAA"/>
    <w:rsid w:val="00344167"/>
    <w:rsid w:val="003458F0"/>
    <w:rsid w:val="00346755"/>
    <w:rsid w:val="003472CE"/>
    <w:rsid w:val="003476E3"/>
    <w:rsid w:val="00347AC3"/>
    <w:rsid w:val="00347B96"/>
    <w:rsid w:val="0035006A"/>
    <w:rsid w:val="003504BF"/>
    <w:rsid w:val="00350CA8"/>
    <w:rsid w:val="00350D4A"/>
    <w:rsid w:val="00350E66"/>
    <w:rsid w:val="00351243"/>
    <w:rsid w:val="0035137B"/>
    <w:rsid w:val="00351465"/>
    <w:rsid w:val="003518A9"/>
    <w:rsid w:val="003518AB"/>
    <w:rsid w:val="0035206B"/>
    <w:rsid w:val="00352190"/>
    <w:rsid w:val="0035288C"/>
    <w:rsid w:val="00353ADB"/>
    <w:rsid w:val="00354D23"/>
    <w:rsid w:val="003555D1"/>
    <w:rsid w:val="00355980"/>
    <w:rsid w:val="003559A2"/>
    <w:rsid w:val="003564C3"/>
    <w:rsid w:val="00356544"/>
    <w:rsid w:val="00356A87"/>
    <w:rsid w:val="00356F5A"/>
    <w:rsid w:val="003570C2"/>
    <w:rsid w:val="003579F5"/>
    <w:rsid w:val="00360CE2"/>
    <w:rsid w:val="00361E0A"/>
    <w:rsid w:val="00362B34"/>
    <w:rsid w:val="00362EF5"/>
    <w:rsid w:val="003631B4"/>
    <w:rsid w:val="0036323E"/>
    <w:rsid w:val="0036342B"/>
    <w:rsid w:val="00364B49"/>
    <w:rsid w:val="00364EC9"/>
    <w:rsid w:val="0036534A"/>
    <w:rsid w:val="00365497"/>
    <w:rsid w:val="00365986"/>
    <w:rsid w:val="00365ABF"/>
    <w:rsid w:val="003660A8"/>
    <w:rsid w:val="0036675A"/>
    <w:rsid w:val="00367C6F"/>
    <w:rsid w:val="003701F8"/>
    <w:rsid w:val="00370BFD"/>
    <w:rsid w:val="00371BC4"/>
    <w:rsid w:val="00371BE8"/>
    <w:rsid w:val="00372C61"/>
    <w:rsid w:val="003731EF"/>
    <w:rsid w:val="003732DD"/>
    <w:rsid w:val="0037341C"/>
    <w:rsid w:val="0037349F"/>
    <w:rsid w:val="00373CE6"/>
    <w:rsid w:val="00373E92"/>
    <w:rsid w:val="00374395"/>
    <w:rsid w:val="003743AB"/>
    <w:rsid w:val="003748F1"/>
    <w:rsid w:val="00375219"/>
    <w:rsid w:val="00375DF0"/>
    <w:rsid w:val="003768C0"/>
    <w:rsid w:val="0037693A"/>
    <w:rsid w:val="003808D7"/>
    <w:rsid w:val="00380A97"/>
    <w:rsid w:val="0038129D"/>
    <w:rsid w:val="003820BD"/>
    <w:rsid w:val="003828FC"/>
    <w:rsid w:val="00382981"/>
    <w:rsid w:val="00382CAC"/>
    <w:rsid w:val="003830EF"/>
    <w:rsid w:val="00383BAD"/>
    <w:rsid w:val="0038599C"/>
    <w:rsid w:val="00386276"/>
    <w:rsid w:val="00386BA0"/>
    <w:rsid w:val="00386CF7"/>
    <w:rsid w:val="00386D16"/>
    <w:rsid w:val="0038730B"/>
    <w:rsid w:val="00387E13"/>
    <w:rsid w:val="00391797"/>
    <w:rsid w:val="00391F7B"/>
    <w:rsid w:val="00392568"/>
    <w:rsid w:val="00392E97"/>
    <w:rsid w:val="00393066"/>
    <w:rsid w:val="00394356"/>
    <w:rsid w:val="003958E9"/>
    <w:rsid w:val="00396165"/>
    <w:rsid w:val="00396595"/>
    <w:rsid w:val="00396E1E"/>
    <w:rsid w:val="0039705E"/>
    <w:rsid w:val="0039787D"/>
    <w:rsid w:val="00397ECE"/>
    <w:rsid w:val="003A00A5"/>
    <w:rsid w:val="003A014E"/>
    <w:rsid w:val="003A1103"/>
    <w:rsid w:val="003A143A"/>
    <w:rsid w:val="003A14A0"/>
    <w:rsid w:val="003A14E1"/>
    <w:rsid w:val="003A1A3B"/>
    <w:rsid w:val="003A1DAE"/>
    <w:rsid w:val="003A2F19"/>
    <w:rsid w:val="003A3E59"/>
    <w:rsid w:val="003A3F28"/>
    <w:rsid w:val="003A41F2"/>
    <w:rsid w:val="003A4373"/>
    <w:rsid w:val="003A5135"/>
    <w:rsid w:val="003A515B"/>
    <w:rsid w:val="003A53AD"/>
    <w:rsid w:val="003A5906"/>
    <w:rsid w:val="003A6CEC"/>
    <w:rsid w:val="003A7204"/>
    <w:rsid w:val="003A7256"/>
    <w:rsid w:val="003A7523"/>
    <w:rsid w:val="003A75B2"/>
    <w:rsid w:val="003B0090"/>
    <w:rsid w:val="003B0A4C"/>
    <w:rsid w:val="003B0FE3"/>
    <w:rsid w:val="003B1094"/>
    <w:rsid w:val="003B1347"/>
    <w:rsid w:val="003B141E"/>
    <w:rsid w:val="003B25AF"/>
    <w:rsid w:val="003B2E7A"/>
    <w:rsid w:val="003B30E8"/>
    <w:rsid w:val="003B38FB"/>
    <w:rsid w:val="003B3A8E"/>
    <w:rsid w:val="003B3F4D"/>
    <w:rsid w:val="003B406F"/>
    <w:rsid w:val="003B47E7"/>
    <w:rsid w:val="003B54F0"/>
    <w:rsid w:val="003B58B3"/>
    <w:rsid w:val="003B593B"/>
    <w:rsid w:val="003B61FA"/>
    <w:rsid w:val="003B7252"/>
    <w:rsid w:val="003B7489"/>
    <w:rsid w:val="003B790D"/>
    <w:rsid w:val="003B7D6E"/>
    <w:rsid w:val="003B7FE1"/>
    <w:rsid w:val="003C0364"/>
    <w:rsid w:val="003C0528"/>
    <w:rsid w:val="003C09D6"/>
    <w:rsid w:val="003C1346"/>
    <w:rsid w:val="003C24E5"/>
    <w:rsid w:val="003C26F4"/>
    <w:rsid w:val="003C2D74"/>
    <w:rsid w:val="003C33EA"/>
    <w:rsid w:val="003C5112"/>
    <w:rsid w:val="003C5A17"/>
    <w:rsid w:val="003C6207"/>
    <w:rsid w:val="003C6593"/>
    <w:rsid w:val="003C662F"/>
    <w:rsid w:val="003C6653"/>
    <w:rsid w:val="003C6F53"/>
    <w:rsid w:val="003C783D"/>
    <w:rsid w:val="003C7C29"/>
    <w:rsid w:val="003C7C32"/>
    <w:rsid w:val="003D07A3"/>
    <w:rsid w:val="003D0998"/>
    <w:rsid w:val="003D10B7"/>
    <w:rsid w:val="003D10DE"/>
    <w:rsid w:val="003D1105"/>
    <w:rsid w:val="003D11B6"/>
    <w:rsid w:val="003D17E9"/>
    <w:rsid w:val="003D1C43"/>
    <w:rsid w:val="003D1F5E"/>
    <w:rsid w:val="003D232F"/>
    <w:rsid w:val="003D2335"/>
    <w:rsid w:val="003D2622"/>
    <w:rsid w:val="003D2BF9"/>
    <w:rsid w:val="003D2EA1"/>
    <w:rsid w:val="003D2FDD"/>
    <w:rsid w:val="003D3147"/>
    <w:rsid w:val="003D36B0"/>
    <w:rsid w:val="003D4450"/>
    <w:rsid w:val="003D4D2F"/>
    <w:rsid w:val="003D4E9D"/>
    <w:rsid w:val="003D5669"/>
    <w:rsid w:val="003D5AB0"/>
    <w:rsid w:val="003D6836"/>
    <w:rsid w:val="003D6B60"/>
    <w:rsid w:val="003D703C"/>
    <w:rsid w:val="003D79FC"/>
    <w:rsid w:val="003D7A77"/>
    <w:rsid w:val="003D7E93"/>
    <w:rsid w:val="003E0582"/>
    <w:rsid w:val="003E082A"/>
    <w:rsid w:val="003E0A06"/>
    <w:rsid w:val="003E2B3B"/>
    <w:rsid w:val="003E3DF7"/>
    <w:rsid w:val="003E4471"/>
    <w:rsid w:val="003E4865"/>
    <w:rsid w:val="003E4A2A"/>
    <w:rsid w:val="003E5098"/>
    <w:rsid w:val="003E588C"/>
    <w:rsid w:val="003E5A95"/>
    <w:rsid w:val="003E5ABA"/>
    <w:rsid w:val="003E5D6E"/>
    <w:rsid w:val="003E64F8"/>
    <w:rsid w:val="003E6FD8"/>
    <w:rsid w:val="003E700E"/>
    <w:rsid w:val="003E70AA"/>
    <w:rsid w:val="003E7628"/>
    <w:rsid w:val="003E78DB"/>
    <w:rsid w:val="003F0307"/>
    <w:rsid w:val="003F0473"/>
    <w:rsid w:val="003F0C93"/>
    <w:rsid w:val="003F1CF5"/>
    <w:rsid w:val="003F1FEA"/>
    <w:rsid w:val="003F28C1"/>
    <w:rsid w:val="003F2B2E"/>
    <w:rsid w:val="003F2F53"/>
    <w:rsid w:val="003F3CEA"/>
    <w:rsid w:val="003F4C0D"/>
    <w:rsid w:val="003F4E1D"/>
    <w:rsid w:val="003F53A9"/>
    <w:rsid w:val="003F53DC"/>
    <w:rsid w:val="003F54BE"/>
    <w:rsid w:val="003F5618"/>
    <w:rsid w:val="003F60E4"/>
    <w:rsid w:val="003F6E3C"/>
    <w:rsid w:val="003F7255"/>
    <w:rsid w:val="003F7A2B"/>
    <w:rsid w:val="003F7A50"/>
    <w:rsid w:val="003F7E67"/>
    <w:rsid w:val="00400CDD"/>
    <w:rsid w:val="00400D59"/>
    <w:rsid w:val="00400FA4"/>
    <w:rsid w:val="004013C1"/>
    <w:rsid w:val="00401C9C"/>
    <w:rsid w:val="0040393C"/>
    <w:rsid w:val="00403A5F"/>
    <w:rsid w:val="00403B9D"/>
    <w:rsid w:val="00403D97"/>
    <w:rsid w:val="00404F63"/>
    <w:rsid w:val="004062BA"/>
    <w:rsid w:val="00406840"/>
    <w:rsid w:val="00406EF2"/>
    <w:rsid w:val="00407068"/>
    <w:rsid w:val="004072CB"/>
    <w:rsid w:val="00407655"/>
    <w:rsid w:val="004079E2"/>
    <w:rsid w:val="00407FD9"/>
    <w:rsid w:val="00410718"/>
    <w:rsid w:val="00410C29"/>
    <w:rsid w:val="00410C8F"/>
    <w:rsid w:val="00410CE9"/>
    <w:rsid w:val="004110B0"/>
    <w:rsid w:val="00411370"/>
    <w:rsid w:val="0041139E"/>
    <w:rsid w:val="004114AD"/>
    <w:rsid w:val="00412984"/>
    <w:rsid w:val="00412A70"/>
    <w:rsid w:val="00413A6B"/>
    <w:rsid w:val="00413A8F"/>
    <w:rsid w:val="00413AD3"/>
    <w:rsid w:val="004146E7"/>
    <w:rsid w:val="00414C26"/>
    <w:rsid w:val="00415438"/>
    <w:rsid w:val="004161C9"/>
    <w:rsid w:val="004162FC"/>
    <w:rsid w:val="00416A0F"/>
    <w:rsid w:val="004171A1"/>
    <w:rsid w:val="004173FD"/>
    <w:rsid w:val="00417771"/>
    <w:rsid w:val="00417D9D"/>
    <w:rsid w:val="00417EDA"/>
    <w:rsid w:val="00420209"/>
    <w:rsid w:val="004204DE"/>
    <w:rsid w:val="00420B18"/>
    <w:rsid w:val="00420C10"/>
    <w:rsid w:val="00420C4B"/>
    <w:rsid w:val="00421583"/>
    <w:rsid w:val="00421D7F"/>
    <w:rsid w:val="0042480E"/>
    <w:rsid w:val="00424923"/>
    <w:rsid w:val="004250BA"/>
    <w:rsid w:val="00426A6E"/>
    <w:rsid w:val="004301AA"/>
    <w:rsid w:val="0043061D"/>
    <w:rsid w:val="00430C47"/>
    <w:rsid w:val="004317C9"/>
    <w:rsid w:val="004328DC"/>
    <w:rsid w:val="00432F0C"/>
    <w:rsid w:val="0043317A"/>
    <w:rsid w:val="00433AD2"/>
    <w:rsid w:val="00434077"/>
    <w:rsid w:val="00434293"/>
    <w:rsid w:val="0043437A"/>
    <w:rsid w:val="00434761"/>
    <w:rsid w:val="00434B4F"/>
    <w:rsid w:val="00435016"/>
    <w:rsid w:val="00435D2A"/>
    <w:rsid w:val="00435F79"/>
    <w:rsid w:val="00436CA9"/>
    <w:rsid w:val="00437B95"/>
    <w:rsid w:val="00440136"/>
    <w:rsid w:val="004407B4"/>
    <w:rsid w:val="00440FA9"/>
    <w:rsid w:val="00441852"/>
    <w:rsid w:val="00441CE8"/>
    <w:rsid w:val="00441E05"/>
    <w:rsid w:val="00442A12"/>
    <w:rsid w:val="00442BEC"/>
    <w:rsid w:val="004434C3"/>
    <w:rsid w:val="00443AF5"/>
    <w:rsid w:val="00443C4D"/>
    <w:rsid w:val="004444B4"/>
    <w:rsid w:val="00444BA4"/>
    <w:rsid w:val="00444D5E"/>
    <w:rsid w:val="0044530A"/>
    <w:rsid w:val="00445420"/>
    <w:rsid w:val="00445C4B"/>
    <w:rsid w:val="00445C7E"/>
    <w:rsid w:val="00445DD3"/>
    <w:rsid w:val="0044620E"/>
    <w:rsid w:val="004462A0"/>
    <w:rsid w:val="004475ED"/>
    <w:rsid w:val="00447AE9"/>
    <w:rsid w:val="00447B32"/>
    <w:rsid w:val="004500F4"/>
    <w:rsid w:val="0045122A"/>
    <w:rsid w:val="004514D2"/>
    <w:rsid w:val="0045157F"/>
    <w:rsid w:val="0045290A"/>
    <w:rsid w:val="00453858"/>
    <w:rsid w:val="004545DC"/>
    <w:rsid w:val="0045478A"/>
    <w:rsid w:val="00455196"/>
    <w:rsid w:val="004552ED"/>
    <w:rsid w:val="00455867"/>
    <w:rsid w:val="00456AA0"/>
    <w:rsid w:val="00456EB4"/>
    <w:rsid w:val="0045741E"/>
    <w:rsid w:val="004576D0"/>
    <w:rsid w:val="0045787F"/>
    <w:rsid w:val="004603EF"/>
    <w:rsid w:val="004605F8"/>
    <w:rsid w:val="004612DE"/>
    <w:rsid w:val="0046172A"/>
    <w:rsid w:val="00461F8C"/>
    <w:rsid w:val="004633DE"/>
    <w:rsid w:val="004639AB"/>
    <w:rsid w:val="00464455"/>
    <w:rsid w:val="00464A9C"/>
    <w:rsid w:val="004655E4"/>
    <w:rsid w:val="00465F80"/>
    <w:rsid w:val="0046639E"/>
    <w:rsid w:val="004663C1"/>
    <w:rsid w:val="004663D7"/>
    <w:rsid w:val="00466833"/>
    <w:rsid w:val="004707BC"/>
    <w:rsid w:val="00471EE8"/>
    <w:rsid w:val="00473008"/>
    <w:rsid w:val="00473548"/>
    <w:rsid w:val="00473EEE"/>
    <w:rsid w:val="0047405E"/>
    <w:rsid w:val="004742BA"/>
    <w:rsid w:val="004745A5"/>
    <w:rsid w:val="00474808"/>
    <w:rsid w:val="00474B6C"/>
    <w:rsid w:val="00474FC1"/>
    <w:rsid w:val="0047541A"/>
    <w:rsid w:val="00475767"/>
    <w:rsid w:val="00475AE0"/>
    <w:rsid w:val="00475DD6"/>
    <w:rsid w:val="00476004"/>
    <w:rsid w:val="0047663C"/>
    <w:rsid w:val="004770CE"/>
    <w:rsid w:val="00477145"/>
    <w:rsid w:val="004776C1"/>
    <w:rsid w:val="0047798A"/>
    <w:rsid w:val="00477D86"/>
    <w:rsid w:val="00477FED"/>
    <w:rsid w:val="004802CD"/>
    <w:rsid w:val="00480BF6"/>
    <w:rsid w:val="00480EFB"/>
    <w:rsid w:val="00481698"/>
    <w:rsid w:val="004816B4"/>
    <w:rsid w:val="0048261C"/>
    <w:rsid w:val="0048314D"/>
    <w:rsid w:val="0048364D"/>
    <w:rsid w:val="004842CC"/>
    <w:rsid w:val="0048471F"/>
    <w:rsid w:val="00484B64"/>
    <w:rsid w:val="00485617"/>
    <w:rsid w:val="00485D35"/>
    <w:rsid w:val="00485ED6"/>
    <w:rsid w:val="00486157"/>
    <w:rsid w:val="0048616A"/>
    <w:rsid w:val="00486825"/>
    <w:rsid w:val="00486A18"/>
    <w:rsid w:val="00486AF5"/>
    <w:rsid w:val="0048714E"/>
    <w:rsid w:val="004879A9"/>
    <w:rsid w:val="00487FFA"/>
    <w:rsid w:val="00490B18"/>
    <w:rsid w:val="0049169D"/>
    <w:rsid w:val="004918CE"/>
    <w:rsid w:val="0049190E"/>
    <w:rsid w:val="004922C7"/>
    <w:rsid w:val="00492CB0"/>
    <w:rsid w:val="00492D39"/>
    <w:rsid w:val="00493557"/>
    <w:rsid w:val="00493F1F"/>
    <w:rsid w:val="0049459E"/>
    <w:rsid w:val="00494601"/>
    <w:rsid w:val="0049484E"/>
    <w:rsid w:val="00494B5B"/>
    <w:rsid w:val="00495773"/>
    <w:rsid w:val="004957F8"/>
    <w:rsid w:val="00495977"/>
    <w:rsid w:val="00495DBD"/>
    <w:rsid w:val="00495F45"/>
    <w:rsid w:val="004966A2"/>
    <w:rsid w:val="00496A41"/>
    <w:rsid w:val="00496CF9"/>
    <w:rsid w:val="00496EDF"/>
    <w:rsid w:val="004976EF"/>
    <w:rsid w:val="00497B67"/>
    <w:rsid w:val="00497E90"/>
    <w:rsid w:val="00497F7B"/>
    <w:rsid w:val="00497FD0"/>
    <w:rsid w:val="004A02CA"/>
    <w:rsid w:val="004A0A42"/>
    <w:rsid w:val="004A1B0E"/>
    <w:rsid w:val="004A2B7C"/>
    <w:rsid w:val="004A2DF4"/>
    <w:rsid w:val="004A303C"/>
    <w:rsid w:val="004A34FB"/>
    <w:rsid w:val="004A36F2"/>
    <w:rsid w:val="004A3C39"/>
    <w:rsid w:val="004A3C9B"/>
    <w:rsid w:val="004A443F"/>
    <w:rsid w:val="004A628F"/>
    <w:rsid w:val="004A646C"/>
    <w:rsid w:val="004A7004"/>
    <w:rsid w:val="004A78BA"/>
    <w:rsid w:val="004A7E19"/>
    <w:rsid w:val="004B062D"/>
    <w:rsid w:val="004B100E"/>
    <w:rsid w:val="004B13EC"/>
    <w:rsid w:val="004B1B87"/>
    <w:rsid w:val="004B2866"/>
    <w:rsid w:val="004B2E30"/>
    <w:rsid w:val="004B438F"/>
    <w:rsid w:val="004B43B1"/>
    <w:rsid w:val="004B46FB"/>
    <w:rsid w:val="004B4D06"/>
    <w:rsid w:val="004B4FD1"/>
    <w:rsid w:val="004B4FEB"/>
    <w:rsid w:val="004B5AA2"/>
    <w:rsid w:val="004B673F"/>
    <w:rsid w:val="004B67C8"/>
    <w:rsid w:val="004B6C82"/>
    <w:rsid w:val="004B6E4E"/>
    <w:rsid w:val="004B7505"/>
    <w:rsid w:val="004C0606"/>
    <w:rsid w:val="004C0F78"/>
    <w:rsid w:val="004C1527"/>
    <w:rsid w:val="004C1792"/>
    <w:rsid w:val="004C2697"/>
    <w:rsid w:val="004C2A2C"/>
    <w:rsid w:val="004C2E57"/>
    <w:rsid w:val="004C3930"/>
    <w:rsid w:val="004C4C66"/>
    <w:rsid w:val="004C5142"/>
    <w:rsid w:val="004C67FC"/>
    <w:rsid w:val="004C6812"/>
    <w:rsid w:val="004C7C13"/>
    <w:rsid w:val="004D0891"/>
    <w:rsid w:val="004D0CB6"/>
    <w:rsid w:val="004D0D3A"/>
    <w:rsid w:val="004D0DE0"/>
    <w:rsid w:val="004D1A59"/>
    <w:rsid w:val="004D1C3C"/>
    <w:rsid w:val="004D1C48"/>
    <w:rsid w:val="004D1EC9"/>
    <w:rsid w:val="004D1F18"/>
    <w:rsid w:val="004D1F57"/>
    <w:rsid w:val="004D251C"/>
    <w:rsid w:val="004D2AEF"/>
    <w:rsid w:val="004D2D88"/>
    <w:rsid w:val="004D33B4"/>
    <w:rsid w:val="004D36B7"/>
    <w:rsid w:val="004D3ADB"/>
    <w:rsid w:val="004D3CAD"/>
    <w:rsid w:val="004D47AB"/>
    <w:rsid w:val="004D5210"/>
    <w:rsid w:val="004D5323"/>
    <w:rsid w:val="004D55A0"/>
    <w:rsid w:val="004D606A"/>
    <w:rsid w:val="004D684B"/>
    <w:rsid w:val="004D724A"/>
    <w:rsid w:val="004D7734"/>
    <w:rsid w:val="004D7F8F"/>
    <w:rsid w:val="004E0627"/>
    <w:rsid w:val="004E09CD"/>
    <w:rsid w:val="004E15C9"/>
    <w:rsid w:val="004E1A30"/>
    <w:rsid w:val="004E1A32"/>
    <w:rsid w:val="004E2461"/>
    <w:rsid w:val="004E2C09"/>
    <w:rsid w:val="004E2CAD"/>
    <w:rsid w:val="004E427C"/>
    <w:rsid w:val="004E4711"/>
    <w:rsid w:val="004E488E"/>
    <w:rsid w:val="004E4DF1"/>
    <w:rsid w:val="004E5C89"/>
    <w:rsid w:val="004E5E3E"/>
    <w:rsid w:val="004E6279"/>
    <w:rsid w:val="004E62FB"/>
    <w:rsid w:val="004E6D40"/>
    <w:rsid w:val="004E7641"/>
    <w:rsid w:val="004E7C0E"/>
    <w:rsid w:val="004F19C4"/>
    <w:rsid w:val="004F1CCD"/>
    <w:rsid w:val="004F1E96"/>
    <w:rsid w:val="004F2CBF"/>
    <w:rsid w:val="004F2CC0"/>
    <w:rsid w:val="004F3BAE"/>
    <w:rsid w:val="004F3DD4"/>
    <w:rsid w:val="004F43C3"/>
    <w:rsid w:val="004F4A9A"/>
    <w:rsid w:val="004F4EAF"/>
    <w:rsid w:val="004F5323"/>
    <w:rsid w:val="004F5537"/>
    <w:rsid w:val="004F5A54"/>
    <w:rsid w:val="004F64A8"/>
    <w:rsid w:val="004F6694"/>
    <w:rsid w:val="004F689F"/>
    <w:rsid w:val="004F78B4"/>
    <w:rsid w:val="00500675"/>
    <w:rsid w:val="005008D5"/>
    <w:rsid w:val="00501DA3"/>
    <w:rsid w:val="005024D2"/>
    <w:rsid w:val="00502BBC"/>
    <w:rsid w:val="00503097"/>
    <w:rsid w:val="00503A0B"/>
    <w:rsid w:val="00503A13"/>
    <w:rsid w:val="00503C60"/>
    <w:rsid w:val="005049AF"/>
    <w:rsid w:val="00504CA9"/>
    <w:rsid w:val="00505A9A"/>
    <w:rsid w:val="005065F3"/>
    <w:rsid w:val="0050668C"/>
    <w:rsid w:val="00506F34"/>
    <w:rsid w:val="00507933"/>
    <w:rsid w:val="00507E0B"/>
    <w:rsid w:val="00510A5A"/>
    <w:rsid w:val="00510DB4"/>
    <w:rsid w:val="005110CC"/>
    <w:rsid w:val="00511348"/>
    <w:rsid w:val="005115CB"/>
    <w:rsid w:val="00512086"/>
    <w:rsid w:val="00512830"/>
    <w:rsid w:val="00512EF9"/>
    <w:rsid w:val="005135AD"/>
    <w:rsid w:val="005136CA"/>
    <w:rsid w:val="00513756"/>
    <w:rsid w:val="00513903"/>
    <w:rsid w:val="00513B2D"/>
    <w:rsid w:val="00514815"/>
    <w:rsid w:val="00514A9C"/>
    <w:rsid w:val="00514D98"/>
    <w:rsid w:val="0051589E"/>
    <w:rsid w:val="00516240"/>
    <w:rsid w:val="00516412"/>
    <w:rsid w:val="00516829"/>
    <w:rsid w:val="0051690D"/>
    <w:rsid w:val="00516F55"/>
    <w:rsid w:val="005202A6"/>
    <w:rsid w:val="00520303"/>
    <w:rsid w:val="005218A3"/>
    <w:rsid w:val="005218DA"/>
    <w:rsid w:val="00521DE3"/>
    <w:rsid w:val="0052329E"/>
    <w:rsid w:val="005237A9"/>
    <w:rsid w:val="005238BB"/>
    <w:rsid w:val="0052393B"/>
    <w:rsid w:val="0052453B"/>
    <w:rsid w:val="005246A6"/>
    <w:rsid w:val="00524AD7"/>
    <w:rsid w:val="00525707"/>
    <w:rsid w:val="00525A23"/>
    <w:rsid w:val="00526249"/>
    <w:rsid w:val="0052644A"/>
    <w:rsid w:val="00526A71"/>
    <w:rsid w:val="00526D3A"/>
    <w:rsid w:val="0052790F"/>
    <w:rsid w:val="00527A5E"/>
    <w:rsid w:val="00527DF3"/>
    <w:rsid w:val="0053010C"/>
    <w:rsid w:val="005316C0"/>
    <w:rsid w:val="0053173B"/>
    <w:rsid w:val="005321BD"/>
    <w:rsid w:val="005326C4"/>
    <w:rsid w:val="005329A9"/>
    <w:rsid w:val="00532A4C"/>
    <w:rsid w:val="00532B10"/>
    <w:rsid w:val="00534120"/>
    <w:rsid w:val="00534322"/>
    <w:rsid w:val="00534468"/>
    <w:rsid w:val="00534840"/>
    <w:rsid w:val="005348C4"/>
    <w:rsid w:val="00534E08"/>
    <w:rsid w:val="00534EA6"/>
    <w:rsid w:val="00534EB1"/>
    <w:rsid w:val="00534FCC"/>
    <w:rsid w:val="0053523A"/>
    <w:rsid w:val="00535270"/>
    <w:rsid w:val="005355A5"/>
    <w:rsid w:val="005357DD"/>
    <w:rsid w:val="00535B3A"/>
    <w:rsid w:val="00535F5F"/>
    <w:rsid w:val="00536594"/>
    <w:rsid w:val="00536E97"/>
    <w:rsid w:val="005372D7"/>
    <w:rsid w:val="0053754A"/>
    <w:rsid w:val="0053787D"/>
    <w:rsid w:val="00537A41"/>
    <w:rsid w:val="00537EAD"/>
    <w:rsid w:val="005401BF"/>
    <w:rsid w:val="00540D8B"/>
    <w:rsid w:val="005417A5"/>
    <w:rsid w:val="00542295"/>
    <w:rsid w:val="005430CA"/>
    <w:rsid w:val="00543E4C"/>
    <w:rsid w:val="00543EBA"/>
    <w:rsid w:val="00543FA9"/>
    <w:rsid w:val="00544070"/>
    <w:rsid w:val="005455DC"/>
    <w:rsid w:val="00546900"/>
    <w:rsid w:val="005469D9"/>
    <w:rsid w:val="00546D81"/>
    <w:rsid w:val="005475B5"/>
    <w:rsid w:val="00550294"/>
    <w:rsid w:val="005502B3"/>
    <w:rsid w:val="0055041A"/>
    <w:rsid w:val="00550925"/>
    <w:rsid w:val="005509B1"/>
    <w:rsid w:val="00550C2F"/>
    <w:rsid w:val="0055202F"/>
    <w:rsid w:val="00552990"/>
    <w:rsid w:val="00555E86"/>
    <w:rsid w:val="00556878"/>
    <w:rsid w:val="00557337"/>
    <w:rsid w:val="00557539"/>
    <w:rsid w:val="005576C3"/>
    <w:rsid w:val="0056012E"/>
    <w:rsid w:val="0056047F"/>
    <w:rsid w:val="00561015"/>
    <w:rsid w:val="00561476"/>
    <w:rsid w:val="00561869"/>
    <w:rsid w:val="00561BED"/>
    <w:rsid w:val="00561D2D"/>
    <w:rsid w:val="00561D98"/>
    <w:rsid w:val="00561E40"/>
    <w:rsid w:val="005628B0"/>
    <w:rsid w:val="00564BE7"/>
    <w:rsid w:val="00564DBC"/>
    <w:rsid w:val="00564DF3"/>
    <w:rsid w:val="00565081"/>
    <w:rsid w:val="0056527D"/>
    <w:rsid w:val="00565B98"/>
    <w:rsid w:val="00565DA9"/>
    <w:rsid w:val="00565DBC"/>
    <w:rsid w:val="00565F2F"/>
    <w:rsid w:val="0056632C"/>
    <w:rsid w:val="005664D3"/>
    <w:rsid w:val="00570ADA"/>
    <w:rsid w:val="00570E36"/>
    <w:rsid w:val="005719AB"/>
    <w:rsid w:val="00571A71"/>
    <w:rsid w:val="00571F1D"/>
    <w:rsid w:val="00572768"/>
    <w:rsid w:val="00572CD5"/>
    <w:rsid w:val="005735BA"/>
    <w:rsid w:val="00573E85"/>
    <w:rsid w:val="00573EF2"/>
    <w:rsid w:val="005743A1"/>
    <w:rsid w:val="005744F0"/>
    <w:rsid w:val="00574559"/>
    <w:rsid w:val="0057695F"/>
    <w:rsid w:val="00577190"/>
    <w:rsid w:val="005773BA"/>
    <w:rsid w:val="005773CD"/>
    <w:rsid w:val="0057763F"/>
    <w:rsid w:val="00577CE1"/>
    <w:rsid w:val="00577EAA"/>
    <w:rsid w:val="00577FBE"/>
    <w:rsid w:val="00581270"/>
    <w:rsid w:val="0058288C"/>
    <w:rsid w:val="00582C1D"/>
    <w:rsid w:val="00582D24"/>
    <w:rsid w:val="00583AC2"/>
    <w:rsid w:val="005843AF"/>
    <w:rsid w:val="005845F2"/>
    <w:rsid w:val="00584DA2"/>
    <w:rsid w:val="00584FED"/>
    <w:rsid w:val="005850D6"/>
    <w:rsid w:val="005865A2"/>
    <w:rsid w:val="00586DE1"/>
    <w:rsid w:val="00587018"/>
    <w:rsid w:val="0058703F"/>
    <w:rsid w:val="00587212"/>
    <w:rsid w:val="0059070D"/>
    <w:rsid w:val="00590E43"/>
    <w:rsid w:val="00590ED4"/>
    <w:rsid w:val="005913FD"/>
    <w:rsid w:val="005915DC"/>
    <w:rsid w:val="00591AED"/>
    <w:rsid w:val="00591EBF"/>
    <w:rsid w:val="00591F38"/>
    <w:rsid w:val="005920BE"/>
    <w:rsid w:val="00592181"/>
    <w:rsid w:val="00592BFC"/>
    <w:rsid w:val="0059317F"/>
    <w:rsid w:val="005942CB"/>
    <w:rsid w:val="00594C28"/>
    <w:rsid w:val="0059516F"/>
    <w:rsid w:val="005956BB"/>
    <w:rsid w:val="00595873"/>
    <w:rsid w:val="00595B16"/>
    <w:rsid w:val="00596611"/>
    <w:rsid w:val="00596C47"/>
    <w:rsid w:val="00596FC9"/>
    <w:rsid w:val="0059768F"/>
    <w:rsid w:val="00597BB7"/>
    <w:rsid w:val="005A0505"/>
    <w:rsid w:val="005A0C1D"/>
    <w:rsid w:val="005A1C54"/>
    <w:rsid w:val="005A22BA"/>
    <w:rsid w:val="005A2C36"/>
    <w:rsid w:val="005A309D"/>
    <w:rsid w:val="005A3D06"/>
    <w:rsid w:val="005A4C43"/>
    <w:rsid w:val="005A5C56"/>
    <w:rsid w:val="005A64CF"/>
    <w:rsid w:val="005A656C"/>
    <w:rsid w:val="005A72B6"/>
    <w:rsid w:val="005A7443"/>
    <w:rsid w:val="005A79BA"/>
    <w:rsid w:val="005A79BC"/>
    <w:rsid w:val="005A7C0F"/>
    <w:rsid w:val="005A7C2F"/>
    <w:rsid w:val="005B026E"/>
    <w:rsid w:val="005B0FCF"/>
    <w:rsid w:val="005B1992"/>
    <w:rsid w:val="005B1B7B"/>
    <w:rsid w:val="005B2165"/>
    <w:rsid w:val="005B2524"/>
    <w:rsid w:val="005B4CDB"/>
    <w:rsid w:val="005B5082"/>
    <w:rsid w:val="005B5A2D"/>
    <w:rsid w:val="005B5CB6"/>
    <w:rsid w:val="005B5D53"/>
    <w:rsid w:val="005B69C9"/>
    <w:rsid w:val="005B6A10"/>
    <w:rsid w:val="005B744B"/>
    <w:rsid w:val="005B76A3"/>
    <w:rsid w:val="005B7AFB"/>
    <w:rsid w:val="005C09D5"/>
    <w:rsid w:val="005C119D"/>
    <w:rsid w:val="005C1A55"/>
    <w:rsid w:val="005C1D19"/>
    <w:rsid w:val="005C237C"/>
    <w:rsid w:val="005C2483"/>
    <w:rsid w:val="005C2CAF"/>
    <w:rsid w:val="005C2DD7"/>
    <w:rsid w:val="005C4224"/>
    <w:rsid w:val="005C4605"/>
    <w:rsid w:val="005C7228"/>
    <w:rsid w:val="005C7F17"/>
    <w:rsid w:val="005D0107"/>
    <w:rsid w:val="005D0A09"/>
    <w:rsid w:val="005D164C"/>
    <w:rsid w:val="005D183C"/>
    <w:rsid w:val="005D2271"/>
    <w:rsid w:val="005D2B0C"/>
    <w:rsid w:val="005D3720"/>
    <w:rsid w:val="005D381E"/>
    <w:rsid w:val="005D44A0"/>
    <w:rsid w:val="005D49FA"/>
    <w:rsid w:val="005D5503"/>
    <w:rsid w:val="005D5E3C"/>
    <w:rsid w:val="005D601E"/>
    <w:rsid w:val="005D662B"/>
    <w:rsid w:val="005D6CED"/>
    <w:rsid w:val="005D748C"/>
    <w:rsid w:val="005D77A9"/>
    <w:rsid w:val="005D78A7"/>
    <w:rsid w:val="005E07EC"/>
    <w:rsid w:val="005E0A6D"/>
    <w:rsid w:val="005E0BBF"/>
    <w:rsid w:val="005E1AF5"/>
    <w:rsid w:val="005E2406"/>
    <w:rsid w:val="005E26DD"/>
    <w:rsid w:val="005E2951"/>
    <w:rsid w:val="005E296D"/>
    <w:rsid w:val="005E34EF"/>
    <w:rsid w:val="005E45A8"/>
    <w:rsid w:val="005E47BF"/>
    <w:rsid w:val="005E51CE"/>
    <w:rsid w:val="005E56EA"/>
    <w:rsid w:val="005E5C6E"/>
    <w:rsid w:val="005E6042"/>
    <w:rsid w:val="005E698A"/>
    <w:rsid w:val="005E6DD5"/>
    <w:rsid w:val="005E713C"/>
    <w:rsid w:val="005E7DAA"/>
    <w:rsid w:val="005F063C"/>
    <w:rsid w:val="005F06E6"/>
    <w:rsid w:val="005F0C80"/>
    <w:rsid w:val="005F13B8"/>
    <w:rsid w:val="005F42E0"/>
    <w:rsid w:val="005F49CA"/>
    <w:rsid w:val="005F5031"/>
    <w:rsid w:val="005F5698"/>
    <w:rsid w:val="005F5C4B"/>
    <w:rsid w:val="005F5EF8"/>
    <w:rsid w:val="005F6060"/>
    <w:rsid w:val="005F6093"/>
    <w:rsid w:val="005F6152"/>
    <w:rsid w:val="005F623F"/>
    <w:rsid w:val="005F6DA8"/>
    <w:rsid w:val="005F71F5"/>
    <w:rsid w:val="005F79D6"/>
    <w:rsid w:val="00600166"/>
    <w:rsid w:val="00600EAC"/>
    <w:rsid w:val="006029AA"/>
    <w:rsid w:val="00602CAA"/>
    <w:rsid w:val="00603175"/>
    <w:rsid w:val="00603670"/>
    <w:rsid w:val="00603D60"/>
    <w:rsid w:val="00603DFD"/>
    <w:rsid w:val="00604306"/>
    <w:rsid w:val="00604406"/>
    <w:rsid w:val="00604412"/>
    <w:rsid w:val="006044AE"/>
    <w:rsid w:val="0060521B"/>
    <w:rsid w:val="006057A5"/>
    <w:rsid w:val="00606731"/>
    <w:rsid w:val="00606A13"/>
    <w:rsid w:val="006078E7"/>
    <w:rsid w:val="00610201"/>
    <w:rsid w:val="00610330"/>
    <w:rsid w:val="006108E6"/>
    <w:rsid w:val="00610B4F"/>
    <w:rsid w:val="00610D21"/>
    <w:rsid w:val="00611B06"/>
    <w:rsid w:val="0061229D"/>
    <w:rsid w:val="00613173"/>
    <w:rsid w:val="00613715"/>
    <w:rsid w:val="006138FE"/>
    <w:rsid w:val="00613B7F"/>
    <w:rsid w:val="00613CB3"/>
    <w:rsid w:val="00613CFD"/>
    <w:rsid w:val="0061451C"/>
    <w:rsid w:val="00614CF2"/>
    <w:rsid w:val="00614FC8"/>
    <w:rsid w:val="00615373"/>
    <w:rsid w:val="00615827"/>
    <w:rsid w:val="00615C17"/>
    <w:rsid w:val="006160E0"/>
    <w:rsid w:val="0061622B"/>
    <w:rsid w:val="00616450"/>
    <w:rsid w:val="006170D2"/>
    <w:rsid w:val="00617A22"/>
    <w:rsid w:val="00617BF3"/>
    <w:rsid w:val="00617C06"/>
    <w:rsid w:val="00620C8B"/>
    <w:rsid w:val="006216E8"/>
    <w:rsid w:val="00621C70"/>
    <w:rsid w:val="006222F4"/>
    <w:rsid w:val="00622DE3"/>
    <w:rsid w:val="0062324F"/>
    <w:rsid w:val="00623D65"/>
    <w:rsid w:val="00623F58"/>
    <w:rsid w:val="006240B2"/>
    <w:rsid w:val="00624F97"/>
    <w:rsid w:val="0062578F"/>
    <w:rsid w:val="00625E03"/>
    <w:rsid w:val="00626728"/>
    <w:rsid w:val="0062679D"/>
    <w:rsid w:val="00626BA3"/>
    <w:rsid w:val="00626C3F"/>
    <w:rsid w:val="00627921"/>
    <w:rsid w:val="00627C3A"/>
    <w:rsid w:val="006311DA"/>
    <w:rsid w:val="00631DA5"/>
    <w:rsid w:val="0063285B"/>
    <w:rsid w:val="00632F93"/>
    <w:rsid w:val="00633627"/>
    <w:rsid w:val="00633851"/>
    <w:rsid w:val="00633F80"/>
    <w:rsid w:val="0063448B"/>
    <w:rsid w:val="00634A30"/>
    <w:rsid w:val="00634D9A"/>
    <w:rsid w:val="00634ED4"/>
    <w:rsid w:val="00635F8D"/>
    <w:rsid w:val="00636BF4"/>
    <w:rsid w:val="00637012"/>
    <w:rsid w:val="00637041"/>
    <w:rsid w:val="006371C0"/>
    <w:rsid w:val="00637577"/>
    <w:rsid w:val="00637D59"/>
    <w:rsid w:val="00640603"/>
    <w:rsid w:val="00640774"/>
    <w:rsid w:val="00640CB6"/>
    <w:rsid w:val="00640E2F"/>
    <w:rsid w:val="0064138B"/>
    <w:rsid w:val="006414F8"/>
    <w:rsid w:val="00641653"/>
    <w:rsid w:val="006417B1"/>
    <w:rsid w:val="00642659"/>
    <w:rsid w:val="00642EB8"/>
    <w:rsid w:val="00642F20"/>
    <w:rsid w:val="00643CE6"/>
    <w:rsid w:val="00644542"/>
    <w:rsid w:val="0064488B"/>
    <w:rsid w:val="0064489E"/>
    <w:rsid w:val="00644905"/>
    <w:rsid w:val="00644C59"/>
    <w:rsid w:val="00644DC0"/>
    <w:rsid w:val="00645D37"/>
    <w:rsid w:val="00646E0A"/>
    <w:rsid w:val="00646F29"/>
    <w:rsid w:val="00646F78"/>
    <w:rsid w:val="00647BAE"/>
    <w:rsid w:val="00647F8A"/>
    <w:rsid w:val="006502DB"/>
    <w:rsid w:val="006512A8"/>
    <w:rsid w:val="006517FD"/>
    <w:rsid w:val="006529C3"/>
    <w:rsid w:val="00652F24"/>
    <w:rsid w:val="00653C05"/>
    <w:rsid w:val="006541BD"/>
    <w:rsid w:val="006547E1"/>
    <w:rsid w:val="00654EA9"/>
    <w:rsid w:val="006551B0"/>
    <w:rsid w:val="006551ED"/>
    <w:rsid w:val="0065554B"/>
    <w:rsid w:val="00655B9B"/>
    <w:rsid w:val="00656149"/>
    <w:rsid w:val="00656D2B"/>
    <w:rsid w:val="00657843"/>
    <w:rsid w:val="0066006D"/>
    <w:rsid w:val="006603C8"/>
    <w:rsid w:val="006603F6"/>
    <w:rsid w:val="00660589"/>
    <w:rsid w:val="006608F3"/>
    <w:rsid w:val="00661771"/>
    <w:rsid w:val="00661A0A"/>
    <w:rsid w:val="0066203A"/>
    <w:rsid w:val="00662512"/>
    <w:rsid w:val="00662B9F"/>
    <w:rsid w:val="00662D18"/>
    <w:rsid w:val="00662E40"/>
    <w:rsid w:val="00663DF1"/>
    <w:rsid w:val="00663FDB"/>
    <w:rsid w:val="00664010"/>
    <w:rsid w:val="0066474B"/>
    <w:rsid w:val="006647D9"/>
    <w:rsid w:val="0066557C"/>
    <w:rsid w:val="0066599B"/>
    <w:rsid w:val="00665B00"/>
    <w:rsid w:val="00665FC7"/>
    <w:rsid w:val="00666374"/>
    <w:rsid w:val="00666414"/>
    <w:rsid w:val="0066686F"/>
    <w:rsid w:val="00666E8A"/>
    <w:rsid w:val="006679B8"/>
    <w:rsid w:val="00670948"/>
    <w:rsid w:val="006714ED"/>
    <w:rsid w:val="006716E2"/>
    <w:rsid w:val="006719E6"/>
    <w:rsid w:val="006723C1"/>
    <w:rsid w:val="00672988"/>
    <w:rsid w:val="006735AC"/>
    <w:rsid w:val="006738FB"/>
    <w:rsid w:val="00673D02"/>
    <w:rsid w:val="00673E5B"/>
    <w:rsid w:val="00674702"/>
    <w:rsid w:val="0067481B"/>
    <w:rsid w:val="00674BF8"/>
    <w:rsid w:val="00676A92"/>
    <w:rsid w:val="00677F52"/>
    <w:rsid w:val="00680E11"/>
    <w:rsid w:val="0068131F"/>
    <w:rsid w:val="0068183A"/>
    <w:rsid w:val="00682179"/>
    <w:rsid w:val="00682E5F"/>
    <w:rsid w:val="0068361C"/>
    <w:rsid w:val="006844C4"/>
    <w:rsid w:val="00684C53"/>
    <w:rsid w:val="00684D2E"/>
    <w:rsid w:val="0068521D"/>
    <w:rsid w:val="006857CD"/>
    <w:rsid w:val="00685D6F"/>
    <w:rsid w:val="006869FB"/>
    <w:rsid w:val="00686A9C"/>
    <w:rsid w:val="00686F4D"/>
    <w:rsid w:val="0068736A"/>
    <w:rsid w:val="006876F0"/>
    <w:rsid w:val="00687B20"/>
    <w:rsid w:val="006901F4"/>
    <w:rsid w:val="0069065F"/>
    <w:rsid w:val="0069089D"/>
    <w:rsid w:val="00690DC3"/>
    <w:rsid w:val="00691778"/>
    <w:rsid w:val="00691990"/>
    <w:rsid w:val="00693175"/>
    <w:rsid w:val="0069321A"/>
    <w:rsid w:val="00693E65"/>
    <w:rsid w:val="00693FF6"/>
    <w:rsid w:val="0069432C"/>
    <w:rsid w:val="006945D0"/>
    <w:rsid w:val="006947B9"/>
    <w:rsid w:val="00694915"/>
    <w:rsid w:val="0069558B"/>
    <w:rsid w:val="00695A01"/>
    <w:rsid w:val="00695DB9"/>
    <w:rsid w:val="0069637E"/>
    <w:rsid w:val="00696BAC"/>
    <w:rsid w:val="00696FDD"/>
    <w:rsid w:val="0069722A"/>
    <w:rsid w:val="00697C9E"/>
    <w:rsid w:val="006A053D"/>
    <w:rsid w:val="006A0610"/>
    <w:rsid w:val="006A064B"/>
    <w:rsid w:val="006A0836"/>
    <w:rsid w:val="006A08C2"/>
    <w:rsid w:val="006A0973"/>
    <w:rsid w:val="006A0A2B"/>
    <w:rsid w:val="006A0B02"/>
    <w:rsid w:val="006A0BC7"/>
    <w:rsid w:val="006A13DB"/>
    <w:rsid w:val="006A1857"/>
    <w:rsid w:val="006A1A02"/>
    <w:rsid w:val="006A1EE0"/>
    <w:rsid w:val="006A243E"/>
    <w:rsid w:val="006A279A"/>
    <w:rsid w:val="006A2853"/>
    <w:rsid w:val="006A2DFB"/>
    <w:rsid w:val="006A2F82"/>
    <w:rsid w:val="006A3465"/>
    <w:rsid w:val="006A3883"/>
    <w:rsid w:val="006A3AB3"/>
    <w:rsid w:val="006A3FEF"/>
    <w:rsid w:val="006A4425"/>
    <w:rsid w:val="006A4802"/>
    <w:rsid w:val="006A48F5"/>
    <w:rsid w:val="006A4A33"/>
    <w:rsid w:val="006A50A0"/>
    <w:rsid w:val="006A5674"/>
    <w:rsid w:val="006A628A"/>
    <w:rsid w:val="006A631C"/>
    <w:rsid w:val="006A6415"/>
    <w:rsid w:val="006A7534"/>
    <w:rsid w:val="006B104D"/>
    <w:rsid w:val="006B1B2E"/>
    <w:rsid w:val="006B1F22"/>
    <w:rsid w:val="006B2171"/>
    <w:rsid w:val="006B2295"/>
    <w:rsid w:val="006B2994"/>
    <w:rsid w:val="006B2A19"/>
    <w:rsid w:val="006B2A36"/>
    <w:rsid w:val="006B2C39"/>
    <w:rsid w:val="006B3268"/>
    <w:rsid w:val="006B3643"/>
    <w:rsid w:val="006B3A24"/>
    <w:rsid w:val="006B4060"/>
    <w:rsid w:val="006B45AD"/>
    <w:rsid w:val="006B4D29"/>
    <w:rsid w:val="006B4E66"/>
    <w:rsid w:val="006B4F02"/>
    <w:rsid w:val="006B56E8"/>
    <w:rsid w:val="006B606E"/>
    <w:rsid w:val="006B7878"/>
    <w:rsid w:val="006B7DFC"/>
    <w:rsid w:val="006C04B3"/>
    <w:rsid w:val="006C0632"/>
    <w:rsid w:val="006C0A34"/>
    <w:rsid w:val="006C0B09"/>
    <w:rsid w:val="006C1130"/>
    <w:rsid w:val="006C1649"/>
    <w:rsid w:val="006C25A3"/>
    <w:rsid w:val="006C295F"/>
    <w:rsid w:val="006C2DBE"/>
    <w:rsid w:val="006C3A48"/>
    <w:rsid w:val="006C4029"/>
    <w:rsid w:val="006C43F0"/>
    <w:rsid w:val="006C4B78"/>
    <w:rsid w:val="006C5548"/>
    <w:rsid w:val="006C5664"/>
    <w:rsid w:val="006C592C"/>
    <w:rsid w:val="006C5BC1"/>
    <w:rsid w:val="006C5DAC"/>
    <w:rsid w:val="006C5FDC"/>
    <w:rsid w:val="006C61BA"/>
    <w:rsid w:val="006C6737"/>
    <w:rsid w:val="006C6F20"/>
    <w:rsid w:val="006C79DF"/>
    <w:rsid w:val="006C7CF2"/>
    <w:rsid w:val="006C7D1F"/>
    <w:rsid w:val="006D108B"/>
    <w:rsid w:val="006D16DC"/>
    <w:rsid w:val="006D1827"/>
    <w:rsid w:val="006D1C68"/>
    <w:rsid w:val="006D2257"/>
    <w:rsid w:val="006D2B74"/>
    <w:rsid w:val="006D3ADB"/>
    <w:rsid w:val="006D3C9E"/>
    <w:rsid w:val="006D4005"/>
    <w:rsid w:val="006D4038"/>
    <w:rsid w:val="006D4358"/>
    <w:rsid w:val="006D4E65"/>
    <w:rsid w:val="006D5023"/>
    <w:rsid w:val="006D526F"/>
    <w:rsid w:val="006D52D3"/>
    <w:rsid w:val="006D6B56"/>
    <w:rsid w:val="006E17FC"/>
    <w:rsid w:val="006E1FBB"/>
    <w:rsid w:val="006E2022"/>
    <w:rsid w:val="006E25E4"/>
    <w:rsid w:val="006E26A8"/>
    <w:rsid w:val="006E27DE"/>
    <w:rsid w:val="006E2A11"/>
    <w:rsid w:val="006E3826"/>
    <w:rsid w:val="006E415B"/>
    <w:rsid w:val="006E46DA"/>
    <w:rsid w:val="006E49CA"/>
    <w:rsid w:val="006E5328"/>
    <w:rsid w:val="006E548A"/>
    <w:rsid w:val="006E59CA"/>
    <w:rsid w:val="006E5CA6"/>
    <w:rsid w:val="006E61D8"/>
    <w:rsid w:val="006E6591"/>
    <w:rsid w:val="006E6D49"/>
    <w:rsid w:val="006E7240"/>
    <w:rsid w:val="006F2256"/>
    <w:rsid w:val="006F233A"/>
    <w:rsid w:val="006F2489"/>
    <w:rsid w:val="006F2723"/>
    <w:rsid w:val="006F354C"/>
    <w:rsid w:val="006F3763"/>
    <w:rsid w:val="006F3AEC"/>
    <w:rsid w:val="006F3B8C"/>
    <w:rsid w:val="006F4412"/>
    <w:rsid w:val="006F4D05"/>
    <w:rsid w:val="006F4DBE"/>
    <w:rsid w:val="006F52C3"/>
    <w:rsid w:val="006F5481"/>
    <w:rsid w:val="006F553E"/>
    <w:rsid w:val="006F5677"/>
    <w:rsid w:val="006F6544"/>
    <w:rsid w:val="006F6A72"/>
    <w:rsid w:val="006F6AB8"/>
    <w:rsid w:val="006F6F47"/>
    <w:rsid w:val="006F7480"/>
    <w:rsid w:val="006F7735"/>
    <w:rsid w:val="00700606"/>
    <w:rsid w:val="007010D7"/>
    <w:rsid w:val="0070206A"/>
    <w:rsid w:val="0070336F"/>
    <w:rsid w:val="007038CA"/>
    <w:rsid w:val="007047D3"/>
    <w:rsid w:val="00704967"/>
    <w:rsid w:val="007057CF"/>
    <w:rsid w:val="00706ECB"/>
    <w:rsid w:val="00706F17"/>
    <w:rsid w:val="0070731B"/>
    <w:rsid w:val="0070753F"/>
    <w:rsid w:val="00707708"/>
    <w:rsid w:val="00711945"/>
    <w:rsid w:val="00711BEA"/>
    <w:rsid w:val="00711F0C"/>
    <w:rsid w:val="00712943"/>
    <w:rsid w:val="00712BFC"/>
    <w:rsid w:val="0071327F"/>
    <w:rsid w:val="00713295"/>
    <w:rsid w:val="0071382F"/>
    <w:rsid w:val="00714083"/>
    <w:rsid w:val="00714A5D"/>
    <w:rsid w:val="00714BA3"/>
    <w:rsid w:val="00714C50"/>
    <w:rsid w:val="00714C85"/>
    <w:rsid w:val="007151BB"/>
    <w:rsid w:val="007159BB"/>
    <w:rsid w:val="00715ED6"/>
    <w:rsid w:val="00716253"/>
    <w:rsid w:val="007166C8"/>
    <w:rsid w:val="00716B46"/>
    <w:rsid w:val="0071712B"/>
    <w:rsid w:val="00717357"/>
    <w:rsid w:val="007173DD"/>
    <w:rsid w:val="00717A87"/>
    <w:rsid w:val="0072019B"/>
    <w:rsid w:val="0072050D"/>
    <w:rsid w:val="00720DE8"/>
    <w:rsid w:val="007210A7"/>
    <w:rsid w:val="00722806"/>
    <w:rsid w:val="00722E54"/>
    <w:rsid w:val="00722FBC"/>
    <w:rsid w:val="007230E6"/>
    <w:rsid w:val="007234E7"/>
    <w:rsid w:val="00723761"/>
    <w:rsid w:val="00723F5C"/>
    <w:rsid w:val="00724CE9"/>
    <w:rsid w:val="0072599A"/>
    <w:rsid w:val="007261A8"/>
    <w:rsid w:val="00727D83"/>
    <w:rsid w:val="0073018D"/>
    <w:rsid w:val="0073032D"/>
    <w:rsid w:val="007305E4"/>
    <w:rsid w:val="007306CF"/>
    <w:rsid w:val="00730FFE"/>
    <w:rsid w:val="00731A70"/>
    <w:rsid w:val="007327C5"/>
    <w:rsid w:val="00732BCD"/>
    <w:rsid w:val="00732F05"/>
    <w:rsid w:val="0073414C"/>
    <w:rsid w:val="00735261"/>
    <w:rsid w:val="007352F0"/>
    <w:rsid w:val="00735889"/>
    <w:rsid w:val="00736823"/>
    <w:rsid w:val="00736910"/>
    <w:rsid w:val="00736B12"/>
    <w:rsid w:val="0073749C"/>
    <w:rsid w:val="007374F7"/>
    <w:rsid w:val="007379D9"/>
    <w:rsid w:val="00737F6A"/>
    <w:rsid w:val="00740EC0"/>
    <w:rsid w:val="00741533"/>
    <w:rsid w:val="007420B4"/>
    <w:rsid w:val="00742170"/>
    <w:rsid w:val="00742AA5"/>
    <w:rsid w:val="007434DB"/>
    <w:rsid w:val="00743EED"/>
    <w:rsid w:val="0074419A"/>
    <w:rsid w:val="007446B0"/>
    <w:rsid w:val="00744945"/>
    <w:rsid w:val="007454C5"/>
    <w:rsid w:val="00745536"/>
    <w:rsid w:val="00746A1D"/>
    <w:rsid w:val="007477DF"/>
    <w:rsid w:val="00747A75"/>
    <w:rsid w:val="007502C8"/>
    <w:rsid w:val="0075047A"/>
    <w:rsid w:val="00750F15"/>
    <w:rsid w:val="00752B93"/>
    <w:rsid w:val="00753395"/>
    <w:rsid w:val="007543F6"/>
    <w:rsid w:val="00754890"/>
    <w:rsid w:val="00755778"/>
    <w:rsid w:val="00755A77"/>
    <w:rsid w:val="00755C9B"/>
    <w:rsid w:val="007577C9"/>
    <w:rsid w:val="0075783A"/>
    <w:rsid w:val="00757A8A"/>
    <w:rsid w:val="00757F3E"/>
    <w:rsid w:val="007608A3"/>
    <w:rsid w:val="00760A0C"/>
    <w:rsid w:val="0076112E"/>
    <w:rsid w:val="00761D00"/>
    <w:rsid w:val="007620FD"/>
    <w:rsid w:val="007621EA"/>
    <w:rsid w:val="00763EF7"/>
    <w:rsid w:val="00764840"/>
    <w:rsid w:val="00764CB0"/>
    <w:rsid w:val="00765458"/>
    <w:rsid w:val="007655EC"/>
    <w:rsid w:val="00765B67"/>
    <w:rsid w:val="0076673B"/>
    <w:rsid w:val="00766BF0"/>
    <w:rsid w:val="00767C59"/>
    <w:rsid w:val="00767CE0"/>
    <w:rsid w:val="0077062C"/>
    <w:rsid w:val="0077111C"/>
    <w:rsid w:val="00771227"/>
    <w:rsid w:val="00771272"/>
    <w:rsid w:val="00771BF7"/>
    <w:rsid w:val="00772B0D"/>
    <w:rsid w:val="007731CE"/>
    <w:rsid w:val="00773D4B"/>
    <w:rsid w:val="007748B1"/>
    <w:rsid w:val="00774A50"/>
    <w:rsid w:val="00774FB5"/>
    <w:rsid w:val="00775497"/>
    <w:rsid w:val="00776A76"/>
    <w:rsid w:val="00776CD7"/>
    <w:rsid w:val="00776F81"/>
    <w:rsid w:val="00777084"/>
    <w:rsid w:val="007779C9"/>
    <w:rsid w:val="00777BD6"/>
    <w:rsid w:val="007801EE"/>
    <w:rsid w:val="007807E2"/>
    <w:rsid w:val="00780FB7"/>
    <w:rsid w:val="00781853"/>
    <w:rsid w:val="00782317"/>
    <w:rsid w:val="0078269F"/>
    <w:rsid w:val="00782EAA"/>
    <w:rsid w:val="007834A2"/>
    <w:rsid w:val="00784468"/>
    <w:rsid w:val="00786D56"/>
    <w:rsid w:val="00786FB6"/>
    <w:rsid w:val="007875FC"/>
    <w:rsid w:val="00787C8D"/>
    <w:rsid w:val="007904C3"/>
    <w:rsid w:val="007911B1"/>
    <w:rsid w:val="00792C01"/>
    <w:rsid w:val="00792E6E"/>
    <w:rsid w:val="00793B26"/>
    <w:rsid w:val="00793B3E"/>
    <w:rsid w:val="00794121"/>
    <w:rsid w:val="00794346"/>
    <w:rsid w:val="0079447D"/>
    <w:rsid w:val="0079476A"/>
    <w:rsid w:val="00794C73"/>
    <w:rsid w:val="00795CDA"/>
    <w:rsid w:val="0079631B"/>
    <w:rsid w:val="007964EB"/>
    <w:rsid w:val="00796903"/>
    <w:rsid w:val="00796909"/>
    <w:rsid w:val="0079717F"/>
    <w:rsid w:val="007974D5"/>
    <w:rsid w:val="00797753"/>
    <w:rsid w:val="00797FA2"/>
    <w:rsid w:val="007A0ED9"/>
    <w:rsid w:val="007A0F93"/>
    <w:rsid w:val="007A101D"/>
    <w:rsid w:val="007A1C38"/>
    <w:rsid w:val="007A1CC2"/>
    <w:rsid w:val="007A2944"/>
    <w:rsid w:val="007A2EAC"/>
    <w:rsid w:val="007A3381"/>
    <w:rsid w:val="007A3DCA"/>
    <w:rsid w:val="007A430D"/>
    <w:rsid w:val="007A4702"/>
    <w:rsid w:val="007A4AAF"/>
    <w:rsid w:val="007A4E37"/>
    <w:rsid w:val="007A4E9E"/>
    <w:rsid w:val="007A4F6D"/>
    <w:rsid w:val="007A507A"/>
    <w:rsid w:val="007A514B"/>
    <w:rsid w:val="007A5554"/>
    <w:rsid w:val="007A68BF"/>
    <w:rsid w:val="007A68E1"/>
    <w:rsid w:val="007A7797"/>
    <w:rsid w:val="007A786B"/>
    <w:rsid w:val="007A7875"/>
    <w:rsid w:val="007B0678"/>
    <w:rsid w:val="007B0A00"/>
    <w:rsid w:val="007B0B0D"/>
    <w:rsid w:val="007B1859"/>
    <w:rsid w:val="007B2B5E"/>
    <w:rsid w:val="007B3554"/>
    <w:rsid w:val="007B3F28"/>
    <w:rsid w:val="007B3FB7"/>
    <w:rsid w:val="007B4590"/>
    <w:rsid w:val="007B4B73"/>
    <w:rsid w:val="007B4C29"/>
    <w:rsid w:val="007B5109"/>
    <w:rsid w:val="007B600A"/>
    <w:rsid w:val="007B62A7"/>
    <w:rsid w:val="007B75A4"/>
    <w:rsid w:val="007B78BF"/>
    <w:rsid w:val="007B7A98"/>
    <w:rsid w:val="007B7ADF"/>
    <w:rsid w:val="007B7B0D"/>
    <w:rsid w:val="007B7C99"/>
    <w:rsid w:val="007C0F68"/>
    <w:rsid w:val="007C26B0"/>
    <w:rsid w:val="007C2CA7"/>
    <w:rsid w:val="007C376D"/>
    <w:rsid w:val="007C4510"/>
    <w:rsid w:val="007C456C"/>
    <w:rsid w:val="007C49E1"/>
    <w:rsid w:val="007C55E1"/>
    <w:rsid w:val="007C5958"/>
    <w:rsid w:val="007C6477"/>
    <w:rsid w:val="007C7D4D"/>
    <w:rsid w:val="007D0342"/>
    <w:rsid w:val="007D05F0"/>
    <w:rsid w:val="007D0916"/>
    <w:rsid w:val="007D0E1B"/>
    <w:rsid w:val="007D0E4C"/>
    <w:rsid w:val="007D19FC"/>
    <w:rsid w:val="007D1CBB"/>
    <w:rsid w:val="007D2223"/>
    <w:rsid w:val="007D27E2"/>
    <w:rsid w:val="007D378E"/>
    <w:rsid w:val="007D4135"/>
    <w:rsid w:val="007D467E"/>
    <w:rsid w:val="007D4D77"/>
    <w:rsid w:val="007D568D"/>
    <w:rsid w:val="007D5874"/>
    <w:rsid w:val="007D5972"/>
    <w:rsid w:val="007D5A10"/>
    <w:rsid w:val="007D5BA2"/>
    <w:rsid w:val="007D60E6"/>
    <w:rsid w:val="007D74C8"/>
    <w:rsid w:val="007D792F"/>
    <w:rsid w:val="007E05B8"/>
    <w:rsid w:val="007E1346"/>
    <w:rsid w:val="007E23E5"/>
    <w:rsid w:val="007E293D"/>
    <w:rsid w:val="007E2B98"/>
    <w:rsid w:val="007E3446"/>
    <w:rsid w:val="007E34B1"/>
    <w:rsid w:val="007E447F"/>
    <w:rsid w:val="007E4602"/>
    <w:rsid w:val="007E6498"/>
    <w:rsid w:val="007E64CF"/>
    <w:rsid w:val="007E6A99"/>
    <w:rsid w:val="007E6F24"/>
    <w:rsid w:val="007E6F50"/>
    <w:rsid w:val="007E6F81"/>
    <w:rsid w:val="007E7345"/>
    <w:rsid w:val="007E771B"/>
    <w:rsid w:val="007F0342"/>
    <w:rsid w:val="007F035D"/>
    <w:rsid w:val="007F102F"/>
    <w:rsid w:val="007F1170"/>
    <w:rsid w:val="007F15DE"/>
    <w:rsid w:val="007F17B8"/>
    <w:rsid w:val="007F192A"/>
    <w:rsid w:val="007F1A7A"/>
    <w:rsid w:val="007F1D9E"/>
    <w:rsid w:val="007F24B9"/>
    <w:rsid w:val="007F2901"/>
    <w:rsid w:val="007F2E5D"/>
    <w:rsid w:val="007F33E6"/>
    <w:rsid w:val="007F3BEB"/>
    <w:rsid w:val="007F485D"/>
    <w:rsid w:val="007F5261"/>
    <w:rsid w:val="007F641D"/>
    <w:rsid w:val="007F6515"/>
    <w:rsid w:val="007F67CE"/>
    <w:rsid w:val="007F7B20"/>
    <w:rsid w:val="00800B57"/>
    <w:rsid w:val="0080246D"/>
    <w:rsid w:val="008024B7"/>
    <w:rsid w:val="0080252C"/>
    <w:rsid w:val="00802C75"/>
    <w:rsid w:val="008044E4"/>
    <w:rsid w:val="008051D2"/>
    <w:rsid w:val="00805BBC"/>
    <w:rsid w:val="00806574"/>
    <w:rsid w:val="008068D6"/>
    <w:rsid w:val="008068E4"/>
    <w:rsid w:val="00806B07"/>
    <w:rsid w:val="00807303"/>
    <w:rsid w:val="00807D1B"/>
    <w:rsid w:val="00807E0A"/>
    <w:rsid w:val="00807ED6"/>
    <w:rsid w:val="00810733"/>
    <w:rsid w:val="00810DAB"/>
    <w:rsid w:val="00811CC4"/>
    <w:rsid w:val="00811E3C"/>
    <w:rsid w:val="008124FB"/>
    <w:rsid w:val="00812E55"/>
    <w:rsid w:val="0081469C"/>
    <w:rsid w:val="00815252"/>
    <w:rsid w:val="0081525F"/>
    <w:rsid w:val="00815C61"/>
    <w:rsid w:val="00815D18"/>
    <w:rsid w:val="00816209"/>
    <w:rsid w:val="008167D8"/>
    <w:rsid w:val="00816822"/>
    <w:rsid w:val="00816EB3"/>
    <w:rsid w:val="00817B9C"/>
    <w:rsid w:val="00817D8E"/>
    <w:rsid w:val="00817E10"/>
    <w:rsid w:val="00817E6B"/>
    <w:rsid w:val="008200FF"/>
    <w:rsid w:val="008201CB"/>
    <w:rsid w:val="00820CA5"/>
    <w:rsid w:val="0082102D"/>
    <w:rsid w:val="00821109"/>
    <w:rsid w:val="008216C7"/>
    <w:rsid w:val="0082191F"/>
    <w:rsid w:val="00821AB4"/>
    <w:rsid w:val="00822A6E"/>
    <w:rsid w:val="008232F1"/>
    <w:rsid w:val="008235B6"/>
    <w:rsid w:val="008242A2"/>
    <w:rsid w:val="00824427"/>
    <w:rsid w:val="008248DA"/>
    <w:rsid w:val="00825CD8"/>
    <w:rsid w:val="00826568"/>
    <w:rsid w:val="008266A5"/>
    <w:rsid w:val="008276AF"/>
    <w:rsid w:val="008279B3"/>
    <w:rsid w:val="00827E76"/>
    <w:rsid w:val="00831736"/>
    <w:rsid w:val="00831A0B"/>
    <w:rsid w:val="0083295E"/>
    <w:rsid w:val="0083308B"/>
    <w:rsid w:val="00833BA4"/>
    <w:rsid w:val="0083483E"/>
    <w:rsid w:val="0083483F"/>
    <w:rsid w:val="00834ADA"/>
    <w:rsid w:val="008360C3"/>
    <w:rsid w:val="008360F1"/>
    <w:rsid w:val="0083616A"/>
    <w:rsid w:val="008361BA"/>
    <w:rsid w:val="00836800"/>
    <w:rsid w:val="00836CDF"/>
    <w:rsid w:val="00837183"/>
    <w:rsid w:val="00840378"/>
    <w:rsid w:val="00840C8D"/>
    <w:rsid w:val="0084127D"/>
    <w:rsid w:val="008426C0"/>
    <w:rsid w:val="0084301B"/>
    <w:rsid w:val="00843529"/>
    <w:rsid w:val="008447AD"/>
    <w:rsid w:val="00845268"/>
    <w:rsid w:val="00846113"/>
    <w:rsid w:val="0084627C"/>
    <w:rsid w:val="008467B5"/>
    <w:rsid w:val="00847587"/>
    <w:rsid w:val="00847C71"/>
    <w:rsid w:val="00850B4B"/>
    <w:rsid w:val="00851C48"/>
    <w:rsid w:val="008525A0"/>
    <w:rsid w:val="00852931"/>
    <w:rsid w:val="00852965"/>
    <w:rsid w:val="00853655"/>
    <w:rsid w:val="008538A7"/>
    <w:rsid w:val="00853DD9"/>
    <w:rsid w:val="00853E12"/>
    <w:rsid w:val="00854BC4"/>
    <w:rsid w:val="00855029"/>
    <w:rsid w:val="0085511E"/>
    <w:rsid w:val="0085546F"/>
    <w:rsid w:val="008557F4"/>
    <w:rsid w:val="008560B4"/>
    <w:rsid w:val="00856FDA"/>
    <w:rsid w:val="008572DB"/>
    <w:rsid w:val="0085774B"/>
    <w:rsid w:val="00857A7E"/>
    <w:rsid w:val="0086056D"/>
    <w:rsid w:val="00860C58"/>
    <w:rsid w:val="00860EDF"/>
    <w:rsid w:val="00860FFF"/>
    <w:rsid w:val="00861882"/>
    <w:rsid w:val="00861A64"/>
    <w:rsid w:val="00862AA3"/>
    <w:rsid w:val="00862E85"/>
    <w:rsid w:val="00863D4B"/>
    <w:rsid w:val="00863E4F"/>
    <w:rsid w:val="008641E7"/>
    <w:rsid w:val="00864E0B"/>
    <w:rsid w:val="00865CD5"/>
    <w:rsid w:val="00866465"/>
    <w:rsid w:val="00870FC6"/>
    <w:rsid w:val="00871024"/>
    <w:rsid w:val="0087168E"/>
    <w:rsid w:val="00871A37"/>
    <w:rsid w:val="00872027"/>
    <w:rsid w:val="008727E8"/>
    <w:rsid w:val="00872D4A"/>
    <w:rsid w:val="00873064"/>
    <w:rsid w:val="0087363B"/>
    <w:rsid w:val="00873780"/>
    <w:rsid w:val="0087382C"/>
    <w:rsid w:val="00873830"/>
    <w:rsid w:val="00873840"/>
    <w:rsid w:val="00873B0F"/>
    <w:rsid w:val="00874359"/>
    <w:rsid w:val="00874470"/>
    <w:rsid w:val="008746F8"/>
    <w:rsid w:val="00874FD9"/>
    <w:rsid w:val="0087505B"/>
    <w:rsid w:val="008751F8"/>
    <w:rsid w:val="0087592C"/>
    <w:rsid w:val="008766DF"/>
    <w:rsid w:val="00877C52"/>
    <w:rsid w:val="00881496"/>
    <w:rsid w:val="00881C03"/>
    <w:rsid w:val="00881F36"/>
    <w:rsid w:val="00881FDE"/>
    <w:rsid w:val="0088207E"/>
    <w:rsid w:val="00882133"/>
    <w:rsid w:val="008822F8"/>
    <w:rsid w:val="008829C9"/>
    <w:rsid w:val="0088356A"/>
    <w:rsid w:val="008835C7"/>
    <w:rsid w:val="008836F7"/>
    <w:rsid w:val="008837C4"/>
    <w:rsid w:val="0088400F"/>
    <w:rsid w:val="008845AE"/>
    <w:rsid w:val="0088608E"/>
    <w:rsid w:val="0088635F"/>
    <w:rsid w:val="0088674D"/>
    <w:rsid w:val="00887E05"/>
    <w:rsid w:val="00890B99"/>
    <w:rsid w:val="00890EAA"/>
    <w:rsid w:val="00890EDC"/>
    <w:rsid w:val="008915B3"/>
    <w:rsid w:val="0089260C"/>
    <w:rsid w:val="00894A0B"/>
    <w:rsid w:val="00894F13"/>
    <w:rsid w:val="008955AC"/>
    <w:rsid w:val="00895769"/>
    <w:rsid w:val="00895832"/>
    <w:rsid w:val="00895B8C"/>
    <w:rsid w:val="00896047"/>
    <w:rsid w:val="00896098"/>
    <w:rsid w:val="0089672F"/>
    <w:rsid w:val="00896927"/>
    <w:rsid w:val="0089701E"/>
    <w:rsid w:val="0089757A"/>
    <w:rsid w:val="0089772C"/>
    <w:rsid w:val="00897ABA"/>
    <w:rsid w:val="00897D4A"/>
    <w:rsid w:val="008A0081"/>
    <w:rsid w:val="008A05A9"/>
    <w:rsid w:val="008A16D9"/>
    <w:rsid w:val="008A228B"/>
    <w:rsid w:val="008A27FE"/>
    <w:rsid w:val="008A2AC7"/>
    <w:rsid w:val="008A2DAC"/>
    <w:rsid w:val="008A2E38"/>
    <w:rsid w:val="008A2E52"/>
    <w:rsid w:val="008A36E3"/>
    <w:rsid w:val="008A3C17"/>
    <w:rsid w:val="008A4187"/>
    <w:rsid w:val="008A45A9"/>
    <w:rsid w:val="008A4D53"/>
    <w:rsid w:val="008A59C3"/>
    <w:rsid w:val="008A5BC4"/>
    <w:rsid w:val="008A5D8B"/>
    <w:rsid w:val="008A601E"/>
    <w:rsid w:val="008A61DB"/>
    <w:rsid w:val="008A64DE"/>
    <w:rsid w:val="008A7182"/>
    <w:rsid w:val="008A7675"/>
    <w:rsid w:val="008A7A15"/>
    <w:rsid w:val="008B034B"/>
    <w:rsid w:val="008B1218"/>
    <w:rsid w:val="008B126B"/>
    <w:rsid w:val="008B1E12"/>
    <w:rsid w:val="008B3696"/>
    <w:rsid w:val="008B374C"/>
    <w:rsid w:val="008B4265"/>
    <w:rsid w:val="008B42C1"/>
    <w:rsid w:val="008B5E13"/>
    <w:rsid w:val="008B65F2"/>
    <w:rsid w:val="008B6DF1"/>
    <w:rsid w:val="008B6F0E"/>
    <w:rsid w:val="008B7629"/>
    <w:rsid w:val="008C01ED"/>
    <w:rsid w:val="008C0592"/>
    <w:rsid w:val="008C157F"/>
    <w:rsid w:val="008C20B6"/>
    <w:rsid w:val="008C280D"/>
    <w:rsid w:val="008C2947"/>
    <w:rsid w:val="008C464D"/>
    <w:rsid w:val="008C496A"/>
    <w:rsid w:val="008C4EAA"/>
    <w:rsid w:val="008C6139"/>
    <w:rsid w:val="008C61D2"/>
    <w:rsid w:val="008C697B"/>
    <w:rsid w:val="008D048C"/>
    <w:rsid w:val="008D07F5"/>
    <w:rsid w:val="008D14EB"/>
    <w:rsid w:val="008D1A4D"/>
    <w:rsid w:val="008D1FC1"/>
    <w:rsid w:val="008D20A9"/>
    <w:rsid w:val="008D2DCF"/>
    <w:rsid w:val="008D36A4"/>
    <w:rsid w:val="008D3E89"/>
    <w:rsid w:val="008D4CA2"/>
    <w:rsid w:val="008D4CEB"/>
    <w:rsid w:val="008D5871"/>
    <w:rsid w:val="008D5DBC"/>
    <w:rsid w:val="008D610B"/>
    <w:rsid w:val="008D61C2"/>
    <w:rsid w:val="008D64BD"/>
    <w:rsid w:val="008D660A"/>
    <w:rsid w:val="008D749B"/>
    <w:rsid w:val="008D7D4B"/>
    <w:rsid w:val="008E0438"/>
    <w:rsid w:val="008E0E4A"/>
    <w:rsid w:val="008E15B0"/>
    <w:rsid w:val="008E1622"/>
    <w:rsid w:val="008E1CD1"/>
    <w:rsid w:val="008E2053"/>
    <w:rsid w:val="008E24EA"/>
    <w:rsid w:val="008E328C"/>
    <w:rsid w:val="008E3673"/>
    <w:rsid w:val="008E3F79"/>
    <w:rsid w:val="008E43C5"/>
    <w:rsid w:val="008E47F1"/>
    <w:rsid w:val="008E4C50"/>
    <w:rsid w:val="008E4F1B"/>
    <w:rsid w:val="008E4F81"/>
    <w:rsid w:val="008E5752"/>
    <w:rsid w:val="008E5C21"/>
    <w:rsid w:val="008E6388"/>
    <w:rsid w:val="008E64FB"/>
    <w:rsid w:val="008E67B9"/>
    <w:rsid w:val="008E6E16"/>
    <w:rsid w:val="008E7629"/>
    <w:rsid w:val="008F031E"/>
    <w:rsid w:val="008F07C0"/>
    <w:rsid w:val="008F13F6"/>
    <w:rsid w:val="008F1D42"/>
    <w:rsid w:val="008F1FFA"/>
    <w:rsid w:val="008F281A"/>
    <w:rsid w:val="008F299C"/>
    <w:rsid w:val="008F3228"/>
    <w:rsid w:val="008F364C"/>
    <w:rsid w:val="008F3BDC"/>
    <w:rsid w:val="008F3FC1"/>
    <w:rsid w:val="008F42C9"/>
    <w:rsid w:val="008F446C"/>
    <w:rsid w:val="008F50BC"/>
    <w:rsid w:val="008F50D3"/>
    <w:rsid w:val="008F530E"/>
    <w:rsid w:val="008F596F"/>
    <w:rsid w:val="008F5A22"/>
    <w:rsid w:val="008F62C6"/>
    <w:rsid w:val="008F6C34"/>
    <w:rsid w:val="008F73F9"/>
    <w:rsid w:val="008F76CE"/>
    <w:rsid w:val="008F7709"/>
    <w:rsid w:val="008F7868"/>
    <w:rsid w:val="008F7DEF"/>
    <w:rsid w:val="008F7E43"/>
    <w:rsid w:val="00900179"/>
    <w:rsid w:val="00900312"/>
    <w:rsid w:val="00900454"/>
    <w:rsid w:val="009019F4"/>
    <w:rsid w:val="00901AB4"/>
    <w:rsid w:val="00901D7F"/>
    <w:rsid w:val="00902EFD"/>
    <w:rsid w:val="009033B9"/>
    <w:rsid w:val="009033D3"/>
    <w:rsid w:val="009042DD"/>
    <w:rsid w:val="009042F2"/>
    <w:rsid w:val="00904F28"/>
    <w:rsid w:val="009053D9"/>
    <w:rsid w:val="00905767"/>
    <w:rsid w:val="009058F0"/>
    <w:rsid w:val="009067CF"/>
    <w:rsid w:val="00906910"/>
    <w:rsid w:val="0090734B"/>
    <w:rsid w:val="009076C5"/>
    <w:rsid w:val="00907B8A"/>
    <w:rsid w:val="0091063A"/>
    <w:rsid w:val="00911558"/>
    <w:rsid w:val="00911614"/>
    <w:rsid w:val="00911F85"/>
    <w:rsid w:val="00912080"/>
    <w:rsid w:val="00912098"/>
    <w:rsid w:val="0091212F"/>
    <w:rsid w:val="00912EAD"/>
    <w:rsid w:val="00913177"/>
    <w:rsid w:val="009131B0"/>
    <w:rsid w:val="00913E12"/>
    <w:rsid w:val="00913E7D"/>
    <w:rsid w:val="00914199"/>
    <w:rsid w:val="00914F04"/>
    <w:rsid w:val="009155C4"/>
    <w:rsid w:val="00915C58"/>
    <w:rsid w:val="00916262"/>
    <w:rsid w:val="00916B20"/>
    <w:rsid w:val="00917101"/>
    <w:rsid w:val="0091758D"/>
    <w:rsid w:val="00917FE9"/>
    <w:rsid w:val="009209B3"/>
    <w:rsid w:val="00920D09"/>
    <w:rsid w:val="00921572"/>
    <w:rsid w:val="00921793"/>
    <w:rsid w:val="00921979"/>
    <w:rsid w:val="00922928"/>
    <w:rsid w:val="00922FA5"/>
    <w:rsid w:val="00923846"/>
    <w:rsid w:val="00923A83"/>
    <w:rsid w:val="00924565"/>
    <w:rsid w:val="00924766"/>
    <w:rsid w:val="00925E50"/>
    <w:rsid w:val="00925F51"/>
    <w:rsid w:val="00927CF8"/>
    <w:rsid w:val="00930938"/>
    <w:rsid w:val="00931169"/>
    <w:rsid w:val="009314C8"/>
    <w:rsid w:val="00931AC7"/>
    <w:rsid w:val="0093218C"/>
    <w:rsid w:val="00932312"/>
    <w:rsid w:val="00933389"/>
    <w:rsid w:val="009339A0"/>
    <w:rsid w:val="00933AA2"/>
    <w:rsid w:val="0093407E"/>
    <w:rsid w:val="009342C7"/>
    <w:rsid w:val="00934BF6"/>
    <w:rsid w:val="00935463"/>
    <w:rsid w:val="0093547B"/>
    <w:rsid w:val="00935B22"/>
    <w:rsid w:val="00935D55"/>
    <w:rsid w:val="00936F1C"/>
    <w:rsid w:val="00937326"/>
    <w:rsid w:val="0093751B"/>
    <w:rsid w:val="00937676"/>
    <w:rsid w:val="009378A9"/>
    <w:rsid w:val="00937B65"/>
    <w:rsid w:val="00937C24"/>
    <w:rsid w:val="009404B7"/>
    <w:rsid w:val="00940A7D"/>
    <w:rsid w:val="00940BE6"/>
    <w:rsid w:val="00941028"/>
    <w:rsid w:val="00941088"/>
    <w:rsid w:val="00941997"/>
    <w:rsid w:val="00941D86"/>
    <w:rsid w:val="009425EB"/>
    <w:rsid w:val="009429EA"/>
    <w:rsid w:val="00942DB7"/>
    <w:rsid w:val="009431F2"/>
    <w:rsid w:val="00943807"/>
    <w:rsid w:val="009444FB"/>
    <w:rsid w:val="00944666"/>
    <w:rsid w:val="00944BCA"/>
    <w:rsid w:val="00945070"/>
    <w:rsid w:val="00945B31"/>
    <w:rsid w:val="00945CCB"/>
    <w:rsid w:val="009460C6"/>
    <w:rsid w:val="00946AD2"/>
    <w:rsid w:val="00946B5F"/>
    <w:rsid w:val="00947052"/>
    <w:rsid w:val="0094715F"/>
    <w:rsid w:val="0094743B"/>
    <w:rsid w:val="0094749B"/>
    <w:rsid w:val="00947530"/>
    <w:rsid w:val="00952688"/>
    <w:rsid w:val="00952735"/>
    <w:rsid w:val="009531E5"/>
    <w:rsid w:val="009533FD"/>
    <w:rsid w:val="009553A5"/>
    <w:rsid w:val="009559AC"/>
    <w:rsid w:val="00955D54"/>
    <w:rsid w:val="00955EB5"/>
    <w:rsid w:val="00955EE8"/>
    <w:rsid w:val="009564F0"/>
    <w:rsid w:val="00956B83"/>
    <w:rsid w:val="00956C62"/>
    <w:rsid w:val="009571F6"/>
    <w:rsid w:val="00957625"/>
    <w:rsid w:val="00960126"/>
    <w:rsid w:val="00960885"/>
    <w:rsid w:val="0096094D"/>
    <w:rsid w:val="00960C2D"/>
    <w:rsid w:val="00961030"/>
    <w:rsid w:val="009611BE"/>
    <w:rsid w:val="0096249A"/>
    <w:rsid w:val="00962F9D"/>
    <w:rsid w:val="00963BBE"/>
    <w:rsid w:val="0096423D"/>
    <w:rsid w:val="00964333"/>
    <w:rsid w:val="009647EE"/>
    <w:rsid w:val="00964A9B"/>
    <w:rsid w:val="00964C49"/>
    <w:rsid w:val="009650E1"/>
    <w:rsid w:val="0096523C"/>
    <w:rsid w:val="00965D70"/>
    <w:rsid w:val="009660F0"/>
    <w:rsid w:val="0096630F"/>
    <w:rsid w:val="00966963"/>
    <w:rsid w:val="009669D5"/>
    <w:rsid w:val="00966CB1"/>
    <w:rsid w:val="009708FD"/>
    <w:rsid w:val="009710F9"/>
    <w:rsid w:val="00973239"/>
    <w:rsid w:val="0097392F"/>
    <w:rsid w:val="00974E14"/>
    <w:rsid w:val="00975987"/>
    <w:rsid w:val="009759C1"/>
    <w:rsid w:val="00975B6D"/>
    <w:rsid w:val="00975D9B"/>
    <w:rsid w:val="00976BB4"/>
    <w:rsid w:val="00976EE9"/>
    <w:rsid w:val="00977043"/>
    <w:rsid w:val="00977446"/>
    <w:rsid w:val="00977495"/>
    <w:rsid w:val="00977AA6"/>
    <w:rsid w:val="00980481"/>
    <w:rsid w:val="00980D67"/>
    <w:rsid w:val="00980E58"/>
    <w:rsid w:val="00980F3A"/>
    <w:rsid w:val="009813D2"/>
    <w:rsid w:val="009824A5"/>
    <w:rsid w:val="009831DC"/>
    <w:rsid w:val="0098329E"/>
    <w:rsid w:val="0098355A"/>
    <w:rsid w:val="009835E5"/>
    <w:rsid w:val="00983EB3"/>
    <w:rsid w:val="00984359"/>
    <w:rsid w:val="009855FF"/>
    <w:rsid w:val="0098595B"/>
    <w:rsid w:val="00985D15"/>
    <w:rsid w:val="00985E83"/>
    <w:rsid w:val="00986439"/>
    <w:rsid w:val="00986D6A"/>
    <w:rsid w:val="00990E39"/>
    <w:rsid w:val="00991136"/>
    <w:rsid w:val="0099138A"/>
    <w:rsid w:val="0099169D"/>
    <w:rsid w:val="00991A22"/>
    <w:rsid w:val="00991B0B"/>
    <w:rsid w:val="00991BBB"/>
    <w:rsid w:val="0099234B"/>
    <w:rsid w:val="009926F4"/>
    <w:rsid w:val="00992739"/>
    <w:rsid w:val="009927FC"/>
    <w:rsid w:val="0099313B"/>
    <w:rsid w:val="00993672"/>
    <w:rsid w:val="00993E35"/>
    <w:rsid w:val="009942D2"/>
    <w:rsid w:val="00994D4B"/>
    <w:rsid w:val="00994DEF"/>
    <w:rsid w:val="009950E5"/>
    <w:rsid w:val="0099545A"/>
    <w:rsid w:val="00995C8E"/>
    <w:rsid w:val="00995EFE"/>
    <w:rsid w:val="00996ADE"/>
    <w:rsid w:val="00997470"/>
    <w:rsid w:val="00997604"/>
    <w:rsid w:val="00997ADD"/>
    <w:rsid w:val="00997AF7"/>
    <w:rsid w:val="00997EB7"/>
    <w:rsid w:val="009A0FFB"/>
    <w:rsid w:val="009A139A"/>
    <w:rsid w:val="009A1B62"/>
    <w:rsid w:val="009A20DD"/>
    <w:rsid w:val="009A29B4"/>
    <w:rsid w:val="009A3D68"/>
    <w:rsid w:val="009A4C41"/>
    <w:rsid w:val="009A4E1F"/>
    <w:rsid w:val="009A5711"/>
    <w:rsid w:val="009A5984"/>
    <w:rsid w:val="009A68DE"/>
    <w:rsid w:val="009A6F65"/>
    <w:rsid w:val="009A76EE"/>
    <w:rsid w:val="009B04A1"/>
    <w:rsid w:val="009B0779"/>
    <w:rsid w:val="009B14C0"/>
    <w:rsid w:val="009B2022"/>
    <w:rsid w:val="009B2791"/>
    <w:rsid w:val="009B2DD8"/>
    <w:rsid w:val="009B3A33"/>
    <w:rsid w:val="009B45B0"/>
    <w:rsid w:val="009B5287"/>
    <w:rsid w:val="009B592B"/>
    <w:rsid w:val="009B59C5"/>
    <w:rsid w:val="009B5E66"/>
    <w:rsid w:val="009B6343"/>
    <w:rsid w:val="009B6CF0"/>
    <w:rsid w:val="009B701E"/>
    <w:rsid w:val="009B7622"/>
    <w:rsid w:val="009B7D99"/>
    <w:rsid w:val="009C0ADC"/>
    <w:rsid w:val="009C0D8B"/>
    <w:rsid w:val="009C0F41"/>
    <w:rsid w:val="009C1047"/>
    <w:rsid w:val="009C12E5"/>
    <w:rsid w:val="009C173C"/>
    <w:rsid w:val="009C1961"/>
    <w:rsid w:val="009C2309"/>
    <w:rsid w:val="009C2848"/>
    <w:rsid w:val="009C2E25"/>
    <w:rsid w:val="009C3031"/>
    <w:rsid w:val="009C304F"/>
    <w:rsid w:val="009C388E"/>
    <w:rsid w:val="009C3C33"/>
    <w:rsid w:val="009C3CCE"/>
    <w:rsid w:val="009C4548"/>
    <w:rsid w:val="009C467C"/>
    <w:rsid w:val="009C4E56"/>
    <w:rsid w:val="009C51F8"/>
    <w:rsid w:val="009C54CD"/>
    <w:rsid w:val="009C5579"/>
    <w:rsid w:val="009C57EE"/>
    <w:rsid w:val="009C588C"/>
    <w:rsid w:val="009C5F03"/>
    <w:rsid w:val="009C62C9"/>
    <w:rsid w:val="009C6423"/>
    <w:rsid w:val="009C6D0E"/>
    <w:rsid w:val="009C6D42"/>
    <w:rsid w:val="009C70B7"/>
    <w:rsid w:val="009C7105"/>
    <w:rsid w:val="009C7397"/>
    <w:rsid w:val="009C7A0D"/>
    <w:rsid w:val="009C7AB8"/>
    <w:rsid w:val="009C7EC8"/>
    <w:rsid w:val="009C7F55"/>
    <w:rsid w:val="009D02F0"/>
    <w:rsid w:val="009D03D2"/>
    <w:rsid w:val="009D1272"/>
    <w:rsid w:val="009D16DC"/>
    <w:rsid w:val="009D1986"/>
    <w:rsid w:val="009D2533"/>
    <w:rsid w:val="009D2B82"/>
    <w:rsid w:val="009D32A8"/>
    <w:rsid w:val="009D33FC"/>
    <w:rsid w:val="009D3585"/>
    <w:rsid w:val="009D4E63"/>
    <w:rsid w:val="009D50F2"/>
    <w:rsid w:val="009D56CC"/>
    <w:rsid w:val="009D60B5"/>
    <w:rsid w:val="009D6AEC"/>
    <w:rsid w:val="009E04CA"/>
    <w:rsid w:val="009E07AD"/>
    <w:rsid w:val="009E0919"/>
    <w:rsid w:val="009E0E14"/>
    <w:rsid w:val="009E0FB0"/>
    <w:rsid w:val="009E0FDE"/>
    <w:rsid w:val="009E13A2"/>
    <w:rsid w:val="009E1BF4"/>
    <w:rsid w:val="009E334B"/>
    <w:rsid w:val="009E36BE"/>
    <w:rsid w:val="009E3CF1"/>
    <w:rsid w:val="009E3EB3"/>
    <w:rsid w:val="009E4296"/>
    <w:rsid w:val="009E4365"/>
    <w:rsid w:val="009E515E"/>
    <w:rsid w:val="009E55A6"/>
    <w:rsid w:val="009E595F"/>
    <w:rsid w:val="009E5AA4"/>
    <w:rsid w:val="009E5B6A"/>
    <w:rsid w:val="009E60A7"/>
    <w:rsid w:val="009E645A"/>
    <w:rsid w:val="009E6AE5"/>
    <w:rsid w:val="009F1F4A"/>
    <w:rsid w:val="009F2279"/>
    <w:rsid w:val="009F2502"/>
    <w:rsid w:val="009F2A50"/>
    <w:rsid w:val="009F2D77"/>
    <w:rsid w:val="009F3089"/>
    <w:rsid w:val="009F36B3"/>
    <w:rsid w:val="009F38AA"/>
    <w:rsid w:val="009F4115"/>
    <w:rsid w:val="009F442E"/>
    <w:rsid w:val="009F4B3A"/>
    <w:rsid w:val="009F4D4D"/>
    <w:rsid w:val="009F55E4"/>
    <w:rsid w:val="009F5D67"/>
    <w:rsid w:val="009F5FD5"/>
    <w:rsid w:val="009F62CF"/>
    <w:rsid w:val="009F66F1"/>
    <w:rsid w:val="009F6893"/>
    <w:rsid w:val="009F6E58"/>
    <w:rsid w:val="009F6F3F"/>
    <w:rsid w:val="00A00876"/>
    <w:rsid w:val="00A01157"/>
    <w:rsid w:val="00A01470"/>
    <w:rsid w:val="00A01727"/>
    <w:rsid w:val="00A01798"/>
    <w:rsid w:val="00A01980"/>
    <w:rsid w:val="00A01DCE"/>
    <w:rsid w:val="00A0224E"/>
    <w:rsid w:val="00A02717"/>
    <w:rsid w:val="00A02B56"/>
    <w:rsid w:val="00A039DC"/>
    <w:rsid w:val="00A03F62"/>
    <w:rsid w:val="00A047C2"/>
    <w:rsid w:val="00A047F9"/>
    <w:rsid w:val="00A048D5"/>
    <w:rsid w:val="00A04B03"/>
    <w:rsid w:val="00A04F74"/>
    <w:rsid w:val="00A05DDE"/>
    <w:rsid w:val="00A066FB"/>
    <w:rsid w:val="00A06E36"/>
    <w:rsid w:val="00A07B0B"/>
    <w:rsid w:val="00A07E2D"/>
    <w:rsid w:val="00A07FD2"/>
    <w:rsid w:val="00A10563"/>
    <w:rsid w:val="00A10912"/>
    <w:rsid w:val="00A11B74"/>
    <w:rsid w:val="00A120AF"/>
    <w:rsid w:val="00A12406"/>
    <w:rsid w:val="00A1279B"/>
    <w:rsid w:val="00A130CE"/>
    <w:rsid w:val="00A13448"/>
    <w:rsid w:val="00A1349D"/>
    <w:rsid w:val="00A1365A"/>
    <w:rsid w:val="00A13686"/>
    <w:rsid w:val="00A149F4"/>
    <w:rsid w:val="00A14BBA"/>
    <w:rsid w:val="00A152CE"/>
    <w:rsid w:val="00A1530E"/>
    <w:rsid w:val="00A15FA6"/>
    <w:rsid w:val="00A163A3"/>
    <w:rsid w:val="00A16F8A"/>
    <w:rsid w:val="00A17ECC"/>
    <w:rsid w:val="00A20190"/>
    <w:rsid w:val="00A201DD"/>
    <w:rsid w:val="00A202A7"/>
    <w:rsid w:val="00A21179"/>
    <w:rsid w:val="00A211D2"/>
    <w:rsid w:val="00A222CC"/>
    <w:rsid w:val="00A2419D"/>
    <w:rsid w:val="00A24443"/>
    <w:rsid w:val="00A2497E"/>
    <w:rsid w:val="00A254CC"/>
    <w:rsid w:val="00A25A64"/>
    <w:rsid w:val="00A25AFF"/>
    <w:rsid w:val="00A25C95"/>
    <w:rsid w:val="00A25D39"/>
    <w:rsid w:val="00A260CC"/>
    <w:rsid w:val="00A2613E"/>
    <w:rsid w:val="00A26232"/>
    <w:rsid w:val="00A2660A"/>
    <w:rsid w:val="00A2670E"/>
    <w:rsid w:val="00A26A7F"/>
    <w:rsid w:val="00A27381"/>
    <w:rsid w:val="00A27661"/>
    <w:rsid w:val="00A27A07"/>
    <w:rsid w:val="00A27F1A"/>
    <w:rsid w:val="00A3008D"/>
    <w:rsid w:val="00A307F7"/>
    <w:rsid w:val="00A30B06"/>
    <w:rsid w:val="00A31113"/>
    <w:rsid w:val="00A31866"/>
    <w:rsid w:val="00A3202F"/>
    <w:rsid w:val="00A325EE"/>
    <w:rsid w:val="00A32AF0"/>
    <w:rsid w:val="00A32CCF"/>
    <w:rsid w:val="00A332BB"/>
    <w:rsid w:val="00A33823"/>
    <w:rsid w:val="00A33B29"/>
    <w:rsid w:val="00A33D2F"/>
    <w:rsid w:val="00A34485"/>
    <w:rsid w:val="00A349A0"/>
    <w:rsid w:val="00A34EE0"/>
    <w:rsid w:val="00A35895"/>
    <w:rsid w:val="00A35CE3"/>
    <w:rsid w:val="00A35DEF"/>
    <w:rsid w:val="00A36DFE"/>
    <w:rsid w:val="00A4056E"/>
    <w:rsid w:val="00A405B4"/>
    <w:rsid w:val="00A40901"/>
    <w:rsid w:val="00A40C36"/>
    <w:rsid w:val="00A41036"/>
    <w:rsid w:val="00A410DD"/>
    <w:rsid w:val="00A41932"/>
    <w:rsid w:val="00A42753"/>
    <w:rsid w:val="00A4290B"/>
    <w:rsid w:val="00A42BEB"/>
    <w:rsid w:val="00A42BF8"/>
    <w:rsid w:val="00A438D0"/>
    <w:rsid w:val="00A44DE6"/>
    <w:rsid w:val="00A46033"/>
    <w:rsid w:val="00A4615A"/>
    <w:rsid w:val="00A4677B"/>
    <w:rsid w:val="00A476CA"/>
    <w:rsid w:val="00A477B6"/>
    <w:rsid w:val="00A47C52"/>
    <w:rsid w:val="00A47F01"/>
    <w:rsid w:val="00A50216"/>
    <w:rsid w:val="00A509BB"/>
    <w:rsid w:val="00A50BBB"/>
    <w:rsid w:val="00A50DC6"/>
    <w:rsid w:val="00A50F32"/>
    <w:rsid w:val="00A5177C"/>
    <w:rsid w:val="00A51C1E"/>
    <w:rsid w:val="00A523FA"/>
    <w:rsid w:val="00A5279E"/>
    <w:rsid w:val="00A5408A"/>
    <w:rsid w:val="00A547BF"/>
    <w:rsid w:val="00A55998"/>
    <w:rsid w:val="00A55A18"/>
    <w:rsid w:val="00A55B31"/>
    <w:rsid w:val="00A55CB0"/>
    <w:rsid w:val="00A5646B"/>
    <w:rsid w:val="00A5650A"/>
    <w:rsid w:val="00A56549"/>
    <w:rsid w:val="00A571A6"/>
    <w:rsid w:val="00A60119"/>
    <w:rsid w:val="00A601EA"/>
    <w:rsid w:val="00A6044B"/>
    <w:rsid w:val="00A60657"/>
    <w:rsid w:val="00A60A62"/>
    <w:rsid w:val="00A60DAB"/>
    <w:rsid w:val="00A6164B"/>
    <w:rsid w:val="00A62590"/>
    <w:rsid w:val="00A62C5A"/>
    <w:rsid w:val="00A63546"/>
    <w:rsid w:val="00A63C5C"/>
    <w:rsid w:val="00A64B26"/>
    <w:rsid w:val="00A64E19"/>
    <w:rsid w:val="00A64EA7"/>
    <w:rsid w:val="00A656D4"/>
    <w:rsid w:val="00A65956"/>
    <w:rsid w:val="00A65A00"/>
    <w:rsid w:val="00A65D1A"/>
    <w:rsid w:val="00A65D4C"/>
    <w:rsid w:val="00A66F3B"/>
    <w:rsid w:val="00A67376"/>
    <w:rsid w:val="00A67B6C"/>
    <w:rsid w:val="00A70B0B"/>
    <w:rsid w:val="00A71545"/>
    <w:rsid w:val="00A71960"/>
    <w:rsid w:val="00A72497"/>
    <w:rsid w:val="00A7269D"/>
    <w:rsid w:val="00A7277F"/>
    <w:rsid w:val="00A72D72"/>
    <w:rsid w:val="00A735FF"/>
    <w:rsid w:val="00A73864"/>
    <w:rsid w:val="00A738C8"/>
    <w:rsid w:val="00A73A9E"/>
    <w:rsid w:val="00A73FA9"/>
    <w:rsid w:val="00A745EB"/>
    <w:rsid w:val="00A7465D"/>
    <w:rsid w:val="00A757F8"/>
    <w:rsid w:val="00A760A1"/>
    <w:rsid w:val="00A7691B"/>
    <w:rsid w:val="00A77326"/>
    <w:rsid w:val="00A774E1"/>
    <w:rsid w:val="00A801EF"/>
    <w:rsid w:val="00A8109A"/>
    <w:rsid w:val="00A81540"/>
    <w:rsid w:val="00A81B48"/>
    <w:rsid w:val="00A8227C"/>
    <w:rsid w:val="00A828F3"/>
    <w:rsid w:val="00A82A78"/>
    <w:rsid w:val="00A82CED"/>
    <w:rsid w:val="00A82E6E"/>
    <w:rsid w:val="00A83619"/>
    <w:rsid w:val="00A838F6"/>
    <w:rsid w:val="00A84915"/>
    <w:rsid w:val="00A84FC7"/>
    <w:rsid w:val="00A855F6"/>
    <w:rsid w:val="00A86CC6"/>
    <w:rsid w:val="00A87551"/>
    <w:rsid w:val="00A90655"/>
    <w:rsid w:val="00A90F3E"/>
    <w:rsid w:val="00A91356"/>
    <w:rsid w:val="00A915AD"/>
    <w:rsid w:val="00A91E4F"/>
    <w:rsid w:val="00A92906"/>
    <w:rsid w:val="00A92ACF"/>
    <w:rsid w:val="00A92B88"/>
    <w:rsid w:val="00A92B8F"/>
    <w:rsid w:val="00A932C1"/>
    <w:rsid w:val="00A9351C"/>
    <w:rsid w:val="00A9401E"/>
    <w:rsid w:val="00A944D5"/>
    <w:rsid w:val="00A94D0C"/>
    <w:rsid w:val="00A959D1"/>
    <w:rsid w:val="00A95D3D"/>
    <w:rsid w:val="00A9771E"/>
    <w:rsid w:val="00A97763"/>
    <w:rsid w:val="00A97984"/>
    <w:rsid w:val="00A97E01"/>
    <w:rsid w:val="00A97F68"/>
    <w:rsid w:val="00AA00B5"/>
    <w:rsid w:val="00AA0221"/>
    <w:rsid w:val="00AA08B8"/>
    <w:rsid w:val="00AA14DE"/>
    <w:rsid w:val="00AA18F7"/>
    <w:rsid w:val="00AA1AB8"/>
    <w:rsid w:val="00AA1CC1"/>
    <w:rsid w:val="00AA2423"/>
    <w:rsid w:val="00AA35CD"/>
    <w:rsid w:val="00AA3914"/>
    <w:rsid w:val="00AA3973"/>
    <w:rsid w:val="00AA44C5"/>
    <w:rsid w:val="00AA5CF3"/>
    <w:rsid w:val="00AA5D1B"/>
    <w:rsid w:val="00AA6499"/>
    <w:rsid w:val="00AA6735"/>
    <w:rsid w:val="00AA7404"/>
    <w:rsid w:val="00AA764A"/>
    <w:rsid w:val="00AA7F3C"/>
    <w:rsid w:val="00AB000A"/>
    <w:rsid w:val="00AB06E2"/>
    <w:rsid w:val="00AB0920"/>
    <w:rsid w:val="00AB095C"/>
    <w:rsid w:val="00AB15D9"/>
    <w:rsid w:val="00AB22AE"/>
    <w:rsid w:val="00AB25D2"/>
    <w:rsid w:val="00AB2F7F"/>
    <w:rsid w:val="00AB306D"/>
    <w:rsid w:val="00AB3727"/>
    <w:rsid w:val="00AB3E64"/>
    <w:rsid w:val="00AB3EAC"/>
    <w:rsid w:val="00AB3F3D"/>
    <w:rsid w:val="00AB4DF7"/>
    <w:rsid w:val="00AB53EF"/>
    <w:rsid w:val="00AB5895"/>
    <w:rsid w:val="00AB599E"/>
    <w:rsid w:val="00AB600A"/>
    <w:rsid w:val="00AB757D"/>
    <w:rsid w:val="00AB7DD8"/>
    <w:rsid w:val="00AC011D"/>
    <w:rsid w:val="00AC049E"/>
    <w:rsid w:val="00AC0C55"/>
    <w:rsid w:val="00AC1029"/>
    <w:rsid w:val="00AC12A5"/>
    <w:rsid w:val="00AC15AE"/>
    <w:rsid w:val="00AC178B"/>
    <w:rsid w:val="00AC1C6F"/>
    <w:rsid w:val="00AC2A75"/>
    <w:rsid w:val="00AC2ECA"/>
    <w:rsid w:val="00AC3115"/>
    <w:rsid w:val="00AC40B8"/>
    <w:rsid w:val="00AC48DC"/>
    <w:rsid w:val="00AC4B68"/>
    <w:rsid w:val="00AC5107"/>
    <w:rsid w:val="00AC55BD"/>
    <w:rsid w:val="00AC59CC"/>
    <w:rsid w:val="00AC5BCB"/>
    <w:rsid w:val="00AC6874"/>
    <w:rsid w:val="00AC6EFE"/>
    <w:rsid w:val="00AC732F"/>
    <w:rsid w:val="00AC7551"/>
    <w:rsid w:val="00AD16C0"/>
    <w:rsid w:val="00AD18C3"/>
    <w:rsid w:val="00AD20F7"/>
    <w:rsid w:val="00AD2195"/>
    <w:rsid w:val="00AD225E"/>
    <w:rsid w:val="00AD3BB0"/>
    <w:rsid w:val="00AD3CD5"/>
    <w:rsid w:val="00AD3CFD"/>
    <w:rsid w:val="00AD3DAA"/>
    <w:rsid w:val="00AD437E"/>
    <w:rsid w:val="00AD49E1"/>
    <w:rsid w:val="00AD4F2C"/>
    <w:rsid w:val="00AD5BD2"/>
    <w:rsid w:val="00AD5E3D"/>
    <w:rsid w:val="00AD61F2"/>
    <w:rsid w:val="00AD6A1C"/>
    <w:rsid w:val="00AD721E"/>
    <w:rsid w:val="00AD7426"/>
    <w:rsid w:val="00AE1418"/>
    <w:rsid w:val="00AE1661"/>
    <w:rsid w:val="00AE1B36"/>
    <w:rsid w:val="00AE1D8C"/>
    <w:rsid w:val="00AE2FC0"/>
    <w:rsid w:val="00AE4D50"/>
    <w:rsid w:val="00AE5050"/>
    <w:rsid w:val="00AE56F8"/>
    <w:rsid w:val="00AE5DFD"/>
    <w:rsid w:val="00AE7086"/>
    <w:rsid w:val="00AE741D"/>
    <w:rsid w:val="00AF02F2"/>
    <w:rsid w:val="00AF03F5"/>
    <w:rsid w:val="00AF0655"/>
    <w:rsid w:val="00AF0ACE"/>
    <w:rsid w:val="00AF192F"/>
    <w:rsid w:val="00AF1E70"/>
    <w:rsid w:val="00AF21B8"/>
    <w:rsid w:val="00AF237A"/>
    <w:rsid w:val="00AF2B67"/>
    <w:rsid w:val="00AF2BDC"/>
    <w:rsid w:val="00AF41FD"/>
    <w:rsid w:val="00AF47B9"/>
    <w:rsid w:val="00AF5349"/>
    <w:rsid w:val="00AF54F4"/>
    <w:rsid w:val="00AF5E0B"/>
    <w:rsid w:val="00AF5F11"/>
    <w:rsid w:val="00AF5F84"/>
    <w:rsid w:val="00AF5FAB"/>
    <w:rsid w:val="00AF625A"/>
    <w:rsid w:val="00B00689"/>
    <w:rsid w:val="00B006E3"/>
    <w:rsid w:val="00B00844"/>
    <w:rsid w:val="00B009A7"/>
    <w:rsid w:val="00B01070"/>
    <w:rsid w:val="00B01318"/>
    <w:rsid w:val="00B01423"/>
    <w:rsid w:val="00B036D2"/>
    <w:rsid w:val="00B03F54"/>
    <w:rsid w:val="00B04E53"/>
    <w:rsid w:val="00B05216"/>
    <w:rsid w:val="00B05B5D"/>
    <w:rsid w:val="00B05DDE"/>
    <w:rsid w:val="00B05E2A"/>
    <w:rsid w:val="00B06470"/>
    <w:rsid w:val="00B06B62"/>
    <w:rsid w:val="00B0720A"/>
    <w:rsid w:val="00B0737F"/>
    <w:rsid w:val="00B0780D"/>
    <w:rsid w:val="00B07EFE"/>
    <w:rsid w:val="00B106D1"/>
    <w:rsid w:val="00B11187"/>
    <w:rsid w:val="00B113B1"/>
    <w:rsid w:val="00B12412"/>
    <w:rsid w:val="00B130B3"/>
    <w:rsid w:val="00B13FC5"/>
    <w:rsid w:val="00B140A6"/>
    <w:rsid w:val="00B14388"/>
    <w:rsid w:val="00B1464B"/>
    <w:rsid w:val="00B147A2"/>
    <w:rsid w:val="00B14C3A"/>
    <w:rsid w:val="00B155A6"/>
    <w:rsid w:val="00B1599D"/>
    <w:rsid w:val="00B15D37"/>
    <w:rsid w:val="00B15D68"/>
    <w:rsid w:val="00B163A7"/>
    <w:rsid w:val="00B1660D"/>
    <w:rsid w:val="00B168AF"/>
    <w:rsid w:val="00B202F2"/>
    <w:rsid w:val="00B20F4B"/>
    <w:rsid w:val="00B21062"/>
    <w:rsid w:val="00B210CB"/>
    <w:rsid w:val="00B21161"/>
    <w:rsid w:val="00B2131E"/>
    <w:rsid w:val="00B21B98"/>
    <w:rsid w:val="00B21C21"/>
    <w:rsid w:val="00B21E41"/>
    <w:rsid w:val="00B21EB1"/>
    <w:rsid w:val="00B21FAA"/>
    <w:rsid w:val="00B220B8"/>
    <w:rsid w:val="00B22E27"/>
    <w:rsid w:val="00B232A7"/>
    <w:rsid w:val="00B23CAB"/>
    <w:rsid w:val="00B2404E"/>
    <w:rsid w:val="00B24BC9"/>
    <w:rsid w:val="00B24FB9"/>
    <w:rsid w:val="00B25033"/>
    <w:rsid w:val="00B25E15"/>
    <w:rsid w:val="00B25FB2"/>
    <w:rsid w:val="00B2611A"/>
    <w:rsid w:val="00B2635F"/>
    <w:rsid w:val="00B267F1"/>
    <w:rsid w:val="00B27407"/>
    <w:rsid w:val="00B27C39"/>
    <w:rsid w:val="00B27D69"/>
    <w:rsid w:val="00B30C42"/>
    <w:rsid w:val="00B3127A"/>
    <w:rsid w:val="00B31A4A"/>
    <w:rsid w:val="00B32808"/>
    <w:rsid w:val="00B32919"/>
    <w:rsid w:val="00B33966"/>
    <w:rsid w:val="00B33D66"/>
    <w:rsid w:val="00B34CF6"/>
    <w:rsid w:val="00B34D1C"/>
    <w:rsid w:val="00B3566E"/>
    <w:rsid w:val="00B35B6E"/>
    <w:rsid w:val="00B36A88"/>
    <w:rsid w:val="00B36D9D"/>
    <w:rsid w:val="00B37061"/>
    <w:rsid w:val="00B371C9"/>
    <w:rsid w:val="00B3728A"/>
    <w:rsid w:val="00B373CA"/>
    <w:rsid w:val="00B377E9"/>
    <w:rsid w:val="00B4014F"/>
    <w:rsid w:val="00B40163"/>
    <w:rsid w:val="00B40A07"/>
    <w:rsid w:val="00B41242"/>
    <w:rsid w:val="00B42380"/>
    <w:rsid w:val="00B4303E"/>
    <w:rsid w:val="00B43516"/>
    <w:rsid w:val="00B43D2C"/>
    <w:rsid w:val="00B43FA6"/>
    <w:rsid w:val="00B45289"/>
    <w:rsid w:val="00B454E1"/>
    <w:rsid w:val="00B45960"/>
    <w:rsid w:val="00B45EC0"/>
    <w:rsid w:val="00B460AA"/>
    <w:rsid w:val="00B469AB"/>
    <w:rsid w:val="00B47707"/>
    <w:rsid w:val="00B47BDB"/>
    <w:rsid w:val="00B47C36"/>
    <w:rsid w:val="00B47C98"/>
    <w:rsid w:val="00B50355"/>
    <w:rsid w:val="00B50396"/>
    <w:rsid w:val="00B50771"/>
    <w:rsid w:val="00B514ED"/>
    <w:rsid w:val="00B51519"/>
    <w:rsid w:val="00B51EF9"/>
    <w:rsid w:val="00B529C1"/>
    <w:rsid w:val="00B5374C"/>
    <w:rsid w:val="00B53828"/>
    <w:rsid w:val="00B53916"/>
    <w:rsid w:val="00B53948"/>
    <w:rsid w:val="00B54B35"/>
    <w:rsid w:val="00B551FF"/>
    <w:rsid w:val="00B55239"/>
    <w:rsid w:val="00B55440"/>
    <w:rsid w:val="00B55E28"/>
    <w:rsid w:val="00B5697E"/>
    <w:rsid w:val="00B56988"/>
    <w:rsid w:val="00B57BCD"/>
    <w:rsid w:val="00B57E9A"/>
    <w:rsid w:val="00B60027"/>
    <w:rsid w:val="00B60056"/>
    <w:rsid w:val="00B6078C"/>
    <w:rsid w:val="00B60AF7"/>
    <w:rsid w:val="00B60C96"/>
    <w:rsid w:val="00B610FC"/>
    <w:rsid w:val="00B6140E"/>
    <w:rsid w:val="00B61637"/>
    <w:rsid w:val="00B61814"/>
    <w:rsid w:val="00B619B9"/>
    <w:rsid w:val="00B61AEA"/>
    <w:rsid w:val="00B62409"/>
    <w:rsid w:val="00B62B00"/>
    <w:rsid w:val="00B62BE5"/>
    <w:rsid w:val="00B636EE"/>
    <w:rsid w:val="00B63DFA"/>
    <w:rsid w:val="00B643D9"/>
    <w:rsid w:val="00B64E9A"/>
    <w:rsid w:val="00B65277"/>
    <w:rsid w:val="00B657AB"/>
    <w:rsid w:val="00B65BB4"/>
    <w:rsid w:val="00B66B15"/>
    <w:rsid w:val="00B6738E"/>
    <w:rsid w:val="00B675FA"/>
    <w:rsid w:val="00B67A70"/>
    <w:rsid w:val="00B67AD8"/>
    <w:rsid w:val="00B67DB6"/>
    <w:rsid w:val="00B70C5E"/>
    <w:rsid w:val="00B71731"/>
    <w:rsid w:val="00B7187D"/>
    <w:rsid w:val="00B71AA3"/>
    <w:rsid w:val="00B71ED7"/>
    <w:rsid w:val="00B7240E"/>
    <w:rsid w:val="00B72B21"/>
    <w:rsid w:val="00B72D93"/>
    <w:rsid w:val="00B72F6D"/>
    <w:rsid w:val="00B734FA"/>
    <w:rsid w:val="00B737C2"/>
    <w:rsid w:val="00B7407F"/>
    <w:rsid w:val="00B74186"/>
    <w:rsid w:val="00B748D5"/>
    <w:rsid w:val="00B75D19"/>
    <w:rsid w:val="00B763A3"/>
    <w:rsid w:val="00B771B9"/>
    <w:rsid w:val="00B77866"/>
    <w:rsid w:val="00B7792F"/>
    <w:rsid w:val="00B77B1F"/>
    <w:rsid w:val="00B80029"/>
    <w:rsid w:val="00B80060"/>
    <w:rsid w:val="00B8103C"/>
    <w:rsid w:val="00B8110E"/>
    <w:rsid w:val="00B81184"/>
    <w:rsid w:val="00B81AFE"/>
    <w:rsid w:val="00B82284"/>
    <w:rsid w:val="00B82657"/>
    <w:rsid w:val="00B82C2D"/>
    <w:rsid w:val="00B833A1"/>
    <w:rsid w:val="00B837E8"/>
    <w:rsid w:val="00B83AF2"/>
    <w:rsid w:val="00B85134"/>
    <w:rsid w:val="00B860FF"/>
    <w:rsid w:val="00B8730E"/>
    <w:rsid w:val="00B87398"/>
    <w:rsid w:val="00B90245"/>
    <w:rsid w:val="00B9042B"/>
    <w:rsid w:val="00B90DEB"/>
    <w:rsid w:val="00B90E9F"/>
    <w:rsid w:val="00B9121A"/>
    <w:rsid w:val="00B913DD"/>
    <w:rsid w:val="00B9185D"/>
    <w:rsid w:val="00B91A64"/>
    <w:rsid w:val="00B92763"/>
    <w:rsid w:val="00B927CA"/>
    <w:rsid w:val="00B92C67"/>
    <w:rsid w:val="00B943CF"/>
    <w:rsid w:val="00B94885"/>
    <w:rsid w:val="00B94F3B"/>
    <w:rsid w:val="00B95CC1"/>
    <w:rsid w:val="00B95DB3"/>
    <w:rsid w:val="00B96888"/>
    <w:rsid w:val="00B96E31"/>
    <w:rsid w:val="00B971A2"/>
    <w:rsid w:val="00BA0437"/>
    <w:rsid w:val="00BA091D"/>
    <w:rsid w:val="00BA0EBC"/>
    <w:rsid w:val="00BA157F"/>
    <w:rsid w:val="00BA1A21"/>
    <w:rsid w:val="00BA1B1E"/>
    <w:rsid w:val="00BA1E4D"/>
    <w:rsid w:val="00BA203C"/>
    <w:rsid w:val="00BA53C2"/>
    <w:rsid w:val="00BA5475"/>
    <w:rsid w:val="00BA558E"/>
    <w:rsid w:val="00BA5840"/>
    <w:rsid w:val="00BA5F79"/>
    <w:rsid w:val="00BA75A3"/>
    <w:rsid w:val="00BA7D51"/>
    <w:rsid w:val="00BB013C"/>
    <w:rsid w:val="00BB0B09"/>
    <w:rsid w:val="00BB0B32"/>
    <w:rsid w:val="00BB0BCB"/>
    <w:rsid w:val="00BB1303"/>
    <w:rsid w:val="00BB1459"/>
    <w:rsid w:val="00BB1514"/>
    <w:rsid w:val="00BB2A9E"/>
    <w:rsid w:val="00BB2FEE"/>
    <w:rsid w:val="00BB360C"/>
    <w:rsid w:val="00BB3791"/>
    <w:rsid w:val="00BB3964"/>
    <w:rsid w:val="00BB3BBF"/>
    <w:rsid w:val="00BB41A8"/>
    <w:rsid w:val="00BB45DD"/>
    <w:rsid w:val="00BB4BF7"/>
    <w:rsid w:val="00BB4EDF"/>
    <w:rsid w:val="00BB509C"/>
    <w:rsid w:val="00BB5353"/>
    <w:rsid w:val="00BB62F4"/>
    <w:rsid w:val="00BB6EA5"/>
    <w:rsid w:val="00BB6FB5"/>
    <w:rsid w:val="00BB7745"/>
    <w:rsid w:val="00BC0272"/>
    <w:rsid w:val="00BC05AD"/>
    <w:rsid w:val="00BC05E2"/>
    <w:rsid w:val="00BC063A"/>
    <w:rsid w:val="00BC0805"/>
    <w:rsid w:val="00BC0DC5"/>
    <w:rsid w:val="00BC0DD5"/>
    <w:rsid w:val="00BC17FA"/>
    <w:rsid w:val="00BC33F3"/>
    <w:rsid w:val="00BC3DEE"/>
    <w:rsid w:val="00BC3F03"/>
    <w:rsid w:val="00BC42F2"/>
    <w:rsid w:val="00BC47E7"/>
    <w:rsid w:val="00BC484B"/>
    <w:rsid w:val="00BC5256"/>
    <w:rsid w:val="00BC551D"/>
    <w:rsid w:val="00BC5E6C"/>
    <w:rsid w:val="00BC718E"/>
    <w:rsid w:val="00BC733D"/>
    <w:rsid w:val="00BC7370"/>
    <w:rsid w:val="00BC79EF"/>
    <w:rsid w:val="00BD0200"/>
    <w:rsid w:val="00BD021D"/>
    <w:rsid w:val="00BD0639"/>
    <w:rsid w:val="00BD1779"/>
    <w:rsid w:val="00BD231E"/>
    <w:rsid w:val="00BD2452"/>
    <w:rsid w:val="00BD2648"/>
    <w:rsid w:val="00BD2986"/>
    <w:rsid w:val="00BD45EF"/>
    <w:rsid w:val="00BD49EA"/>
    <w:rsid w:val="00BD5161"/>
    <w:rsid w:val="00BD6185"/>
    <w:rsid w:val="00BD620D"/>
    <w:rsid w:val="00BD6345"/>
    <w:rsid w:val="00BD63B9"/>
    <w:rsid w:val="00BD67E7"/>
    <w:rsid w:val="00BD69A1"/>
    <w:rsid w:val="00BD73C8"/>
    <w:rsid w:val="00BD7C08"/>
    <w:rsid w:val="00BE01BE"/>
    <w:rsid w:val="00BE1406"/>
    <w:rsid w:val="00BE1496"/>
    <w:rsid w:val="00BE1F86"/>
    <w:rsid w:val="00BE2DD6"/>
    <w:rsid w:val="00BE3936"/>
    <w:rsid w:val="00BE402A"/>
    <w:rsid w:val="00BE407E"/>
    <w:rsid w:val="00BE42AB"/>
    <w:rsid w:val="00BE46D0"/>
    <w:rsid w:val="00BE4B77"/>
    <w:rsid w:val="00BE5F74"/>
    <w:rsid w:val="00BE6407"/>
    <w:rsid w:val="00BE66F1"/>
    <w:rsid w:val="00BE68A7"/>
    <w:rsid w:val="00BE777E"/>
    <w:rsid w:val="00BF04A1"/>
    <w:rsid w:val="00BF088F"/>
    <w:rsid w:val="00BF1D92"/>
    <w:rsid w:val="00BF1EFF"/>
    <w:rsid w:val="00BF1F35"/>
    <w:rsid w:val="00BF2E2F"/>
    <w:rsid w:val="00BF3327"/>
    <w:rsid w:val="00BF3658"/>
    <w:rsid w:val="00BF3724"/>
    <w:rsid w:val="00BF3ADE"/>
    <w:rsid w:val="00BF417C"/>
    <w:rsid w:val="00BF4569"/>
    <w:rsid w:val="00BF497C"/>
    <w:rsid w:val="00BF4EDE"/>
    <w:rsid w:val="00BF4FC0"/>
    <w:rsid w:val="00BF5274"/>
    <w:rsid w:val="00BF527E"/>
    <w:rsid w:val="00BF536D"/>
    <w:rsid w:val="00BF56CD"/>
    <w:rsid w:val="00BF59EA"/>
    <w:rsid w:val="00BF5DAE"/>
    <w:rsid w:val="00BF61D2"/>
    <w:rsid w:val="00BF6373"/>
    <w:rsid w:val="00BF67DE"/>
    <w:rsid w:val="00BF75C4"/>
    <w:rsid w:val="00BF7699"/>
    <w:rsid w:val="00C00483"/>
    <w:rsid w:val="00C0337A"/>
    <w:rsid w:val="00C0359C"/>
    <w:rsid w:val="00C037D9"/>
    <w:rsid w:val="00C03CE5"/>
    <w:rsid w:val="00C03EE8"/>
    <w:rsid w:val="00C0407C"/>
    <w:rsid w:val="00C04247"/>
    <w:rsid w:val="00C0534F"/>
    <w:rsid w:val="00C0616C"/>
    <w:rsid w:val="00C066EB"/>
    <w:rsid w:val="00C06927"/>
    <w:rsid w:val="00C0759A"/>
    <w:rsid w:val="00C07765"/>
    <w:rsid w:val="00C07DC8"/>
    <w:rsid w:val="00C07E18"/>
    <w:rsid w:val="00C07FFD"/>
    <w:rsid w:val="00C1104F"/>
    <w:rsid w:val="00C111EC"/>
    <w:rsid w:val="00C11DF0"/>
    <w:rsid w:val="00C121BA"/>
    <w:rsid w:val="00C12C23"/>
    <w:rsid w:val="00C13302"/>
    <w:rsid w:val="00C134AD"/>
    <w:rsid w:val="00C13DB3"/>
    <w:rsid w:val="00C13F3F"/>
    <w:rsid w:val="00C147A8"/>
    <w:rsid w:val="00C155B9"/>
    <w:rsid w:val="00C15DEA"/>
    <w:rsid w:val="00C15F53"/>
    <w:rsid w:val="00C1629F"/>
    <w:rsid w:val="00C163B7"/>
    <w:rsid w:val="00C16505"/>
    <w:rsid w:val="00C1674F"/>
    <w:rsid w:val="00C16BD6"/>
    <w:rsid w:val="00C173AC"/>
    <w:rsid w:val="00C1789F"/>
    <w:rsid w:val="00C17BE7"/>
    <w:rsid w:val="00C2069F"/>
    <w:rsid w:val="00C21001"/>
    <w:rsid w:val="00C21460"/>
    <w:rsid w:val="00C2159F"/>
    <w:rsid w:val="00C222A5"/>
    <w:rsid w:val="00C22471"/>
    <w:rsid w:val="00C22BD3"/>
    <w:rsid w:val="00C22FB7"/>
    <w:rsid w:val="00C2344B"/>
    <w:rsid w:val="00C241FC"/>
    <w:rsid w:val="00C24B1E"/>
    <w:rsid w:val="00C266AA"/>
    <w:rsid w:val="00C26B64"/>
    <w:rsid w:val="00C26C0A"/>
    <w:rsid w:val="00C27057"/>
    <w:rsid w:val="00C27441"/>
    <w:rsid w:val="00C27FE9"/>
    <w:rsid w:val="00C30D6E"/>
    <w:rsid w:val="00C30FFA"/>
    <w:rsid w:val="00C31ADF"/>
    <w:rsid w:val="00C31B59"/>
    <w:rsid w:val="00C31CAB"/>
    <w:rsid w:val="00C3251B"/>
    <w:rsid w:val="00C3373E"/>
    <w:rsid w:val="00C33772"/>
    <w:rsid w:val="00C33841"/>
    <w:rsid w:val="00C33941"/>
    <w:rsid w:val="00C3451F"/>
    <w:rsid w:val="00C35711"/>
    <w:rsid w:val="00C35CF5"/>
    <w:rsid w:val="00C36B5C"/>
    <w:rsid w:val="00C37AD7"/>
    <w:rsid w:val="00C37F93"/>
    <w:rsid w:val="00C4034F"/>
    <w:rsid w:val="00C40840"/>
    <w:rsid w:val="00C40A82"/>
    <w:rsid w:val="00C4139E"/>
    <w:rsid w:val="00C413E9"/>
    <w:rsid w:val="00C415B3"/>
    <w:rsid w:val="00C41937"/>
    <w:rsid w:val="00C41F28"/>
    <w:rsid w:val="00C42028"/>
    <w:rsid w:val="00C43303"/>
    <w:rsid w:val="00C433BE"/>
    <w:rsid w:val="00C43CFF"/>
    <w:rsid w:val="00C4597A"/>
    <w:rsid w:val="00C46346"/>
    <w:rsid w:val="00C46482"/>
    <w:rsid w:val="00C471BA"/>
    <w:rsid w:val="00C476FF"/>
    <w:rsid w:val="00C47F0D"/>
    <w:rsid w:val="00C5046D"/>
    <w:rsid w:val="00C50C1F"/>
    <w:rsid w:val="00C50F67"/>
    <w:rsid w:val="00C51079"/>
    <w:rsid w:val="00C51467"/>
    <w:rsid w:val="00C5178A"/>
    <w:rsid w:val="00C52A03"/>
    <w:rsid w:val="00C53A60"/>
    <w:rsid w:val="00C543FF"/>
    <w:rsid w:val="00C5452C"/>
    <w:rsid w:val="00C547FD"/>
    <w:rsid w:val="00C5535F"/>
    <w:rsid w:val="00C55421"/>
    <w:rsid w:val="00C56121"/>
    <w:rsid w:val="00C56DA1"/>
    <w:rsid w:val="00C573B3"/>
    <w:rsid w:val="00C57462"/>
    <w:rsid w:val="00C57953"/>
    <w:rsid w:val="00C60542"/>
    <w:rsid w:val="00C61294"/>
    <w:rsid w:val="00C6132C"/>
    <w:rsid w:val="00C61A73"/>
    <w:rsid w:val="00C61F9B"/>
    <w:rsid w:val="00C63AF5"/>
    <w:rsid w:val="00C63BE7"/>
    <w:rsid w:val="00C63C47"/>
    <w:rsid w:val="00C644B4"/>
    <w:rsid w:val="00C65C12"/>
    <w:rsid w:val="00C664E1"/>
    <w:rsid w:val="00C67459"/>
    <w:rsid w:val="00C67833"/>
    <w:rsid w:val="00C67E6D"/>
    <w:rsid w:val="00C70673"/>
    <w:rsid w:val="00C70A59"/>
    <w:rsid w:val="00C70D21"/>
    <w:rsid w:val="00C7113C"/>
    <w:rsid w:val="00C711D3"/>
    <w:rsid w:val="00C71514"/>
    <w:rsid w:val="00C717A1"/>
    <w:rsid w:val="00C719DB"/>
    <w:rsid w:val="00C7226E"/>
    <w:rsid w:val="00C723CF"/>
    <w:rsid w:val="00C724DE"/>
    <w:rsid w:val="00C72AE5"/>
    <w:rsid w:val="00C73576"/>
    <w:rsid w:val="00C741F3"/>
    <w:rsid w:val="00C747A6"/>
    <w:rsid w:val="00C754FC"/>
    <w:rsid w:val="00C77141"/>
    <w:rsid w:val="00C77515"/>
    <w:rsid w:val="00C7799B"/>
    <w:rsid w:val="00C807EE"/>
    <w:rsid w:val="00C80BD9"/>
    <w:rsid w:val="00C8125C"/>
    <w:rsid w:val="00C81FDD"/>
    <w:rsid w:val="00C8225E"/>
    <w:rsid w:val="00C82D72"/>
    <w:rsid w:val="00C8361B"/>
    <w:rsid w:val="00C83917"/>
    <w:rsid w:val="00C83E08"/>
    <w:rsid w:val="00C8464F"/>
    <w:rsid w:val="00C848BF"/>
    <w:rsid w:val="00C85B52"/>
    <w:rsid w:val="00C8672F"/>
    <w:rsid w:val="00C86989"/>
    <w:rsid w:val="00C86D21"/>
    <w:rsid w:val="00C8740B"/>
    <w:rsid w:val="00C87A79"/>
    <w:rsid w:val="00C90A6C"/>
    <w:rsid w:val="00C91273"/>
    <w:rsid w:val="00C912B6"/>
    <w:rsid w:val="00C91356"/>
    <w:rsid w:val="00C915CC"/>
    <w:rsid w:val="00C91E4E"/>
    <w:rsid w:val="00C92CD0"/>
    <w:rsid w:val="00C9324E"/>
    <w:rsid w:val="00C94333"/>
    <w:rsid w:val="00C945C7"/>
    <w:rsid w:val="00C946A9"/>
    <w:rsid w:val="00C94E65"/>
    <w:rsid w:val="00C94FD6"/>
    <w:rsid w:val="00C94FF5"/>
    <w:rsid w:val="00C95716"/>
    <w:rsid w:val="00C9601F"/>
    <w:rsid w:val="00C96B98"/>
    <w:rsid w:val="00C97214"/>
    <w:rsid w:val="00C97852"/>
    <w:rsid w:val="00C97B50"/>
    <w:rsid w:val="00C97BB1"/>
    <w:rsid w:val="00CA0220"/>
    <w:rsid w:val="00CA024E"/>
    <w:rsid w:val="00CA04AF"/>
    <w:rsid w:val="00CA05E8"/>
    <w:rsid w:val="00CA072F"/>
    <w:rsid w:val="00CA07D1"/>
    <w:rsid w:val="00CA07F8"/>
    <w:rsid w:val="00CA0881"/>
    <w:rsid w:val="00CA096E"/>
    <w:rsid w:val="00CA1981"/>
    <w:rsid w:val="00CA1B71"/>
    <w:rsid w:val="00CA249E"/>
    <w:rsid w:val="00CA2814"/>
    <w:rsid w:val="00CA2A38"/>
    <w:rsid w:val="00CA2BC8"/>
    <w:rsid w:val="00CA3969"/>
    <w:rsid w:val="00CA3D66"/>
    <w:rsid w:val="00CA4EE3"/>
    <w:rsid w:val="00CA5B7E"/>
    <w:rsid w:val="00CA5FEF"/>
    <w:rsid w:val="00CA618B"/>
    <w:rsid w:val="00CA6211"/>
    <w:rsid w:val="00CA64A4"/>
    <w:rsid w:val="00CA67C7"/>
    <w:rsid w:val="00CA6C15"/>
    <w:rsid w:val="00CA7798"/>
    <w:rsid w:val="00CA7B7F"/>
    <w:rsid w:val="00CA7BE0"/>
    <w:rsid w:val="00CB085E"/>
    <w:rsid w:val="00CB0AF7"/>
    <w:rsid w:val="00CB222D"/>
    <w:rsid w:val="00CB28D4"/>
    <w:rsid w:val="00CB2E41"/>
    <w:rsid w:val="00CB3988"/>
    <w:rsid w:val="00CB3BDD"/>
    <w:rsid w:val="00CB4158"/>
    <w:rsid w:val="00CB420D"/>
    <w:rsid w:val="00CB4243"/>
    <w:rsid w:val="00CB4675"/>
    <w:rsid w:val="00CB47AF"/>
    <w:rsid w:val="00CB4AD3"/>
    <w:rsid w:val="00CB5E58"/>
    <w:rsid w:val="00CB5E74"/>
    <w:rsid w:val="00CB671A"/>
    <w:rsid w:val="00CB696B"/>
    <w:rsid w:val="00CB6A98"/>
    <w:rsid w:val="00CB71B9"/>
    <w:rsid w:val="00CB746C"/>
    <w:rsid w:val="00CB7ED4"/>
    <w:rsid w:val="00CC0055"/>
    <w:rsid w:val="00CC0A13"/>
    <w:rsid w:val="00CC1CAB"/>
    <w:rsid w:val="00CC1F82"/>
    <w:rsid w:val="00CC22E3"/>
    <w:rsid w:val="00CC2733"/>
    <w:rsid w:val="00CC2792"/>
    <w:rsid w:val="00CC3255"/>
    <w:rsid w:val="00CC3B2A"/>
    <w:rsid w:val="00CC426A"/>
    <w:rsid w:val="00CC4304"/>
    <w:rsid w:val="00CC4FB2"/>
    <w:rsid w:val="00CC50D9"/>
    <w:rsid w:val="00CC5423"/>
    <w:rsid w:val="00CC56A7"/>
    <w:rsid w:val="00CC6061"/>
    <w:rsid w:val="00CC7119"/>
    <w:rsid w:val="00CC72BB"/>
    <w:rsid w:val="00CC7577"/>
    <w:rsid w:val="00CC762A"/>
    <w:rsid w:val="00CC7714"/>
    <w:rsid w:val="00CC7A5B"/>
    <w:rsid w:val="00CC7B0E"/>
    <w:rsid w:val="00CC7D91"/>
    <w:rsid w:val="00CC7ED6"/>
    <w:rsid w:val="00CD0600"/>
    <w:rsid w:val="00CD0A30"/>
    <w:rsid w:val="00CD0A35"/>
    <w:rsid w:val="00CD0CF8"/>
    <w:rsid w:val="00CD105A"/>
    <w:rsid w:val="00CD115D"/>
    <w:rsid w:val="00CD2104"/>
    <w:rsid w:val="00CD221C"/>
    <w:rsid w:val="00CD25AF"/>
    <w:rsid w:val="00CD2A23"/>
    <w:rsid w:val="00CD32B9"/>
    <w:rsid w:val="00CD3BB7"/>
    <w:rsid w:val="00CD43F1"/>
    <w:rsid w:val="00CD509B"/>
    <w:rsid w:val="00CD562C"/>
    <w:rsid w:val="00CD62E4"/>
    <w:rsid w:val="00CD7013"/>
    <w:rsid w:val="00CD7245"/>
    <w:rsid w:val="00CE0065"/>
    <w:rsid w:val="00CE00A5"/>
    <w:rsid w:val="00CE1183"/>
    <w:rsid w:val="00CE1603"/>
    <w:rsid w:val="00CE16F4"/>
    <w:rsid w:val="00CE203C"/>
    <w:rsid w:val="00CE24B3"/>
    <w:rsid w:val="00CE2C4A"/>
    <w:rsid w:val="00CE2ED5"/>
    <w:rsid w:val="00CE4D4B"/>
    <w:rsid w:val="00CE5506"/>
    <w:rsid w:val="00CE55A1"/>
    <w:rsid w:val="00CE5970"/>
    <w:rsid w:val="00CE5CDA"/>
    <w:rsid w:val="00CE6413"/>
    <w:rsid w:val="00CE744D"/>
    <w:rsid w:val="00CE7845"/>
    <w:rsid w:val="00CF0E17"/>
    <w:rsid w:val="00CF1250"/>
    <w:rsid w:val="00CF12F8"/>
    <w:rsid w:val="00CF15A7"/>
    <w:rsid w:val="00CF2B85"/>
    <w:rsid w:val="00CF3030"/>
    <w:rsid w:val="00CF3107"/>
    <w:rsid w:val="00CF3B76"/>
    <w:rsid w:val="00CF4B4C"/>
    <w:rsid w:val="00CF4DA3"/>
    <w:rsid w:val="00CF507E"/>
    <w:rsid w:val="00CF5115"/>
    <w:rsid w:val="00CF671D"/>
    <w:rsid w:val="00CF6BD0"/>
    <w:rsid w:val="00CF6CB4"/>
    <w:rsid w:val="00CF79DF"/>
    <w:rsid w:val="00D0063E"/>
    <w:rsid w:val="00D00770"/>
    <w:rsid w:val="00D012A2"/>
    <w:rsid w:val="00D01363"/>
    <w:rsid w:val="00D01B48"/>
    <w:rsid w:val="00D02461"/>
    <w:rsid w:val="00D0362F"/>
    <w:rsid w:val="00D03C68"/>
    <w:rsid w:val="00D03F32"/>
    <w:rsid w:val="00D0416D"/>
    <w:rsid w:val="00D04407"/>
    <w:rsid w:val="00D046CB"/>
    <w:rsid w:val="00D05787"/>
    <w:rsid w:val="00D05D4E"/>
    <w:rsid w:val="00D05DB2"/>
    <w:rsid w:val="00D0601B"/>
    <w:rsid w:val="00D066CC"/>
    <w:rsid w:val="00D06EFB"/>
    <w:rsid w:val="00D06FFE"/>
    <w:rsid w:val="00D073E8"/>
    <w:rsid w:val="00D07AEB"/>
    <w:rsid w:val="00D07F4B"/>
    <w:rsid w:val="00D10B8C"/>
    <w:rsid w:val="00D11301"/>
    <w:rsid w:val="00D11409"/>
    <w:rsid w:val="00D11BB5"/>
    <w:rsid w:val="00D12721"/>
    <w:rsid w:val="00D127CC"/>
    <w:rsid w:val="00D12C31"/>
    <w:rsid w:val="00D1315E"/>
    <w:rsid w:val="00D1345E"/>
    <w:rsid w:val="00D13FF0"/>
    <w:rsid w:val="00D15B0D"/>
    <w:rsid w:val="00D15D7A"/>
    <w:rsid w:val="00D15E25"/>
    <w:rsid w:val="00D201E3"/>
    <w:rsid w:val="00D209EF"/>
    <w:rsid w:val="00D21B35"/>
    <w:rsid w:val="00D21FA4"/>
    <w:rsid w:val="00D221A3"/>
    <w:rsid w:val="00D221F7"/>
    <w:rsid w:val="00D2230E"/>
    <w:rsid w:val="00D22914"/>
    <w:rsid w:val="00D24424"/>
    <w:rsid w:val="00D25537"/>
    <w:rsid w:val="00D25A98"/>
    <w:rsid w:val="00D271DA"/>
    <w:rsid w:val="00D27274"/>
    <w:rsid w:val="00D27461"/>
    <w:rsid w:val="00D27660"/>
    <w:rsid w:val="00D27BBE"/>
    <w:rsid w:val="00D312B0"/>
    <w:rsid w:val="00D31C83"/>
    <w:rsid w:val="00D32407"/>
    <w:rsid w:val="00D32BFA"/>
    <w:rsid w:val="00D33248"/>
    <w:rsid w:val="00D3351C"/>
    <w:rsid w:val="00D34264"/>
    <w:rsid w:val="00D346B9"/>
    <w:rsid w:val="00D34B42"/>
    <w:rsid w:val="00D3569C"/>
    <w:rsid w:val="00D3589E"/>
    <w:rsid w:val="00D3595E"/>
    <w:rsid w:val="00D370AA"/>
    <w:rsid w:val="00D37534"/>
    <w:rsid w:val="00D37931"/>
    <w:rsid w:val="00D4014A"/>
    <w:rsid w:val="00D407AE"/>
    <w:rsid w:val="00D40939"/>
    <w:rsid w:val="00D40EA8"/>
    <w:rsid w:val="00D41103"/>
    <w:rsid w:val="00D41153"/>
    <w:rsid w:val="00D41709"/>
    <w:rsid w:val="00D42046"/>
    <w:rsid w:val="00D429A2"/>
    <w:rsid w:val="00D43216"/>
    <w:rsid w:val="00D440F8"/>
    <w:rsid w:val="00D44468"/>
    <w:rsid w:val="00D452EC"/>
    <w:rsid w:val="00D454A1"/>
    <w:rsid w:val="00D456D3"/>
    <w:rsid w:val="00D4583C"/>
    <w:rsid w:val="00D45D68"/>
    <w:rsid w:val="00D4612A"/>
    <w:rsid w:val="00D46417"/>
    <w:rsid w:val="00D47382"/>
    <w:rsid w:val="00D47963"/>
    <w:rsid w:val="00D47FBE"/>
    <w:rsid w:val="00D5032E"/>
    <w:rsid w:val="00D51341"/>
    <w:rsid w:val="00D51D1A"/>
    <w:rsid w:val="00D52933"/>
    <w:rsid w:val="00D53421"/>
    <w:rsid w:val="00D53472"/>
    <w:rsid w:val="00D53C03"/>
    <w:rsid w:val="00D53E47"/>
    <w:rsid w:val="00D54867"/>
    <w:rsid w:val="00D549C2"/>
    <w:rsid w:val="00D5500C"/>
    <w:rsid w:val="00D550B0"/>
    <w:rsid w:val="00D557E9"/>
    <w:rsid w:val="00D55B80"/>
    <w:rsid w:val="00D56202"/>
    <w:rsid w:val="00D5645D"/>
    <w:rsid w:val="00D56F1C"/>
    <w:rsid w:val="00D570A8"/>
    <w:rsid w:val="00D57DB5"/>
    <w:rsid w:val="00D57FC2"/>
    <w:rsid w:val="00D60C94"/>
    <w:rsid w:val="00D61429"/>
    <w:rsid w:val="00D61555"/>
    <w:rsid w:val="00D61628"/>
    <w:rsid w:val="00D61A31"/>
    <w:rsid w:val="00D62254"/>
    <w:rsid w:val="00D6233F"/>
    <w:rsid w:val="00D6256B"/>
    <w:rsid w:val="00D62A5A"/>
    <w:rsid w:val="00D62F9A"/>
    <w:rsid w:val="00D6315A"/>
    <w:rsid w:val="00D631DD"/>
    <w:rsid w:val="00D6350B"/>
    <w:rsid w:val="00D64270"/>
    <w:rsid w:val="00D64B5F"/>
    <w:rsid w:val="00D64B93"/>
    <w:rsid w:val="00D64C7C"/>
    <w:rsid w:val="00D652B1"/>
    <w:rsid w:val="00D65635"/>
    <w:rsid w:val="00D65729"/>
    <w:rsid w:val="00D65CAD"/>
    <w:rsid w:val="00D660F8"/>
    <w:rsid w:val="00D66369"/>
    <w:rsid w:val="00D6712C"/>
    <w:rsid w:val="00D67186"/>
    <w:rsid w:val="00D67516"/>
    <w:rsid w:val="00D67748"/>
    <w:rsid w:val="00D6795E"/>
    <w:rsid w:val="00D67D4A"/>
    <w:rsid w:val="00D67F7D"/>
    <w:rsid w:val="00D700B7"/>
    <w:rsid w:val="00D70438"/>
    <w:rsid w:val="00D71193"/>
    <w:rsid w:val="00D717C5"/>
    <w:rsid w:val="00D71808"/>
    <w:rsid w:val="00D71CE0"/>
    <w:rsid w:val="00D727BA"/>
    <w:rsid w:val="00D72F57"/>
    <w:rsid w:val="00D7305B"/>
    <w:rsid w:val="00D7312E"/>
    <w:rsid w:val="00D7385A"/>
    <w:rsid w:val="00D73DA7"/>
    <w:rsid w:val="00D742A8"/>
    <w:rsid w:val="00D76739"/>
    <w:rsid w:val="00D768BD"/>
    <w:rsid w:val="00D76D7E"/>
    <w:rsid w:val="00D802C4"/>
    <w:rsid w:val="00D803CE"/>
    <w:rsid w:val="00D817F4"/>
    <w:rsid w:val="00D81B42"/>
    <w:rsid w:val="00D81CB2"/>
    <w:rsid w:val="00D82231"/>
    <w:rsid w:val="00D8291E"/>
    <w:rsid w:val="00D82A4C"/>
    <w:rsid w:val="00D83642"/>
    <w:rsid w:val="00D836F3"/>
    <w:rsid w:val="00D83A6D"/>
    <w:rsid w:val="00D83AA1"/>
    <w:rsid w:val="00D84697"/>
    <w:rsid w:val="00D846F3"/>
    <w:rsid w:val="00D84991"/>
    <w:rsid w:val="00D85134"/>
    <w:rsid w:val="00D85936"/>
    <w:rsid w:val="00D85A6A"/>
    <w:rsid w:val="00D85AE4"/>
    <w:rsid w:val="00D85FAE"/>
    <w:rsid w:val="00D86808"/>
    <w:rsid w:val="00D86A08"/>
    <w:rsid w:val="00D8780E"/>
    <w:rsid w:val="00D87AF2"/>
    <w:rsid w:val="00D906A2"/>
    <w:rsid w:val="00D90C75"/>
    <w:rsid w:val="00D90D88"/>
    <w:rsid w:val="00D9106D"/>
    <w:rsid w:val="00D914CF"/>
    <w:rsid w:val="00D91558"/>
    <w:rsid w:val="00D92340"/>
    <w:rsid w:val="00D927E9"/>
    <w:rsid w:val="00D928BB"/>
    <w:rsid w:val="00D92A43"/>
    <w:rsid w:val="00D92B50"/>
    <w:rsid w:val="00D936EC"/>
    <w:rsid w:val="00D94FD7"/>
    <w:rsid w:val="00D94FF2"/>
    <w:rsid w:val="00D9536A"/>
    <w:rsid w:val="00D95A31"/>
    <w:rsid w:val="00D96692"/>
    <w:rsid w:val="00D96B35"/>
    <w:rsid w:val="00D96E84"/>
    <w:rsid w:val="00DA056B"/>
    <w:rsid w:val="00DA06EA"/>
    <w:rsid w:val="00DA0F27"/>
    <w:rsid w:val="00DA1949"/>
    <w:rsid w:val="00DA20A9"/>
    <w:rsid w:val="00DA2358"/>
    <w:rsid w:val="00DA2BDB"/>
    <w:rsid w:val="00DA2C38"/>
    <w:rsid w:val="00DA3A60"/>
    <w:rsid w:val="00DA3B32"/>
    <w:rsid w:val="00DA4508"/>
    <w:rsid w:val="00DA4D99"/>
    <w:rsid w:val="00DA502D"/>
    <w:rsid w:val="00DA5323"/>
    <w:rsid w:val="00DA58B4"/>
    <w:rsid w:val="00DA7051"/>
    <w:rsid w:val="00DB0802"/>
    <w:rsid w:val="00DB0D5B"/>
    <w:rsid w:val="00DB0F9E"/>
    <w:rsid w:val="00DB14C7"/>
    <w:rsid w:val="00DB14E1"/>
    <w:rsid w:val="00DB155B"/>
    <w:rsid w:val="00DB17AD"/>
    <w:rsid w:val="00DB1BF6"/>
    <w:rsid w:val="00DB1F86"/>
    <w:rsid w:val="00DB20E4"/>
    <w:rsid w:val="00DB2932"/>
    <w:rsid w:val="00DB29B1"/>
    <w:rsid w:val="00DB2F19"/>
    <w:rsid w:val="00DB340B"/>
    <w:rsid w:val="00DB3FB0"/>
    <w:rsid w:val="00DB4261"/>
    <w:rsid w:val="00DB46E7"/>
    <w:rsid w:val="00DB5489"/>
    <w:rsid w:val="00DB6681"/>
    <w:rsid w:val="00DB7D96"/>
    <w:rsid w:val="00DC018F"/>
    <w:rsid w:val="00DC0CEF"/>
    <w:rsid w:val="00DC0E7A"/>
    <w:rsid w:val="00DC10D2"/>
    <w:rsid w:val="00DC14B4"/>
    <w:rsid w:val="00DC299F"/>
    <w:rsid w:val="00DC49A0"/>
    <w:rsid w:val="00DC4C88"/>
    <w:rsid w:val="00DC4FAA"/>
    <w:rsid w:val="00DC52E8"/>
    <w:rsid w:val="00DC53F4"/>
    <w:rsid w:val="00DC5A84"/>
    <w:rsid w:val="00DC60DC"/>
    <w:rsid w:val="00DC649C"/>
    <w:rsid w:val="00DC6B74"/>
    <w:rsid w:val="00DC6E3D"/>
    <w:rsid w:val="00DC71EB"/>
    <w:rsid w:val="00DC71ED"/>
    <w:rsid w:val="00DC7BCE"/>
    <w:rsid w:val="00DC7D5E"/>
    <w:rsid w:val="00DC7E95"/>
    <w:rsid w:val="00DD0444"/>
    <w:rsid w:val="00DD0CB3"/>
    <w:rsid w:val="00DD0EC1"/>
    <w:rsid w:val="00DD185C"/>
    <w:rsid w:val="00DD1B58"/>
    <w:rsid w:val="00DD1F63"/>
    <w:rsid w:val="00DD29A7"/>
    <w:rsid w:val="00DD2CE8"/>
    <w:rsid w:val="00DD2D20"/>
    <w:rsid w:val="00DD33E5"/>
    <w:rsid w:val="00DD375F"/>
    <w:rsid w:val="00DD387A"/>
    <w:rsid w:val="00DD397A"/>
    <w:rsid w:val="00DD3A4B"/>
    <w:rsid w:val="00DD45C8"/>
    <w:rsid w:val="00DD46A0"/>
    <w:rsid w:val="00DD4839"/>
    <w:rsid w:val="00DD4B2C"/>
    <w:rsid w:val="00DD4FA8"/>
    <w:rsid w:val="00DD62F0"/>
    <w:rsid w:val="00DD6936"/>
    <w:rsid w:val="00DD7708"/>
    <w:rsid w:val="00DD785D"/>
    <w:rsid w:val="00DE00C8"/>
    <w:rsid w:val="00DE0934"/>
    <w:rsid w:val="00DE16AC"/>
    <w:rsid w:val="00DE1849"/>
    <w:rsid w:val="00DE1912"/>
    <w:rsid w:val="00DE19B0"/>
    <w:rsid w:val="00DE1AD0"/>
    <w:rsid w:val="00DE1E8E"/>
    <w:rsid w:val="00DE22F7"/>
    <w:rsid w:val="00DE24CF"/>
    <w:rsid w:val="00DE252D"/>
    <w:rsid w:val="00DE2670"/>
    <w:rsid w:val="00DE2E19"/>
    <w:rsid w:val="00DE3478"/>
    <w:rsid w:val="00DE36CD"/>
    <w:rsid w:val="00DE378A"/>
    <w:rsid w:val="00DE381F"/>
    <w:rsid w:val="00DE5B7D"/>
    <w:rsid w:val="00DE64BE"/>
    <w:rsid w:val="00DE6B48"/>
    <w:rsid w:val="00DE74AC"/>
    <w:rsid w:val="00DF083B"/>
    <w:rsid w:val="00DF0A85"/>
    <w:rsid w:val="00DF2339"/>
    <w:rsid w:val="00DF28E4"/>
    <w:rsid w:val="00DF2E20"/>
    <w:rsid w:val="00DF3162"/>
    <w:rsid w:val="00DF326C"/>
    <w:rsid w:val="00DF3A27"/>
    <w:rsid w:val="00DF4B94"/>
    <w:rsid w:val="00DF4E87"/>
    <w:rsid w:val="00DF5EC5"/>
    <w:rsid w:val="00DF5F7A"/>
    <w:rsid w:val="00DF6038"/>
    <w:rsid w:val="00DF6427"/>
    <w:rsid w:val="00DF6621"/>
    <w:rsid w:val="00DF6947"/>
    <w:rsid w:val="00DF6A10"/>
    <w:rsid w:val="00DF6A61"/>
    <w:rsid w:val="00DF6C5B"/>
    <w:rsid w:val="00DF7E28"/>
    <w:rsid w:val="00E010B8"/>
    <w:rsid w:val="00E011D2"/>
    <w:rsid w:val="00E021A0"/>
    <w:rsid w:val="00E02327"/>
    <w:rsid w:val="00E02D0A"/>
    <w:rsid w:val="00E03292"/>
    <w:rsid w:val="00E03CCD"/>
    <w:rsid w:val="00E04411"/>
    <w:rsid w:val="00E0467C"/>
    <w:rsid w:val="00E046F4"/>
    <w:rsid w:val="00E04A2D"/>
    <w:rsid w:val="00E054AD"/>
    <w:rsid w:val="00E0612F"/>
    <w:rsid w:val="00E0627B"/>
    <w:rsid w:val="00E0719B"/>
    <w:rsid w:val="00E1011D"/>
    <w:rsid w:val="00E1076C"/>
    <w:rsid w:val="00E10F1F"/>
    <w:rsid w:val="00E10F54"/>
    <w:rsid w:val="00E111EB"/>
    <w:rsid w:val="00E11326"/>
    <w:rsid w:val="00E1138F"/>
    <w:rsid w:val="00E11A83"/>
    <w:rsid w:val="00E11D2F"/>
    <w:rsid w:val="00E12BAE"/>
    <w:rsid w:val="00E12E5F"/>
    <w:rsid w:val="00E12F14"/>
    <w:rsid w:val="00E141A0"/>
    <w:rsid w:val="00E14E40"/>
    <w:rsid w:val="00E158C3"/>
    <w:rsid w:val="00E15B57"/>
    <w:rsid w:val="00E15D8E"/>
    <w:rsid w:val="00E16313"/>
    <w:rsid w:val="00E16388"/>
    <w:rsid w:val="00E16AED"/>
    <w:rsid w:val="00E16B95"/>
    <w:rsid w:val="00E16CBD"/>
    <w:rsid w:val="00E20071"/>
    <w:rsid w:val="00E20F83"/>
    <w:rsid w:val="00E21C2D"/>
    <w:rsid w:val="00E22112"/>
    <w:rsid w:val="00E227AE"/>
    <w:rsid w:val="00E227CC"/>
    <w:rsid w:val="00E22EC3"/>
    <w:rsid w:val="00E2313E"/>
    <w:rsid w:val="00E23217"/>
    <w:rsid w:val="00E2338D"/>
    <w:rsid w:val="00E23633"/>
    <w:rsid w:val="00E2377A"/>
    <w:rsid w:val="00E2528D"/>
    <w:rsid w:val="00E25764"/>
    <w:rsid w:val="00E25E69"/>
    <w:rsid w:val="00E26514"/>
    <w:rsid w:val="00E2678E"/>
    <w:rsid w:val="00E26C70"/>
    <w:rsid w:val="00E27480"/>
    <w:rsid w:val="00E2764B"/>
    <w:rsid w:val="00E2767C"/>
    <w:rsid w:val="00E30ED2"/>
    <w:rsid w:val="00E31098"/>
    <w:rsid w:val="00E313BB"/>
    <w:rsid w:val="00E329C2"/>
    <w:rsid w:val="00E32F1D"/>
    <w:rsid w:val="00E33535"/>
    <w:rsid w:val="00E33786"/>
    <w:rsid w:val="00E338A6"/>
    <w:rsid w:val="00E33A9D"/>
    <w:rsid w:val="00E34B26"/>
    <w:rsid w:val="00E3522E"/>
    <w:rsid w:val="00E3583B"/>
    <w:rsid w:val="00E35E41"/>
    <w:rsid w:val="00E36497"/>
    <w:rsid w:val="00E37242"/>
    <w:rsid w:val="00E408C4"/>
    <w:rsid w:val="00E40991"/>
    <w:rsid w:val="00E409F6"/>
    <w:rsid w:val="00E412F9"/>
    <w:rsid w:val="00E41556"/>
    <w:rsid w:val="00E41F2F"/>
    <w:rsid w:val="00E424BD"/>
    <w:rsid w:val="00E42975"/>
    <w:rsid w:val="00E42CC2"/>
    <w:rsid w:val="00E435DE"/>
    <w:rsid w:val="00E43733"/>
    <w:rsid w:val="00E43831"/>
    <w:rsid w:val="00E438D4"/>
    <w:rsid w:val="00E439B4"/>
    <w:rsid w:val="00E44460"/>
    <w:rsid w:val="00E4497D"/>
    <w:rsid w:val="00E44AB7"/>
    <w:rsid w:val="00E45067"/>
    <w:rsid w:val="00E451AB"/>
    <w:rsid w:val="00E455CF"/>
    <w:rsid w:val="00E456C6"/>
    <w:rsid w:val="00E46B3A"/>
    <w:rsid w:val="00E470D0"/>
    <w:rsid w:val="00E4784E"/>
    <w:rsid w:val="00E47A91"/>
    <w:rsid w:val="00E50059"/>
    <w:rsid w:val="00E50200"/>
    <w:rsid w:val="00E506A8"/>
    <w:rsid w:val="00E507F1"/>
    <w:rsid w:val="00E50B7C"/>
    <w:rsid w:val="00E50C11"/>
    <w:rsid w:val="00E5114F"/>
    <w:rsid w:val="00E513DA"/>
    <w:rsid w:val="00E53CF3"/>
    <w:rsid w:val="00E53DAF"/>
    <w:rsid w:val="00E54322"/>
    <w:rsid w:val="00E546F4"/>
    <w:rsid w:val="00E54B47"/>
    <w:rsid w:val="00E55440"/>
    <w:rsid w:val="00E55A77"/>
    <w:rsid w:val="00E563FD"/>
    <w:rsid w:val="00E56408"/>
    <w:rsid w:val="00E572BA"/>
    <w:rsid w:val="00E57316"/>
    <w:rsid w:val="00E574F4"/>
    <w:rsid w:val="00E57862"/>
    <w:rsid w:val="00E57E86"/>
    <w:rsid w:val="00E6055E"/>
    <w:rsid w:val="00E60761"/>
    <w:rsid w:val="00E609CE"/>
    <w:rsid w:val="00E60A28"/>
    <w:rsid w:val="00E61131"/>
    <w:rsid w:val="00E61AEF"/>
    <w:rsid w:val="00E61C23"/>
    <w:rsid w:val="00E62CCB"/>
    <w:rsid w:val="00E63022"/>
    <w:rsid w:val="00E6387C"/>
    <w:rsid w:val="00E63ACC"/>
    <w:rsid w:val="00E63B68"/>
    <w:rsid w:val="00E63C7A"/>
    <w:rsid w:val="00E63F1E"/>
    <w:rsid w:val="00E6529B"/>
    <w:rsid w:val="00E659B3"/>
    <w:rsid w:val="00E663F3"/>
    <w:rsid w:val="00E67160"/>
    <w:rsid w:val="00E67DD8"/>
    <w:rsid w:val="00E701EA"/>
    <w:rsid w:val="00E704FD"/>
    <w:rsid w:val="00E7054F"/>
    <w:rsid w:val="00E713A6"/>
    <w:rsid w:val="00E726DB"/>
    <w:rsid w:val="00E727A8"/>
    <w:rsid w:val="00E72C38"/>
    <w:rsid w:val="00E72EB7"/>
    <w:rsid w:val="00E73452"/>
    <w:rsid w:val="00E73549"/>
    <w:rsid w:val="00E7362B"/>
    <w:rsid w:val="00E73D1C"/>
    <w:rsid w:val="00E745E0"/>
    <w:rsid w:val="00E748F3"/>
    <w:rsid w:val="00E74F04"/>
    <w:rsid w:val="00E770EF"/>
    <w:rsid w:val="00E771ED"/>
    <w:rsid w:val="00E7746D"/>
    <w:rsid w:val="00E774C8"/>
    <w:rsid w:val="00E777DD"/>
    <w:rsid w:val="00E8039D"/>
    <w:rsid w:val="00E81086"/>
    <w:rsid w:val="00E81269"/>
    <w:rsid w:val="00E8191A"/>
    <w:rsid w:val="00E8197B"/>
    <w:rsid w:val="00E81D13"/>
    <w:rsid w:val="00E8224B"/>
    <w:rsid w:val="00E82323"/>
    <w:rsid w:val="00E82BF5"/>
    <w:rsid w:val="00E82C7B"/>
    <w:rsid w:val="00E83311"/>
    <w:rsid w:val="00E836FF"/>
    <w:rsid w:val="00E83727"/>
    <w:rsid w:val="00E83F5C"/>
    <w:rsid w:val="00E851E5"/>
    <w:rsid w:val="00E85D58"/>
    <w:rsid w:val="00E8619F"/>
    <w:rsid w:val="00E8684C"/>
    <w:rsid w:val="00E86B7A"/>
    <w:rsid w:val="00E86CC8"/>
    <w:rsid w:val="00E905FF"/>
    <w:rsid w:val="00E90855"/>
    <w:rsid w:val="00E910AF"/>
    <w:rsid w:val="00E91185"/>
    <w:rsid w:val="00E9139D"/>
    <w:rsid w:val="00E91794"/>
    <w:rsid w:val="00E91F2E"/>
    <w:rsid w:val="00E9231A"/>
    <w:rsid w:val="00E92F0E"/>
    <w:rsid w:val="00E93200"/>
    <w:rsid w:val="00E93A60"/>
    <w:rsid w:val="00E93DA3"/>
    <w:rsid w:val="00E93E25"/>
    <w:rsid w:val="00E9424C"/>
    <w:rsid w:val="00E95545"/>
    <w:rsid w:val="00E9736D"/>
    <w:rsid w:val="00E979DB"/>
    <w:rsid w:val="00EA015C"/>
    <w:rsid w:val="00EA07BE"/>
    <w:rsid w:val="00EA0F9E"/>
    <w:rsid w:val="00EA185B"/>
    <w:rsid w:val="00EA1F15"/>
    <w:rsid w:val="00EA243F"/>
    <w:rsid w:val="00EA2849"/>
    <w:rsid w:val="00EA315B"/>
    <w:rsid w:val="00EA34B0"/>
    <w:rsid w:val="00EA3BB8"/>
    <w:rsid w:val="00EA3BCD"/>
    <w:rsid w:val="00EA3CFE"/>
    <w:rsid w:val="00EA439B"/>
    <w:rsid w:val="00EA4C57"/>
    <w:rsid w:val="00EA4F16"/>
    <w:rsid w:val="00EA529C"/>
    <w:rsid w:val="00EA6C09"/>
    <w:rsid w:val="00EA6F34"/>
    <w:rsid w:val="00EA7625"/>
    <w:rsid w:val="00EA773D"/>
    <w:rsid w:val="00EA7F4B"/>
    <w:rsid w:val="00EB0332"/>
    <w:rsid w:val="00EB0334"/>
    <w:rsid w:val="00EB0401"/>
    <w:rsid w:val="00EB08C3"/>
    <w:rsid w:val="00EB0F87"/>
    <w:rsid w:val="00EB11B8"/>
    <w:rsid w:val="00EB1905"/>
    <w:rsid w:val="00EB1C3D"/>
    <w:rsid w:val="00EB20A1"/>
    <w:rsid w:val="00EB224D"/>
    <w:rsid w:val="00EB27F7"/>
    <w:rsid w:val="00EB33F6"/>
    <w:rsid w:val="00EB37E1"/>
    <w:rsid w:val="00EB39C7"/>
    <w:rsid w:val="00EB41E3"/>
    <w:rsid w:val="00EB4780"/>
    <w:rsid w:val="00EB4E45"/>
    <w:rsid w:val="00EB563E"/>
    <w:rsid w:val="00EB56C3"/>
    <w:rsid w:val="00EB5D30"/>
    <w:rsid w:val="00EB653C"/>
    <w:rsid w:val="00EB70F9"/>
    <w:rsid w:val="00EB740C"/>
    <w:rsid w:val="00EC2AC1"/>
    <w:rsid w:val="00EC31E2"/>
    <w:rsid w:val="00EC345F"/>
    <w:rsid w:val="00EC3756"/>
    <w:rsid w:val="00EC3CD3"/>
    <w:rsid w:val="00EC3E11"/>
    <w:rsid w:val="00EC436A"/>
    <w:rsid w:val="00EC436D"/>
    <w:rsid w:val="00EC4E3B"/>
    <w:rsid w:val="00EC4FCD"/>
    <w:rsid w:val="00EC5619"/>
    <w:rsid w:val="00EC5A36"/>
    <w:rsid w:val="00EC6051"/>
    <w:rsid w:val="00EC6222"/>
    <w:rsid w:val="00EC64C9"/>
    <w:rsid w:val="00EC6A7D"/>
    <w:rsid w:val="00EC7229"/>
    <w:rsid w:val="00EC7432"/>
    <w:rsid w:val="00EC78A5"/>
    <w:rsid w:val="00ED04FC"/>
    <w:rsid w:val="00ED0837"/>
    <w:rsid w:val="00ED0877"/>
    <w:rsid w:val="00ED103F"/>
    <w:rsid w:val="00ED17B2"/>
    <w:rsid w:val="00ED2E27"/>
    <w:rsid w:val="00ED32DD"/>
    <w:rsid w:val="00ED336A"/>
    <w:rsid w:val="00ED34EC"/>
    <w:rsid w:val="00ED3E28"/>
    <w:rsid w:val="00ED3F01"/>
    <w:rsid w:val="00ED41DD"/>
    <w:rsid w:val="00ED51F2"/>
    <w:rsid w:val="00ED5771"/>
    <w:rsid w:val="00ED5860"/>
    <w:rsid w:val="00ED58C4"/>
    <w:rsid w:val="00ED5B42"/>
    <w:rsid w:val="00ED5F43"/>
    <w:rsid w:val="00ED6B5B"/>
    <w:rsid w:val="00ED7555"/>
    <w:rsid w:val="00ED79EE"/>
    <w:rsid w:val="00ED7A58"/>
    <w:rsid w:val="00EE0093"/>
    <w:rsid w:val="00EE094B"/>
    <w:rsid w:val="00EE0DB0"/>
    <w:rsid w:val="00EE120B"/>
    <w:rsid w:val="00EE1329"/>
    <w:rsid w:val="00EE1829"/>
    <w:rsid w:val="00EE19B7"/>
    <w:rsid w:val="00EE2265"/>
    <w:rsid w:val="00EE31D1"/>
    <w:rsid w:val="00EE3813"/>
    <w:rsid w:val="00EE3AF6"/>
    <w:rsid w:val="00EE45A9"/>
    <w:rsid w:val="00EE4732"/>
    <w:rsid w:val="00EE4E12"/>
    <w:rsid w:val="00EE5479"/>
    <w:rsid w:val="00EE57FA"/>
    <w:rsid w:val="00EE58A9"/>
    <w:rsid w:val="00EE5CDE"/>
    <w:rsid w:val="00EE6817"/>
    <w:rsid w:val="00EE7216"/>
    <w:rsid w:val="00EE78BB"/>
    <w:rsid w:val="00EF0226"/>
    <w:rsid w:val="00EF0795"/>
    <w:rsid w:val="00EF0D75"/>
    <w:rsid w:val="00EF14DB"/>
    <w:rsid w:val="00EF222E"/>
    <w:rsid w:val="00EF272E"/>
    <w:rsid w:val="00EF2DD0"/>
    <w:rsid w:val="00EF42DD"/>
    <w:rsid w:val="00EF4509"/>
    <w:rsid w:val="00EF50CC"/>
    <w:rsid w:val="00EF52BA"/>
    <w:rsid w:val="00EF54CA"/>
    <w:rsid w:val="00EF559C"/>
    <w:rsid w:val="00EF560D"/>
    <w:rsid w:val="00EF5768"/>
    <w:rsid w:val="00EF57F0"/>
    <w:rsid w:val="00EF6B4F"/>
    <w:rsid w:val="00EF6C26"/>
    <w:rsid w:val="00EF6F4C"/>
    <w:rsid w:val="00EF73CF"/>
    <w:rsid w:val="00EF7427"/>
    <w:rsid w:val="00EF7762"/>
    <w:rsid w:val="00EF7E0B"/>
    <w:rsid w:val="00EF7E52"/>
    <w:rsid w:val="00EF7E8F"/>
    <w:rsid w:val="00F0008F"/>
    <w:rsid w:val="00F001F9"/>
    <w:rsid w:val="00F004F7"/>
    <w:rsid w:val="00F01DE4"/>
    <w:rsid w:val="00F01F57"/>
    <w:rsid w:val="00F025A7"/>
    <w:rsid w:val="00F0267C"/>
    <w:rsid w:val="00F02D8C"/>
    <w:rsid w:val="00F03841"/>
    <w:rsid w:val="00F048CB"/>
    <w:rsid w:val="00F05143"/>
    <w:rsid w:val="00F05447"/>
    <w:rsid w:val="00F05B2D"/>
    <w:rsid w:val="00F05F31"/>
    <w:rsid w:val="00F06E43"/>
    <w:rsid w:val="00F07F6F"/>
    <w:rsid w:val="00F10068"/>
    <w:rsid w:val="00F11468"/>
    <w:rsid w:val="00F121DF"/>
    <w:rsid w:val="00F12833"/>
    <w:rsid w:val="00F12928"/>
    <w:rsid w:val="00F12CDA"/>
    <w:rsid w:val="00F12D8B"/>
    <w:rsid w:val="00F131FB"/>
    <w:rsid w:val="00F134E8"/>
    <w:rsid w:val="00F13743"/>
    <w:rsid w:val="00F13D9B"/>
    <w:rsid w:val="00F13F7E"/>
    <w:rsid w:val="00F142D6"/>
    <w:rsid w:val="00F14F03"/>
    <w:rsid w:val="00F15594"/>
    <w:rsid w:val="00F15654"/>
    <w:rsid w:val="00F159E0"/>
    <w:rsid w:val="00F15EE3"/>
    <w:rsid w:val="00F171C7"/>
    <w:rsid w:val="00F17250"/>
    <w:rsid w:val="00F1749A"/>
    <w:rsid w:val="00F176E4"/>
    <w:rsid w:val="00F179A7"/>
    <w:rsid w:val="00F20172"/>
    <w:rsid w:val="00F2072D"/>
    <w:rsid w:val="00F20C61"/>
    <w:rsid w:val="00F20CC5"/>
    <w:rsid w:val="00F210B6"/>
    <w:rsid w:val="00F211F2"/>
    <w:rsid w:val="00F2126D"/>
    <w:rsid w:val="00F21E2A"/>
    <w:rsid w:val="00F222AD"/>
    <w:rsid w:val="00F22798"/>
    <w:rsid w:val="00F22B15"/>
    <w:rsid w:val="00F22D26"/>
    <w:rsid w:val="00F23CFB"/>
    <w:rsid w:val="00F2404A"/>
    <w:rsid w:val="00F2413A"/>
    <w:rsid w:val="00F24EE2"/>
    <w:rsid w:val="00F258E1"/>
    <w:rsid w:val="00F25C44"/>
    <w:rsid w:val="00F26155"/>
    <w:rsid w:val="00F26C39"/>
    <w:rsid w:val="00F27276"/>
    <w:rsid w:val="00F2748E"/>
    <w:rsid w:val="00F2795B"/>
    <w:rsid w:val="00F301B1"/>
    <w:rsid w:val="00F30273"/>
    <w:rsid w:val="00F306FD"/>
    <w:rsid w:val="00F31271"/>
    <w:rsid w:val="00F323AF"/>
    <w:rsid w:val="00F32872"/>
    <w:rsid w:val="00F3289B"/>
    <w:rsid w:val="00F3367D"/>
    <w:rsid w:val="00F337F5"/>
    <w:rsid w:val="00F33868"/>
    <w:rsid w:val="00F33CAD"/>
    <w:rsid w:val="00F33DF5"/>
    <w:rsid w:val="00F33FCB"/>
    <w:rsid w:val="00F34661"/>
    <w:rsid w:val="00F346F8"/>
    <w:rsid w:val="00F35334"/>
    <w:rsid w:val="00F35408"/>
    <w:rsid w:val="00F35BF4"/>
    <w:rsid w:val="00F35EF6"/>
    <w:rsid w:val="00F36446"/>
    <w:rsid w:val="00F3670C"/>
    <w:rsid w:val="00F36D4D"/>
    <w:rsid w:val="00F376F4"/>
    <w:rsid w:val="00F416B5"/>
    <w:rsid w:val="00F418A3"/>
    <w:rsid w:val="00F42062"/>
    <w:rsid w:val="00F42107"/>
    <w:rsid w:val="00F424E8"/>
    <w:rsid w:val="00F4267D"/>
    <w:rsid w:val="00F4350E"/>
    <w:rsid w:val="00F440D5"/>
    <w:rsid w:val="00F448C2"/>
    <w:rsid w:val="00F44F80"/>
    <w:rsid w:val="00F45410"/>
    <w:rsid w:val="00F458C4"/>
    <w:rsid w:val="00F45BC9"/>
    <w:rsid w:val="00F46BC8"/>
    <w:rsid w:val="00F471CB"/>
    <w:rsid w:val="00F4788B"/>
    <w:rsid w:val="00F47C35"/>
    <w:rsid w:val="00F506CA"/>
    <w:rsid w:val="00F5079F"/>
    <w:rsid w:val="00F50D8F"/>
    <w:rsid w:val="00F51020"/>
    <w:rsid w:val="00F5168A"/>
    <w:rsid w:val="00F51C22"/>
    <w:rsid w:val="00F51D9F"/>
    <w:rsid w:val="00F52915"/>
    <w:rsid w:val="00F52941"/>
    <w:rsid w:val="00F529B6"/>
    <w:rsid w:val="00F52B1B"/>
    <w:rsid w:val="00F53B0E"/>
    <w:rsid w:val="00F5404E"/>
    <w:rsid w:val="00F540DD"/>
    <w:rsid w:val="00F5471D"/>
    <w:rsid w:val="00F54BA5"/>
    <w:rsid w:val="00F550E3"/>
    <w:rsid w:val="00F5522C"/>
    <w:rsid w:val="00F553D9"/>
    <w:rsid w:val="00F55907"/>
    <w:rsid w:val="00F55C1D"/>
    <w:rsid w:val="00F55DCC"/>
    <w:rsid w:val="00F55DF2"/>
    <w:rsid w:val="00F561B1"/>
    <w:rsid w:val="00F56915"/>
    <w:rsid w:val="00F57A2C"/>
    <w:rsid w:val="00F57BAD"/>
    <w:rsid w:val="00F60A1E"/>
    <w:rsid w:val="00F60EE7"/>
    <w:rsid w:val="00F615BA"/>
    <w:rsid w:val="00F61AB2"/>
    <w:rsid w:val="00F6274F"/>
    <w:rsid w:val="00F63315"/>
    <w:rsid w:val="00F63537"/>
    <w:rsid w:val="00F6390C"/>
    <w:rsid w:val="00F63C99"/>
    <w:rsid w:val="00F64E4F"/>
    <w:rsid w:val="00F64E8C"/>
    <w:rsid w:val="00F6509A"/>
    <w:rsid w:val="00F655E5"/>
    <w:rsid w:val="00F65DB0"/>
    <w:rsid w:val="00F661FB"/>
    <w:rsid w:val="00F67A40"/>
    <w:rsid w:val="00F70406"/>
    <w:rsid w:val="00F70ED9"/>
    <w:rsid w:val="00F71C44"/>
    <w:rsid w:val="00F73526"/>
    <w:rsid w:val="00F73E49"/>
    <w:rsid w:val="00F741E0"/>
    <w:rsid w:val="00F74298"/>
    <w:rsid w:val="00F745FF"/>
    <w:rsid w:val="00F74B0D"/>
    <w:rsid w:val="00F74EAF"/>
    <w:rsid w:val="00F75140"/>
    <w:rsid w:val="00F7521F"/>
    <w:rsid w:val="00F75CDE"/>
    <w:rsid w:val="00F76909"/>
    <w:rsid w:val="00F7716F"/>
    <w:rsid w:val="00F778B1"/>
    <w:rsid w:val="00F80124"/>
    <w:rsid w:val="00F8062C"/>
    <w:rsid w:val="00F80674"/>
    <w:rsid w:val="00F806B1"/>
    <w:rsid w:val="00F80864"/>
    <w:rsid w:val="00F80E1E"/>
    <w:rsid w:val="00F81EA0"/>
    <w:rsid w:val="00F821D6"/>
    <w:rsid w:val="00F82284"/>
    <w:rsid w:val="00F82535"/>
    <w:rsid w:val="00F828B0"/>
    <w:rsid w:val="00F82F66"/>
    <w:rsid w:val="00F83307"/>
    <w:rsid w:val="00F839FC"/>
    <w:rsid w:val="00F840A3"/>
    <w:rsid w:val="00F84144"/>
    <w:rsid w:val="00F84279"/>
    <w:rsid w:val="00F84D28"/>
    <w:rsid w:val="00F8565D"/>
    <w:rsid w:val="00F85672"/>
    <w:rsid w:val="00F856E8"/>
    <w:rsid w:val="00F86AAD"/>
    <w:rsid w:val="00F8736F"/>
    <w:rsid w:val="00F91037"/>
    <w:rsid w:val="00F91238"/>
    <w:rsid w:val="00F91F88"/>
    <w:rsid w:val="00F91FAA"/>
    <w:rsid w:val="00F92119"/>
    <w:rsid w:val="00F92687"/>
    <w:rsid w:val="00F92AD0"/>
    <w:rsid w:val="00F92B82"/>
    <w:rsid w:val="00F93255"/>
    <w:rsid w:val="00F9339F"/>
    <w:rsid w:val="00F938D0"/>
    <w:rsid w:val="00F9520E"/>
    <w:rsid w:val="00F958E6"/>
    <w:rsid w:val="00F95ED5"/>
    <w:rsid w:val="00F963EB"/>
    <w:rsid w:val="00F96E37"/>
    <w:rsid w:val="00FA0B71"/>
    <w:rsid w:val="00FA0C84"/>
    <w:rsid w:val="00FA1189"/>
    <w:rsid w:val="00FA216E"/>
    <w:rsid w:val="00FA296A"/>
    <w:rsid w:val="00FA3C64"/>
    <w:rsid w:val="00FA3DC0"/>
    <w:rsid w:val="00FA4075"/>
    <w:rsid w:val="00FA4181"/>
    <w:rsid w:val="00FA4743"/>
    <w:rsid w:val="00FA50EB"/>
    <w:rsid w:val="00FA5913"/>
    <w:rsid w:val="00FA5E6A"/>
    <w:rsid w:val="00FA7BD9"/>
    <w:rsid w:val="00FA7C4A"/>
    <w:rsid w:val="00FB052D"/>
    <w:rsid w:val="00FB094D"/>
    <w:rsid w:val="00FB0A8E"/>
    <w:rsid w:val="00FB0DC7"/>
    <w:rsid w:val="00FB1558"/>
    <w:rsid w:val="00FB1F5D"/>
    <w:rsid w:val="00FB2373"/>
    <w:rsid w:val="00FB2CEB"/>
    <w:rsid w:val="00FB5103"/>
    <w:rsid w:val="00FB5932"/>
    <w:rsid w:val="00FB5B9E"/>
    <w:rsid w:val="00FB6168"/>
    <w:rsid w:val="00FB66E9"/>
    <w:rsid w:val="00FB670A"/>
    <w:rsid w:val="00FB79F6"/>
    <w:rsid w:val="00FC0758"/>
    <w:rsid w:val="00FC14B7"/>
    <w:rsid w:val="00FC152A"/>
    <w:rsid w:val="00FC177E"/>
    <w:rsid w:val="00FC192E"/>
    <w:rsid w:val="00FC2183"/>
    <w:rsid w:val="00FC275D"/>
    <w:rsid w:val="00FC354F"/>
    <w:rsid w:val="00FC37F2"/>
    <w:rsid w:val="00FC4A87"/>
    <w:rsid w:val="00FC5103"/>
    <w:rsid w:val="00FC53C3"/>
    <w:rsid w:val="00FC597A"/>
    <w:rsid w:val="00FC5A9C"/>
    <w:rsid w:val="00FC6176"/>
    <w:rsid w:val="00FC65E6"/>
    <w:rsid w:val="00FC6CAD"/>
    <w:rsid w:val="00FC6EC3"/>
    <w:rsid w:val="00FC729A"/>
    <w:rsid w:val="00FC7C38"/>
    <w:rsid w:val="00FD0043"/>
    <w:rsid w:val="00FD01A5"/>
    <w:rsid w:val="00FD031A"/>
    <w:rsid w:val="00FD0357"/>
    <w:rsid w:val="00FD14F8"/>
    <w:rsid w:val="00FD1A86"/>
    <w:rsid w:val="00FD1E3E"/>
    <w:rsid w:val="00FD25BE"/>
    <w:rsid w:val="00FD2610"/>
    <w:rsid w:val="00FD28E9"/>
    <w:rsid w:val="00FD37EE"/>
    <w:rsid w:val="00FD5061"/>
    <w:rsid w:val="00FD60EE"/>
    <w:rsid w:val="00FD6221"/>
    <w:rsid w:val="00FD6939"/>
    <w:rsid w:val="00FD6B43"/>
    <w:rsid w:val="00FD6C4C"/>
    <w:rsid w:val="00FD7787"/>
    <w:rsid w:val="00FD7884"/>
    <w:rsid w:val="00FD7A77"/>
    <w:rsid w:val="00FE02D9"/>
    <w:rsid w:val="00FE07E3"/>
    <w:rsid w:val="00FE0B9F"/>
    <w:rsid w:val="00FE1383"/>
    <w:rsid w:val="00FE2150"/>
    <w:rsid w:val="00FE220D"/>
    <w:rsid w:val="00FE23D8"/>
    <w:rsid w:val="00FE29C4"/>
    <w:rsid w:val="00FE2D81"/>
    <w:rsid w:val="00FE2ECE"/>
    <w:rsid w:val="00FE3816"/>
    <w:rsid w:val="00FE3AD5"/>
    <w:rsid w:val="00FE3C13"/>
    <w:rsid w:val="00FE4593"/>
    <w:rsid w:val="00FE475A"/>
    <w:rsid w:val="00FE47A2"/>
    <w:rsid w:val="00FE493C"/>
    <w:rsid w:val="00FE4B07"/>
    <w:rsid w:val="00FE4BF5"/>
    <w:rsid w:val="00FE4ED2"/>
    <w:rsid w:val="00FE538D"/>
    <w:rsid w:val="00FE5801"/>
    <w:rsid w:val="00FE5A56"/>
    <w:rsid w:val="00FE5DEC"/>
    <w:rsid w:val="00FE5F40"/>
    <w:rsid w:val="00FE6240"/>
    <w:rsid w:val="00FE6618"/>
    <w:rsid w:val="00FE6939"/>
    <w:rsid w:val="00FE7A6B"/>
    <w:rsid w:val="00FF0148"/>
    <w:rsid w:val="00FF01DA"/>
    <w:rsid w:val="00FF0909"/>
    <w:rsid w:val="00FF2689"/>
    <w:rsid w:val="00FF27B1"/>
    <w:rsid w:val="00FF2B34"/>
    <w:rsid w:val="00FF2D14"/>
    <w:rsid w:val="00FF3971"/>
    <w:rsid w:val="00FF3E43"/>
    <w:rsid w:val="00FF43F0"/>
    <w:rsid w:val="00FF4856"/>
    <w:rsid w:val="00FF4CD9"/>
    <w:rsid w:val="00FF4DE1"/>
    <w:rsid w:val="00FF549F"/>
    <w:rsid w:val="00FF54A2"/>
    <w:rsid w:val="00FF723C"/>
    <w:rsid w:val="00FF7D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5FCFF"/>
  <w15:chartTrackingRefBased/>
  <w15:docId w15:val="{226F8C05-D2C1-4CAE-AA8D-7E3D4C9F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5E"/>
    <w:rPr>
      <w:rFonts w:ascii="Times" w:eastAsia="Times" w:hAnsi="Times"/>
      <w:sz w:val="24"/>
    </w:rPr>
  </w:style>
  <w:style w:type="paragraph" w:styleId="Heading1">
    <w:name w:val="heading 1"/>
    <w:basedOn w:val="ListParagraph"/>
    <w:next w:val="Normal"/>
    <w:link w:val="Heading1Char"/>
    <w:uiPriority w:val="9"/>
    <w:qFormat/>
    <w:rsid w:val="00A16F8A"/>
    <w:pPr>
      <w:numPr>
        <w:numId w:val="5"/>
      </w:numPr>
      <w:spacing w:line="276" w:lineRule="auto"/>
      <w:ind w:left="360"/>
      <w:jc w:val="both"/>
      <w:outlineLvl w:val="0"/>
    </w:pPr>
    <w:rPr>
      <w:rFonts w:ascii="Times New Roman" w:hAnsi="Times New Roman"/>
      <w:b/>
      <w:bCs/>
    </w:rPr>
  </w:style>
  <w:style w:type="paragraph" w:styleId="Heading2">
    <w:name w:val="heading 2"/>
    <w:basedOn w:val="ListParagraph"/>
    <w:next w:val="Normal"/>
    <w:link w:val="Heading2Char"/>
    <w:uiPriority w:val="9"/>
    <w:unhideWhenUsed/>
    <w:qFormat/>
    <w:rsid w:val="00F2748E"/>
    <w:pPr>
      <w:numPr>
        <w:ilvl w:val="1"/>
        <w:numId w:val="5"/>
      </w:numPr>
      <w:spacing w:line="276" w:lineRule="auto"/>
      <w:ind w:left="540" w:hanging="450"/>
      <w:outlineLvl w:val="1"/>
    </w:pPr>
    <w:rPr>
      <w:rFonts w:ascii="Times New Roman" w:hAnsi="Times New Roman"/>
      <w:b/>
    </w:rPr>
  </w:style>
  <w:style w:type="paragraph" w:styleId="Heading3">
    <w:name w:val="heading 3"/>
    <w:basedOn w:val="ListParagraph"/>
    <w:next w:val="Normal"/>
    <w:link w:val="Heading3Char"/>
    <w:uiPriority w:val="9"/>
    <w:unhideWhenUsed/>
    <w:qFormat/>
    <w:rsid w:val="000957D1"/>
    <w:pPr>
      <w:numPr>
        <w:ilvl w:val="2"/>
        <w:numId w:val="5"/>
      </w:numPr>
      <w:ind w:left="72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4DC"/>
    <w:pPr>
      <w:tabs>
        <w:tab w:val="center" w:pos="4680"/>
        <w:tab w:val="right" w:pos="9360"/>
      </w:tabs>
    </w:pPr>
  </w:style>
  <w:style w:type="character" w:customStyle="1" w:styleId="HeaderChar">
    <w:name w:val="Header Char"/>
    <w:link w:val="Header"/>
    <w:uiPriority w:val="99"/>
    <w:rsid w:val="002134DC"/>
    <w:rPr>
      <w:rFonts w:ascii="Times" w:eastAsia="Times" w:hAnsi="Times" w:cs="Times New Roman"/>
      <w:kern w:val="0"/>
      <w:sz w:val="24"/>
      <w:szCs w:val="20"/>
      <w:lang w:eastAsia="en-US"/>
    </w:rPr>
  </w:style>
  <w:style w:type="paragraph" w:styleId="Footer">
    <w:name w:val="footer"/>
    <w:basedOn w:val="Normal"/>
    <w:link w:val="FooterChar"/>
    <w:uiPriority w:val="99"/>
    <w:unhideWhenUsed/>
    <w:rsid w:val="002134DC"/>
    <w:pPr>
      <w:tabs>
        <w:tab w:val="center" w:pos="4680"/>
        <w:tab w:val="right" w:pos="9360"/>
      </w:tabs>
    </w:pPr>
  </w:style>
  <w:style w:type="character" w:customStyle="1" w:styleId="FooterChar">
    <w:name w:val="Footer Char"/>
    <w:link w:val="Footer"/>
    <w:uiPriority w:val="99"/>
    <w:rsid w:val="002134DC"/>
    <w:rPr>
      <w:rFonts w:ascii="Times" w:eastAsia="Times" w:hAnsi="Times" w:cs="Times New Roman"/>
      <w:kern w:val="0"/>
      <w:sz w:val="24"/>
      <w:szCs w:val="20"/>
      <w:lang w:eastAsia="en-US"/>
    </w:rPr>
  </w:style>
  <w:style w:type="paragraph" w:styleId="Revision">
    <w:name w:val="Revision"/>
    <w:hidden/>
    <w:uiPriority w:val="99"/>
    <w:semiHidden/>
    <w:rsid w:val="00474FC1"/>
    <w:rPr>
      <w:rFonts w:ascii="Times" w:eastAsia="Times" w:hAnsi="Times"/>
      <w:sz w:val="24"/>
    </w:rPr>
  </w:style>
  <w:style w:type="character" w:styleId="CommentReference">
    <w:name w:val="annotation reference"/>
    <w:uiPriority w:val="99"/>
    <w:semiHidden/>
    <w:unhideWhenUsed/>
    <w:rsid w:val="00C163B7"/>
    <w:rPr>
      <w:sz w:val="16"/>
      <w:szCs w:val="16"/>
    </w:rPr>
  </w:style>
  <w:style w:type="paragraph" w:styleId="CommentText">
    <w:name w:val="annotation text"/>
    <w:basedOn w:val="Normal"/>
    <w:link w:val="CommentTextChar"/>
    <w:uiPriority w:val="99"/>
    <w:unhideWhenUsed/>
    <w:rsid w:val="00C163B7"/>
    <w:rPr>
      <w:sz w:val="20"/>
    </w:rPr>
  </w:style>
  <w:style w:type="character" w:customStyle="1" w:styleId="CommentTextChar">
    <w:name w:val="Comment Text Char"/>
    <w:link w:val="CommentText"/>
    <w:uiPriority w:val="99"/>
    <w:rsid w:val="00C163B7"/>
    <w:rPr>
      <w:rFonts w:ascii="Times" w:eastAsia="Times" w:hAnsi="Times"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C163B7"/>
    <w:rPr>
      <w:b/>
      <w:bCs/>
    </w:rPr>
  </w:style>
  <w:style w:type="character" w:customStyle="1" w:styleId="CommentSubjectChar">
    <w:name w:val="Comment Subject Char"/>
    <w:link w:val="CommentSubject"/>
    <w:uiPriority w:val="99"/>
    <w:semiHidden/>
    <w:rsid w:val="00C163B7"/>
    <w:rPr>
      <w:rFonts w:ascii="Times" w:eastAsia="Times" w:hAnsi="Times" w:cs="Times New Roman"/>
      <w:b/>
      <w:bCs/>
      <w:kern w:val="0"/>
      <w:sz w:val="20"/>
      <w:szCs w:val="20"/>
      <w:lang w:eastAsia="en-US"/>
    </w:rPr>
  </w:style>
  <w:style w:type="paragraph" w:styleId="NormalWeb">
    <w:name w:val="Normal (Web)"/>
    <w:basedOn w:val="Normal"/>
    <w:uiPriority w:val="99"/>
    <w:semiHidden/>
    <w:unhideWhenUsed/>
    <w:rsid w:val="003D10B7"/>
    <w:pPr>
      <w:spacing w:before="100" w:beforeAutospacing="1" w:after="100" w:afterAutospacing="1"/>
    </w:pPr>
    <w:rPr>
      <w:rFonts w:ascii="Times New Roman" w:eastAsia="Times New Roman" w:hAnsi="Times New Roman"/>
      <w:szCs w:val="24"/>
      <w:lang w:eastAsia="ko-KR"/>
    </w:rPr>
  </w:style>
  <w:style w:type="character" w:styleId="Hyperlink">
    <w:name w:val="Hyperlink"/>
    <w:uiPriority w:val="99"/>
    <w:unhideWhenUsed/>
    <w:rsid w:val="003D10B7"/>
    <w:rPr>
      <w:color w:val="0563C1"/>
      <w:u w:val="single"/>
    </w:rPr>
  </w:style>
  <w:style w:type="paragraph" w:styleId="ListParagraph">
    <w:name w:val="List Paragraph"/>
    <w:basedOn w:val="Normal"/>
    <w:uiPriority w:val="34"/>
    <w:qFormat/>
    <w:rsid w:val="00977AA6"/>
    <w:pPr>
      <w:ind w:left="720"/>
      <w:contextualSpacing/>
    </w:pPr>
  </w:style>
  <w:style w:type="character" w:styleId="UnresolvedMention">
    <w:name w:val="Unresolved Mention"/>
    <w:uiPriority w:val="99"/>
    <w:semiHidden/>
    <w:unhideWhenUsed/>
    <w:rsid w:val="002E0488"/>
    <w:rPr>
      <w:color w:val="605E5C"/>
      <w:shd w:val="clear" w:color="auto" w:fill="E1DFDD"/>
    </w:rPr>
  </w:style>
  <w:style w:type="paragraph" w:styleId="Bibliography">
    <w:name w:val="Bibliography"/>
    <w:basedOn w:val="Normal"/>
    <w:next w:val="Normal"/>
    <w:uiPriority w:val="37"/>
    <w:unhideWhenUsed/>
    <w:rsid w:val="004D0CB6"/>
    <w:pPr>
      <w:spacing w:line="480" w:lineRule="auto"/>
      <w:ind w:left="720" w:hanging="720"/>
    </w:pPr>
  </w:style>
  <w:style w:type="paragraph" w:styleId="BalloonText">
    <w:name w:val="Balloon Text"/>
    <w:basedOn w:val="Normal"/>
    <w:link w:val="BalloonTextChar"/>
    <w:uiPriority w:val="99"/>
    <w:semiHidden/>
    <w:unhideWhenUsed/>
    <w:rsid w:val="00F4350E"/>
    <w:rPr>
      <w:rFonts w:ascii="Segoe UI" w:hAnsi="Segoe UI" w:cs="Segoe UI"/>
      <w:sz w:val="18"/>
      <w:szCs w:val="18"/>
    </w:rPr>
  </w:style>
  <w:style w:type="character" w:customStyle="1" w:styleId="BalloonTextChar">
    <w:name w:val="Balloon Text Char"/>
    <w:link w:val="BalloonText"/>
    <w:uiPriority w:val="99"/>
    <w:semiHidden/>
    <w:rsid w:val="00F4350E"/>
    <w:rPr>
      <w:rFonts w:ascii="Segoe UI" w:eastAsia="Times" w:hAnsi="Segoe UI" w:cs="Segoe UI"/>
      <w:sz w:val="18"/>
      <w:szCs w:val="18"/>
      <w:lang w:eastAsia="en-US"/>
    </w:rPr>
  </w:style>
  <w:style w:type="character" w:styleId="FollowedHyperlink">
    <w:name w:val="FollowedHyperlink"/>
    <w:basedOn w:val="DefaultParagraphFont"/>
    <w:uiPriority w:val="99"/>
    <w:semiHidden/>
    <w:unhideWhenUsed/>
    <w:rsid w:val="0034175F"/>
    <w:rPr>
      <w:color w:val="954F72" w:themeColor="followedHyperlink"/>
      <w:u w:val="single"/>
    </w:rPr>
  </w:style>
  <w:style w:type="character" w:styleId="LineNumber">
    <w:name w:val="line number"/>
    <w:basedOn w:val="DefaultParagraphFont"/>
    <w:uiPriority w:val="99"/>
    <w:semiHidden/>
    <w:unhideWhenUsed/>
    <w:rsid w:val="00A7277F"/>
  </w:style>
  <w:style w:type="table" w:styleId="TableGrid">
    <w:name w:val="Table Grid"/>
    <w:basedOn w:val="TableNormal"/>
    <w:uiPriority w:val="39"/>
    <w:rsid w:val="002B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3C4D"/>
    <w:pPr>
      <w:spacing w:after="200"/>
    </w:pPr>
    <w:rPr>
      <w:i/>
      <w:iCs/>
      <w:color w:val="44546A" w:themeColor="text2"/>
      <w:sz w:val="18"/>
      <w:szCs w:val="18"/>
    </w:rPr>
  </w:style>
  <w:style w:type="character" w:customStyle="1" w:styleId="Heading1Char">
    <w:name w:val="Heading 1 Char"/>
    <w:basedOn w:val="DefaultParagraphFont"/>
    <w:link w:val="Heading1"/>
    <w:uiPriority w:val="9"/>
    <w:rsid w:val="00A16F8A"/>
    <w:rPr>
      <w:rFonts w:ascii="Times New Roman" w:eastAsia="Times" w:hAnsi="Times New Roman"/>
      <w:b/>
      <w:bCs/>
      <w:sz w:val="24"/>
    </w:rPr>
  </w:style>
  <w:style w:type="character" w:customStyle="1" w:styleId="Heading2Char">
    <w:name w:val="Heading 2 Char"/>
    <w:basedOn w:val="DefaultParagraphFont"/>
    <w:link w:val="Heading2"/>
    <w:uiPriority w:val="9"/>
    <w:rsid w:val="00F2748E"/>
    <w:rPr>
      <w:rFonts w:ascii="Times New Roman" w:eastAsia="Times" w:hAnsi="Times New Roman"/>
      <w:b/>
      <w:sz w:val="24"/>
    </w:rPr>
  </w:style>
  <w:style w:type="character" w:customStyle="1" w:styleId="Heading3Char">
    <w:name w:val="Heading 3 Char"/>
    <w:basedOn w:val="DefaultParagraphFont"/>
    <w:link w:val="Heading3"/>
    <w:uiPriority w:val="9"/>
    <w:rsid w:val="000957D1"/>
    <w:rPr>
      <w:rFonts w:ascii="Times" w:eastAsia="Times" w:hAnsi="Times"/>
      <w:b/>
      <w:i/>
      <w:sz w:val="24"/>
      <w:u w:val="single"/>
    </w:rPr>
  </w:style>
  <w:style w:type="character" w:styleId="PlaceholderText">
    <w:name w:val="Placeholder Text"/>
    <w:basedOn w:val="DefaultParagraphFont"/>
    <w:uiPriority w:val="99"/>
    <w:semiHidden/>
    <w:rsid w:val="00FB5B9E"/>
    <w:rPr>
      <w:color w:val="808080"/>
    </w:rPr>
  </w:style>
  <w:style w:type="paragraph" w:customStyle="1" w:styleId="whitespace-pre-wrap">
    <w:name w:val="whitespace-pre-wrap"/>
    <w:basedOn w:val="Normal"/>
    <w:rsid w:val="00B62B00"/>
    <w:pPr>
      <w:spacing w:before="100" w:beforeAutospacing="1" w:after="100" w:afterAutospacing="1"/>
    </w:pPr>
    <w:rPr>
      <w:rFonts w:ascii="Times New Roman" w:eastAsia="Times New Roman" w:hAnsi="Times New Roman"/>
      <w:szCs w:val="24"/>
    </w:rPr>
  </w:style>
  <w:style w:type="paragraph" w:customStyle="1" w:styleId="whitespace-normal">
    <w:name w:val="whitespace-normal"/>
    <w:basedOn w:val="Normal"/>
    <w:rsid w:val="00B62B00"/>
    <w:pPr>
      <w:spacing w:before="100" w:beforeAutospacing="1" w:after="100" w:afterAutospacing="1"/>
    </w:pPr>
    <w:rPr>
      <w:rFonts w:ascii="Times New Roman" w:eastAsia="Times New Roman" w:hAnsi="Times New Roman"/>
      <w:szCs w:val="24"/>
    </w:rPr>
  </w:style>
  <w:style w:type="paragraph" w:customStyle="1" w:styleId="c-bibliographic-informationcitation">
    <w:name w:val="c-bibliographic-information__citation"/>
    <w:basedOn w:val="Normal"/>
    <w:rsid w:val="00E0612F"/>
    <w:pPr>
      <w:spacing w:before="100" w:beforeAutospacing="1" w:after="100" w:afterAutospacing="1"/>
    </w:pPr>
    <w:rPr>
      <w:rFonts w:ascii="Times New Roman" w:eastAsia="Times New Roman" w:hAnsi="Times New Roman"/>
      <w:szCs w:val="24"/>
    </w:rPr>
  </w:style>
  <w:style w:type="paragraph" w:styleId="FootnoteText">
    <w:name w:val="footnote text"/>
    <w:basedOn w:val="Normal"/>
    <w:link w:val="FootnoteTextChar"/>
    <w:uiPriority w:val="99"/>
    <w:unhideWhenUsed/>
    <w:rsid w:val="00BB1459"/>
    <w:rPr>
      <w:sz w:val="20"/>
    </w:rPr>
  </w:style>
  <w:style w:type="character" w:customStyle="1" w:styleId="FootnoteTextChar">
    <w:name w:val="Footnote Text Char"/>
    <w:basedOn w:val="DefaultParagraphFont"/>
    <w:link w:val="FootnoteText"/>
    <w:uiPriority w:val="99"/>
    <w:rsid w:val="00BB1459"/>
    <w:rPr>
      <w:rFonts w:ascii="Times" w:eastAsia="Times" w:hAnsi="Times"/>
    </w:rPr>
  </w:style>
  <w:style w:type="character" w:styleId="FootnoteReference">
    <w:name w:val="footnote reference"/>
    <w:basedOn w:val="DefaultParagraphFont"/>
    <w:uiPriority w:val="99"/>
    <w:semiHidden/>
    <w:unhideWhenUsed/>
    <w:rsid w:val="00BB1459"/>
    <w:rPr>
      <w:vertAlign w:val="superscript"/>
    </w:rPr>
  </w:style>
  <w:style w:type="character" w:customStyle="1" w:styleId="ng-star-inserted">
    <w:name w:val="ng-star-inserted"/>
    <w:basedOn w:val="DefaultParagraphFont"/>
    <w:rsid w:val="00B5374C"/>
  </w:style>
  <w:style w:type="character" w:styleId="EndnoteReference">
    <w:name w:val="endnote reference"/>
    <w:basedOn w:val="DefaultParagraphFont"/>
    <w:uiPriority w:val="99"/>
    <w:semiHidden/>
    <w:unhideWhenUsed/>
    <w:rsid w:val="00DE2670"/>
    <w:rPr>
      <w:vertAlign w:val="superscript"/>
    </w:rPr>
  </w:style>
  <w:style w:type="character" w:customStyle="1" w:styleId="sr-only">
    <w:name w:val="sr-only"/>
    <w:basedOn w:val="DefaultParagraphFont"/>
    <w:rsid w:val="00270008"/>
  </w:style>
  <w:style w:type="character" w:customStyle="1" w:styleId="react-xocs-alternative-link">
    <w:name w:val="react-xocs-alternative-link"/>
    <w:basedOn w:val="DefaultParagraphFont"/>
    <w:rsid w:val="00426A6E"/>
  </w:style>
  <w:style w:type="character" w:customStyle="1" w:styleId="given-name">
    <w:name w:val="given-name"/>
    <w:basedOn w:val="DefaultParagraphFont"/>
    <w:rsid w:val="00426A6E"/>
  </w:style>
  <w:style w:type="character" w:customStyle="1" w:styleId="text">
    <w:name w:val="text"/>
    <w:basedOn w:val="DefaultParagraphFont"/>
    <w:rsid w:val="00426A6E"/>
  </w:style>
  <w:style w:type="character" w:customStyle="1" w:styleId="author-ref">
    <w:name w:val="author-ref"/>
    <w:basedOn w:val="DefaultParagraphFont"/>
    <w:rsid w:val="00426A6E"/>
  </w:style>
  <w:style w:type="character" w:customStyle="1" w:styleId="anchor-text">
    <w:name w:val="anchor-text"/>
    <w:basedOn w:val="DefaultParagraphFont"/>
    <w:rsid w:val="0042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462">
      <w:bodyDiv w:val="1"/>
      <w:marLeft w:val="0"/>
      <w:marRight w:val="0"/>
      <w:marTop w:val="0"/>
      <w:marBottom w:val="0"/>
      <w:divBdr>
        <w:top w:val="none" w:sz="0" w:space="0" w:color="auto"/>
        <w:left w:val="none" w:sz="0" w:space="0" w:color="auto"/>
        <w:bottom w:val="none" w:sz="0" w:space="0" w:color="auto"/>
        <w:right w:val="none" w:sz="0" w:space="0" w:color="auto"/>
      </w:divBdr>
    </w:div>
    <w:div w:id="76947984">
      <w:bodyDiv w:val="1"/>
      <w:marLeft w:val="0"/>
      <w:marRight w:val="0"/>
      <w:marTop w:val="0"/>
      <w:marBottom w:val="0"/>
      <w:divBdr>
        <w:top w:val="none" w:sz="0" w:space="0" w:color="auto"/>
        <w:left w:val="none" w:sz="0" w:space="0" w:color="auto"/>
        <w:bottom w:val="none" w:sz="0" w:space="0" w:color="auto"/>
        <w:right w:val="none" w:sz="0" w:space="0" w:color="auto"/>
      </w:divBdr>
      <w:divsChild>
        <w:div w:id="487091007">
          <w:marLeft w:val="480"/>
          <w:marRight w:val="0"/>
          <w:marTop w:val="0"/>
          <w:marBottom w:val="0"/>
          <w:divBdr>
            <w:top w:val="none" w:sz="0" w:space="0" w:color="auto"/>
            <w:left w:val="none" w:sz="0" w:space="0" w:color="auto"/>
            <w:bottom w:val="none" w:sz="0" w:space="0" w:color="auto"/>
            <w:right w:val="none" w:sz="0" w:space="0" w:color="auto"/>
          </w:divBdr>
          <w:divsChild>
            <w:div w:id="10168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5535">
      <w:bodyDiv w:val="1"/>
      <w:marLeft w:val="0"/>
      <w:marRight w:val="0"/>
      <w:marTop w:val="0"/>
      <w:marBottom w:val="0"/>
      <w:divBdr>
        <w:top w:val="none" w:sz="0" w:space="0" w:color="auto"/>
        <w:left w:val="none" w:sz="0" w:space="0" w:color="auto"/>
        <w:bottom w:val="none" w:sz="0" w:space="0" w:color="auto"/>
        <w:right w:val="none" w:sz="0" w:space="0" w:color="auto"/>
      </w:divBdr>
      <w:divsChild>
        <w:div w:id="139751275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25279320">
      <w:bodyDiv w:val="1"/>
      <w:marLeft w:val="0"/>
      <w:marRight w:val="0"/>
      <w:marTop w:val="0"/>
      <w:marBottom w:val="0"/>
      <w:divBdr>
        <w:top w:val="none" w:sz="0" w:space="0" w:color="auto"/>
        <w:left w:val="none" w:sz="0" w:space="0" w:color="auto"/>
        <w:bottom w:val="none" w:sz="0" w:space="0" w:color="auto"/>
        <w:right w:val="none" w:sz="0" w:space="0" w:color="auto"/>
      </w:divBdr>
    </w:div>
    <w:div w:id="325860576">
      <w:bodyDiv w:val="1"/>
      <w:marLeft w:val="0"/>
      <w:marRight w:val="0"/>
      <w:marTop w:val="0"/>
      <w:marBottom w:val="0"/>
      <w:divBdr>
        <w:top w:val="none" w:sz="0" w:space="0" w:color="auto"/>
        <w:left w:val="none" w:sz="0" w:space="0" w:color="auto"/>
        <w:bottom w:val="none" w:sz="0" w:space="0" w:color="auto"/>
        <w:right w:val="none" w:sz="0" w:space="0" w:color="auto"/>
      </w:divBdr>
    </w:div>
    <w:div w:id="360672641">
      <w:bodyDiv w:val="1"/>
      <w:marLeft w:val="0"/>
      <w:marRight w:val="0"/>
      <w:marTop w:val="0"/>
      <w:marBottom w:val="0"/>
      <w:divBdr>
        <w:top w:val="none" w:sz="0" w:space="0" w:color="auto"/>
        <w:left w:val="none" w:sz="0" w:space="0" w:color="auto"/>
        <w:bottom w:val="none" w:sz="0" w:space="0" w:color="auto"/>
        <w:right w:val="none" w:sz="0" w:space="0" w:color="auto"/>
      </w:divBdr>
      <w:divsChild>
        <w:div w:id="1851141683">
          <w:marLeft w:val="0"/>
          <w:marRight w:val="0"/>
          <w:marTop w:val="0"/>
          <w:marBottom w:val="0"/>
          <w:divBdr>
            <w:top w:val="single" w:sz="2" w:space="0" w:color="auto"/>
            <w:left w:val="single" w:sz="2" w:space="0" w:color="auto"/>
            <w:bottom w:val="single" w:sz="2" w:space="0" w:color="auto"/>
            <w:right w:val="single" w:sz="2" w:space="0" w:color="auto"/>
          </w:divBdr>
          <w:divsChild>
            <w:div w:id="2905221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4817032">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497036161">
      <w:bodyDiv w:val="1"/>
      <w:marLeft w:val="0"/>
      <w:marRight w:val="0"/>
      <w:marTop w:val="0"/>
      <w:marBottom w:val="0"/>
      <w:divBdr>
        <w:top w:val="none" w:sz="0" w:space="0" w:color="auto"/>
        <w:left w:val="none" w:sz="0" w:space="0" w:color="auto"/>
        <w:bottom w:val="none" w:sz="0" w:space="0" w:color="auto"/>
        <w:right w:val="none" w:sz="0" w:space="0" w:color="auto"/>
      </w:divBdr>
    </w:div>
    <w:div w:id="503086826">
      <w:bodyDiv w:val="1"/>
      <w:marLeft w:val="0"/>
      <w:marRight w:val="0"/>
      <w:marTop w:val="0"/>
      <w:marBottom w:val="0"/>
      <w:divBdr>
        <w:top w:val="none" w:sz="0" w:space="0" w:color="auto"/>
        <w:left w:val="none" w:sz="0" w:space="0" w:color="auto"/>
        <w:bottom w:val="none" w:sz="0" w:space="0" w:color="auto"/>
        <w:right w:val="none" w:sz="0" w:space="0" w:color="auto"/>
      </w:divBdr>
    </w:div>
    <w:div w:id="543325161">
      <w:bodyDiv w:val="1"/>
      <w:marLeft w:val="0"/>
      <w:marRight w:val="0"/>
      <w:marTop w:val="0"/>
      <w:marBottom w:val="0"/>
      <w:divBdr>
        <w:top w:val="none" w:sz="0" w:space="0" w:color="auto"/>
        <w:left w:val="none" w:sz="0" w:space="0" w:color="auto"/>
        <w:bottom w:val="none" w:sz="0" w:space="0" w:color="auto"/>
        <w:right w:val="none" w:sz="0" w:space="0" w:color="auto"/>
      </w:divBdr>
    </w:div>
    <w:div w:id="557328488">
      <w:bodyDiv w:val="1"/>
      <w:marLeft w:val="0"/>
      <w:marRight w:val="0"/>
      <w:marTop w:val="0"/>
      <w:marBottom w:val="0"/>
      <w:divBdr>
        <w:top w:val="none" w:sz="0" w:space="0" w:color="auto"/>
        <w:left w:val="none" w:sz="0" w:space="0" w:color="auto"/>
        <w:bottom w:val="none" w:sz="0" w:space="0" w:color="auto"/>
        <w:right w:val="none" w:sz="0" w:space="0" w:color="auto"/>
      </w:divBdr>
    </w:div>
    <w:div w:id="619996448">
      <w:bodyDiv w:val="1"/>
      <w:marLeft w:val="0"/>
      <w:marRight w:val="0"/>
      <w:marTop w:val="0"/>
      <w:marBottom w:val="0"/>
      <w:divBdr>
        <w:top w:val="none" w:sz="0" w:space="0" w:color="auto"/>
        <w:left w:val="none" w:sz="0" w:space="0" w:color="auto"/>
        <w:bottom w:val="none" w:sz="0" w:space="0" w:color="auto"/>
        <w:right w:val="none" w:sz="0" w:space="0" w:color="auto"/>
      </w:divBdr>
    </w:div>
    <w:div w:id="722023757">
      <w:bodyDiv w:val="1"/>
      <w:marLeft w:val="0"/>
      <w:marRight w:val="0"/>
      <w:marTop w:val="0"/>
      <w:marBottom w:val="0"/>
      <w:divBdr>
        <w:top w:val="none" w:sz="0" w:space="0" w:color="auto"/>
        <w:left w:val="none" w:sz="0" w:space="0" w:color="auto"/>
        <w:bottom w:val="none" w:sz="0" w:space="0" w:color="auto"/>
        <w:right w:val="none" w:sz="0" w:space="0" w:color="auto"/>
      </w:divBdr>
    </w:div>
    <w:div w:id="737677406">
      <w:bodyDiv w:val="1"/>
      <w:marLeft w:val="0"/>
      <w:marRight w:val="0"/>
      <w:marTop w:val="0"/>
      <w:marBottom w:val="0"/>
      <w:divBdr>
        <w:top w:val="none" w:sz="0" w:space="0" w:color="auto"/>
        <w:left w:val="none" w:sz="0" w:space="0" w:color="auto"/>
        <w:bottom w:val="none" w:sz="0" w:space="0" w:color="auto"/>
        <w:right w:val="none" w:sz="0" w:space="0" w:color="auto"/>
      </w:divBdr>
      <w:divsChild>
        <w:div w:id="4353660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57603835">
      <w:bodyDiv w:val="1"/>
      <w:marLeft w:val="0"/>
      <w:marRight w:val="0"/>
      <w:marTop w:val="0"/>
      <w:marBottom w:val="0"/>
      <w:divBdr>
        <w:top w:val="none" w:sz="0" w:space="0" w:color="auto"/>
        <w:left w:val="none" w:sz="0" w:space="0" w:color="auto"/>
        <w:bottom w:val="none" w:sz="0" w:space="0" w:color="auto"/>
        <w:right w:val="none" w:sz="0" w:space="0" w:color="auto"/>
      </w:divBdr>
      <w:divsChild>
        <w:div w:id="1488324186">
          <w:marLeft w:val="0"/>
          <w:marRight w:val="0"/>
          <w:marTop w:val="0"/>
          <w:marBottom w:val="0"/>
          <w:divBdr>
            <w:top w:val="none" w:sz="0" w:space="0" w:color="auto"/>
            <w:left w:val="none" w:sz="0" w:space="0" w:color="auto"/>
            <w:bottom w:val="none" w:sz="0" w:space="0" w:color="auto"/>
            <w:right w:val="none" w:sz="0" w:space="0" w:color="auto"/>
          </w:divBdr>
          <w:divsChild>
            <w:div w:id="1639413203">
              <w:marLeft w:val="0"/>
              <w:marRight w:val="0"/>
              <w:marTop w:val="0"/>
              <w:marBottom w:val="0"/>
              <w:divBdr>
                <w:top w:val="none" w:sz="0" w:space="0" w:color="auto"/>
                <w:left w:val="none" w:sz="0" w:space="0" w:color="auto"/>
                <w:bottom w:val="none" w:sz="0" w:space="0" w:color="auto"/>
                <w:right w:val="none" w:sz="0" w:space="0" w:color="auto"/>
              </w:divBdr>
              <w:divsChild>
                <w:div w:id="982389518">
                  <w:marLeft w:val="0"/>
                  <w:marRight w:val="0"/>
                  <w:marTop w:val="0"/>
                  <w:marBottom w:val="0"/>
                  <w:divBdr>
                    <w:top w:val="none" w:sz="0" w:space="0" w:color="auto"/>
                    <w:left w:val="none" w:sz="0" w:space="0" w:color="auto"/>
                    <w:bottom w:val="none" w:sz="0" w:space="0" w:color="auto"/>
                    <w:right w:val="none" w:sz="0" w:space="0" w:color="auto"/>
                  </w:divBdr>
                  <w:divsChild>
                    <w:div w:id="268002182">
                      <w:marLeft w:val="0"/>
                      <w:marRight w:val="0"/>
                      <w:marTop w:val="0"/>
                      <w:marBottom w:val="0"/>
                      <w:divBdr>
                        <w:top w:val="none" w:sz="0" w:space="0" w:color="auto"/>
                        <w:left w:val="none" w:sz="0" w:space="0" w:color="auto"/>
                        <w:bottom w:val="none" w:sz="0" w:space="0" w:color="auto"/>
                        <w:right w:val="none" w:sz="0" w:space="0" w:color="auto"/>
                      </w:divBdr>
                      <w:divsChild>
                        <w:div w:id="1254781977">
                          <w:marLeft w:val="0"/>
                          <w:marRight w:val="0"/>
                          <w:marTop w:val="0"/>
                          <w:marBottom w:val="0"/>
                          <w:divBdr>
                            <w:top w:val="none" w:sz="0" w:space="0" w:color="auto"/>
                            <w:left w:val="none" w:sz="0" w:space="0" w:color="auto"/>
                            <w:bottom w:val="none" w:sz="0" w:space="0" w:color="auto"/>
                            <w:right w:val="none" w:sz="0" w:space="0" w:color="auto"/>
                          </w:divBdr>
                          <w:divsChild>
                            <w:div w:id="1855608026">
                              <w:marLeft w:val="0"/>
                              <w:marRight w:val="0"/>
                              <w:marTop w:val="0"/>
                              <w:marBottom w:val="0"/>
                              <w:divBdr>
                                <w:top w:val="none" w:sz="0" w:space="0" w:color="auto"/>
                                <w:left w:val="none" w:sz="0" w:space="0" w:color="auto"/>
                                <w:bottom w:val="none" w:sz="0" w:space="0" w:color="auto"/>
                                <w:right w:val="none" w:sz="0" w:space="0" w:color="auto"/>
                              </w:divBdr>
                              <w:divsChild>
                                <w:div w:id="495078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36452600">
                  <w:marLeft w:val="0"/>
                  <w:marRight w:val="0"/>
                  <w:marTop w:val="0"/>
                  <w:marBottom w:val="0"/>
                  <w:divBdr>
                    <w:top w:val="none" w:sz="0" w:space="0" w:color="auto"/>
                    <w:left w:val="none" w:sz="0" w:space="0" w:color="auto"/>
                    <w:bottom w:val="none" w:sz="0" w:space="0" w:color="auto"/>
                    <w:right w:val="none" w:sz="0" w:space="0" w:color="auto"/>
                  </w:divBdr>
                  <w:divsChild>
                    <w:div w:id="2577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55948">
      <w:bodyDiv w:val="1"/>
      <w:marLeft w:val="0"/>
      <w:marRight w:val="0"/>
      <w:marTop w:val="0"/>
      <w:marBottom w:val="0"/>
      <w:divBdr>
        <w:top w:val="none" w:sz="0" w:space="0" w:color="auto"/>
        <w:left w:val="none" w:sz="0" w:space="0" w:color="auto"/>
        <w:bottom w:val="none" w:sz="0" w:space="0" w:color="auto"/>
        <w:right w:val="none" w:sz="0" w:space="0" w:color="auto"/>
      </w:divBdr>
      <w:divsChild>
        <w:div w:id="1900751307">
          <w:marLeft w:val="0"/>
          <w:marRight w:val="0"/>
          <w:marTop w:val="0"/>
          <w:marBottom w:val="0"/>
          <w:divBdr>
            <w:top w:val="none" w:sz="0" w:space="0" w:color="auto"/>
            <w:left w:val="none" w:sz="0" w:space="0" w:color="auto"/>
            <w:bottom w:val="none" w:sz="0" w:space="0" w:color="auto"/>
            <w:right w:val="none" w:sz="0" w:space="0" w:color="auto"/>
          </w:divBdr>
          <w:divsChild>
            <w:div w:id="482547193">
              <w:marLeft w:val="0"/>
              <w:marRight w:val="0"/>
              <w:marTop w:val="0"/>
              <w:marBottom w:val="0"/>
              <w:divBdr>
                <w:top w:val="none" w:sz="0" w:space="0" w:color="auto"/>
                <w:left w:val="none" w:sz="0" w:space="0" w:color="auto"/>
                <w:bottom w:val="none" w:sz="0" w:space="0" w:color="auto"/>
                <w:right w:val="none" w:sz="0" w:space="0" w:color="auto"/>
              </w:divBdr>
              <w:divsChild>
                <w:div w:id="1313563742">
                  <w:marLeft w:val="0"/>
                  <w:marRight w:val="0"/>
                  <w:marTop w:val="0"/>
                  <w:marBottom w:val="0"/>
                  <w:divBdr>
                    <w:top w:val="none" w:sz="0" w:space="0" w:color="auto"/>
                    <w:left w:val="none" w:sz="0" w:space="0" w:color="auto"/>
                    <w:bottom w:val="none" w:sz="0" w:space="0" w:color="auto"/>
                    <w:right w:val="none" w:sz="0" w:space="0" w:color="auto"/>
                  </w:divBdr>
                  <w:divsChild>
                    <w:div w:id="1324429314">
                      <w:marLeft w:val="0"/>
                      <w:marRight w:val="0"/>
                      <w:marTop w:val="0"/>
                      <w:marBottom w:val="0"/>
                      <w:divBdr>
                        <w:top w:val="none" w:sz="0" w:space="0" w:color="auto"/>
                        <w:left w:val="none" w:sz="0" w:space="0" w:color="auto"/>
                        <w:bottom w:val="none" w:sz="0" w:space="0" w:color="auto"/>
                        <w:right w:val="none" w:sz="0" w:space="0" w:color="auto"/>
                      </w:divBdr>
                      <w:divsChild>
                        <w:div w:id="31540488">
                          <w:marLeft w:val="0"/>
                          <w:marRight w:val="0"/>
                          <w:marTop w:val="0"/>
                          <w:marBottom w:val="0"/>
                          <w:divBdr>
                            <w:top w:val="none" w:sz="0" w:space="0" w:color="auto"/>
                            <w:left w:val="none" w:sz="0" w:space="0" w:color="auto"/>
                            <w:bottom w:val="none" w:sz="0" w:space="0" w:color="auto"/>
                            <w:right w:val="none" w:sz="0" w:space="0" w:color="auto"/>
                          </w:divBdr>
                          <w:divsChild>
                            <w:div w:id="2011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2414">
                      <w:marLeft w:val="0"/>
                      <w:marRight w:val="0"/>
                      <w:marTop w:val="0"/>
                      <w:marBottom w:val="0"/>
                      <w:divBdr>
                        <w:top w:val="none" w:sz="0" w:space="0" w:color="auto"/>
                        <w:left w:val="none" w:sz="0" w:space="0" w:color="auto"/>
                        <w:bottom w:val="none" w:sz="0" w:space="0" w:color="auto"/>
                        <w:right w:val="none" w:sz="0" w:space="0" w:color="auto"/>
                      </w:divBdr>
                      <w:divsChild>
                        <w:div w:id="1500610435">
                          <w:marLeft w:val="0"/>
                          <w:marRight w:val="0"/>
                          <w:marTop w:val="0"/>
                          <w:marBottom w:val="0"/>
                          <w:divBdr>
                            <w:top w:val="none" w:sz="0" w:space="0" w:color="auto"/>
                            <w:left w:val="none" w:sz="0" w:space="0" w:color="auto"/>
                            <w:bottom w:val="none" w:sz="0" w:space="0" w:color="auto"/>
                            <w:right w:val="none" w:sz="0" w:space="0" w:color="auto"/>
                          </w:divBdr>
                          <w:divsChild>
                            <w:div w:id="55665139">
                              <w:marLeft w:val="0"/>
                              <w:marRight w:val="0"/>
                              <w:marTop w:val="0"/>
                              <w:marBottom w:val="0"/>
                              <w:divBdr>
                                <w:top w:val="none" w:sz="0" w:space="0" w:color="auto"/>
                                <w:left w:val="none" w:sz="0" w:space="0" w:color="auto"/>
                                <w:bottom w:val="none" w:sz="0" w:space="0" w:color="auto"/>
                                <w:right w:val="none" w:sz="0" w:space="0" w:color="auto"/>
                              </w:divBdr>
                              <w:divsChild>
                                <w:div w:id="14118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5037">
          <w:marLeft w:val="0"/>
          <w:marRight w:val="0"/>
          <w:marTop w:val="0"/>
          <w:marBottom w:val="0"/>
          <w:divBdr>
            <w:top w:val="none" w:sz="0" w:space="0" w:color="auto"/>
            <w:left w:val="none" w:sz="0" w:space="0" w:color="auto"/>
            <w:bottom w:val="none" w:sz="0" w:space="0" w:color="auto"/>
            <w:right w:val="none" w:sz="0" w:space="0" w:color="auto"/>
          </w:divBdr>
          <w:divsChild>
            <w:div w:id="1558004928">
              <w:marLeft w:val="0"/>
              <w:marRight w:val="0"/>
              <w:marTop w:val="0"/>
              <w:marBottom w:val="0"/>
              <w:divBdr>
                <w:top w:val="none" w:sz="0" w:space="0" w:color="auto"/>
                <w:left w:val="none" w:sz="0" w:space="0" w:color="auto"/>
                <w:bottom w:val="none" w:sz="0" w:space="0" w:color="auto"/>
                <w:right w:val="none" w:sz="0" w:space="0" w:color="auto"/>
              </w:divBdr>
              <w:divsChild>
                <w:div w:id="973605604">
                  <w:marLeft w:val="0"/>
                  <w:marRight w:val="0"/>
                  <w:marTop w:val="0"/>
                  <w:marBottom w:val="0"/>
                  <w:divBdr>
                    <w:top w:val="none" w:sz="0" w:space="0" w:color="auto"/>
                    <w:left w:val="none" w:sz="0" w:space="0" w:color="auto"/>
                    <w:bottom w:val="none" w:sz="0" w:space="0" w:color="auto"/>
                    <w:right w:val="none" w:sz="0" w:space="0" w:color="auto"/>
                  </w:divBdr>
                  <w:divsChild>
                    <w:div w:id="1206334986">
                      <w:marLeft w:val="0"/>
                      <w:marRight w:val="0"/>
                      <w:marTop w:val="0"/>
                      <w:marBottom w:val="0"/>
                      <w:divBdr>
                        <w:top w:val="none" w:sz="0" w:space="0" w:color="auto"/>
                        <w:left w:val="none" w:sz="0" w:space="0" w:color="auto"/>
                        <w:bottom w:val="none" w:sz="0" w:space="0" w:color="auto"/>
                        <w:right w:val="none" w:sz="0" w:space="0" w:color="auto"/>
                      </w:divBdr>
                      <w:divsChild>
                        <w:div w:id="77993494">
                          <w:marLeft w:val="0"/>
                          <w:marRight w:val="0"/>
                          <w:marTop w:val="0"/>
                          <w:marBottom w:val="0"/>
                          <w:divBdr>
                            <w:top w:val="none" w:sz="0" w:space="0" w:color="auto"/>
                            <w:left w:val="none" w:sz="0" w:space="0" w:color="auto"/>
                            <w:bottom w:val="none" w:sz="0" w:space="0" w:color="auto"/>
                            <w:right w:val="none" w:sz="0" w:space="0" w:color="auto"/>
                          </w:divBdr>
                          <w:divsChild>
                            <w:div w:id="1914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3285">
      <w:bodyDiv w:val="1"/>
      <w:marLeft w:val="0"/>
      <w:marRight w:val="0"/>
      <w:marTop w:val="0"/>
      <w:marBottom w:val="0"/>
      <w:divBdr>
        <w:top w:val="none" w:sz="0" w:space="0" w:color="auto"/>
        <w:left w:val="none" w:sz="0" w:space="0" w:color="auto"/>
        <w:bottom w:val="none" w:sz="0" w:space="0" w:color="auto"/>
        <w:right w:val="none" w:sz="0" w:space="0" w:color="auto"/>
      </w:divBdr>
    </w:div>
    <w:div w:id="1034230690">
      <w:bodyDiv w:val="1"/>
      <w:marLeft w:val="0"/>
      <w:marRight w:val="0"/>
      <w:marTop w:val="0"/>
      <w:marBottom w:val="0"/>
      <w:divBdr>
        <w:top w:val="none" w:sz="0" w:space="0" w:color="auto"/>
        <w:left w:val="none" w:sz="0" w:space="0" w:color="auto"/>
        <w:bottom w:val="none" w:sz="0" w:space="0" w:color="auto"/>
        <w:right w:val="none" w:sz="0" w:space="0" w:color="auto"/>
      </w:divBdr>
      <w:divsChild>
        <w:div w:id="1233345204">
          <w:marLeft w:val="0"/>
          <w:marRight w:val="0"/>
          <w:marTop w:val="0"/>
          <w:marBottom w:val="0"/>
          <w:divBdr>
            <w:top w:val="none" w:sz="0" w:space="0" w:color="auto"/>
            <w:left w:val="none" w:sz="0" w:space="0" w:color="auto"/>
            <w:bottom w:val="none" w:sz="0" w:space="0" w:color="auto"/>
            <w:right w:val="none" w:sz="0" w:space="0" w:color="auto"/>
          </w:divBdr>
          <w:divsChild>
            <w:div w:id="1506280563">
              <w:marLeft w:val="0"/>
              <w:marRight w:val="0"/>
              <w:marTop w:val="0"/>
              <w:marBottom w:val="0"/>
              <w:divBdr>
                <w:top w:val="none" w:sz="0" w:space="0" w:color="auto"/>
                <w:left w:val="none" w:sz="0" w:space="0" w:color="auto"/>
                <w:bottom w:val="none" w:sz="0" w:space="0" w:color="auto"/>
                <w:right w:val="none" w:sz="0" w:space="0" w:color="auto"/>
              </w:divBdr>
              <w:divsChild>
                <w:div w:id="1165969673">
                  <w:marLeft w:val="0"/>
                  <w:marRight w:val="0"/>
                  <w:marTop w:val="0"/>
                  <w:marBottom w:val="0"/>
                  <w:divBdr>
                    <w:top w:val="none" w:sz="0" w:space="0" w:color="auto"/>
                    <w:left w:val="none" w:sz="0" w:space="0" w:color="auto"/>
                    <w:bottom w:val="none" w:sz="0" w:space="0" w:color="auto"/>
                    <w:right w:val="none" w:sz="0" w:space="0" w:color="auto"/>
                  </w:divBdr>
                  <w:divsChild>
                    <w:div w:id="1925340365">
                      <w:marLeft w:val="0"/>
                      <w:marRight w:val="0"/>
                      <w:marTop w:val="0"/>
                      <w:marBottom w:val="0"/>
                      <w:divBdr>
                        <w:top w:val="none" w:sz="0" w:space="0" w:color="auto"/>
                        <w:left w:val="none" w:sz="0" w:space="0" w:color="auto"/>
                        <w:bottom w:val="none" w:sz="0" w:space="0" w:color="auto"/>
                        <w:right w:val="none" w:sz="0" w:space="0" w:color="auto"/>
                      </w:divBdr>
                      <w:divsChild>
                        <w:div w:id="8603306">
                          <w:marLeft w:val="0"/>
                          <w:marRight w:val="0"/>
                          <w:marTop w:val="0"/>
                          <w:marBottom w:val="0"/>
                          <w:divBdr>
                            <w:top w:val="none" w:sz="0" w:space="0" w:color="auto"/>
                            <w:left w:val="none" w:sz="0" w:space="0" w:color="auto"/>
                            <w:bottom w:val="none" w:sz="0" w:space="0" w:color="auto"/>
                            <w:right w:val="none" w:sz="0" w:space="0" w:color="auto"/>
                          </w:divBdr>
                          <w:divsChild>
                            <w:div w:id="7440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6635">
                  <w:marLeft w:val="0"/>
                  <w:marRight w:val="0"/>
                  <w:marTop w:val="0"/>
                  <w:marBottom w:val="0"/>
                  <w:divBdr>
                    <w:top w:val="none" w:sz="0" w:space="0" w:color="auto"/>
                    <w:left w:val="none" w:sz="0" w:space="0" w:color="auto"/>
                    <w:bottom w:val="none" w:sz="0" w:space="0" w:color="auto"/>
                    <w:right w:val="none" w:sz="0" w:space="0" w:color="auto"/>
                  </w:divBdr>
                  <w:divsChild>
                    <w:div w:id="376438823">
                      <w:marLeft w:val="0"/>
                      <w:marRight w:val="0"/>
                      <w:marTop w:val="0"/>
                      <w:marBottom w:val="0"/>
                      <w:divBdr>
                        <w:top w:val="none" w:sz="0" w:space="0" w:color="auto"/>
                        <w:left w:val="none" w:sz="0" w:space="0" w:color="auto"/>
                        <w:bottom w:val="none" w:sz="0" w:space="0" w:color="auto"/>
                        <w:right w:val="none" w:sz="0" w:space="0" w:color="auto"/>
                      </w:divBdr>
                      <w:divsChild>
                        <w:div w:id="1441296946">
                          <w:marLeft w:val="0"/>
                          <w:marRight w:val="0"/>
                          <w:marTop w:val="0"/>
                          <w:marBottom w:val="0"/>
                          <w:divBdr>
                            <w:top w:val="none" w:sz="0" w:space="0" w:color="auto"/>
                            <w:left w:val="none" w:sz="0" w:space="0" w:color="auto"/>
                            <w:bottom w:val="none" w:sz="0" w:space="0" w:color="auto"/>
                            <w:right w:val="none" w:sz="0" w:space="0" w:color="auto"/>
                          </w:divBdr>
                          <w:divsChild>
                            <w:div w:id="1750080526">
                              <w:marLeft w:val="0"/>
                              <w:marRight w:val="0"/>
                              <w:marTop w:val="0"/>
                              <w:marBottom w:val="0"/>
                              <w:divBdr>
                                <w:top w:val="none" w:sz="0" w:space="0" w:color="auto"/>
                                <w:left w:val="none" w:sz="0" w:space="0" w:color="auto"/>
                                <w:bottom w:val="none" w:sz="0" w:space="0" w:color="auto"/>
                                <w:right w:val="none" w:sz="0" w:space="0" w:color="auto"/>
                              </w:divBdr>
                              <w:divsChild>
                                <w:div w:id="2117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93468">
                  <w:marLeft w:val="0"/>
                  <w:marRight w:val="0"/>
                  <w:marTop w:val="0"/>
                  <w:marBottom w:val="0"/>
                  <w:divBdr>
                    <w:top w:val="none" w:sz="0" w:space="0" w:color="auto"/>
                    <w:left w:val="none" w:sz="0" w:space="0" w:color="auto"/>
                    <w:bottom w:val="none" w:sz="0" w:space="0" w:color="auto"/>
                    <w:right w:val="none" w:sz="0" w:space="0" w:color="auto"/>
                  </w:divBdr>
                  <w:divsChild>
                    <w:div w:id="7190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6686">
      <w:bodyDiv w:val="1"/>
      <w:marLeft w:val="0"/>
      <w:marRight w:val="0"/>
      <w:marTop w:val="0"/>
      <w:marBottom w:val="0"/>
      <w:divBdr>
        <w:top w:val="none" w:sz="0" w:space="0" w:color="auto"/>
        <w:left w:val="none" w:sz="0" w:space="0" w:color="auto"/>
        <w:bottom w:val="none" w:sz="0" w:space="0" w:color="auto"/>
        <w:right w:val="none" w:sz="0" w:space="0" w:color="auto"/>
      </w:divBdr>
      <w:divsChild>
        <w:div w:id="1612321248">
          <w:marLeft w:val="0"/>
          <w:marRight w:val="0"/>
          <w:marTop w:val="0"/>
          <w:marBottom w:val="0"/>
          <w:divBdr>
            <w:top w:val="none" w:sz="0" w:space="0" w:color="auto"/>
            <w:left w:val="none" w:sz="0" w:space="0" w:color="auto"/>
            <w:bottom w:val="none" w:sz="0" w:space="0" w:color="auto"/>
            <w:right w:val="none" w:sz="0" w:space="0" w:color="auto"/>
          </w:divBdr>
        </w:div>
      </w:divsChild>
    </w:div>
    <w:div w:id="1228304400">
      <w:bodyDiv w:val="1"/>
      <w:marLeft w:val="0"/>
      <w:marRight w:val="0"/>
      <w:marTop w:val="0"/>
      <w:marBottom w:val="0"/>
      <w:divBdr>
        <w:top w:val="none" w:sz="0" w:space="0" w:color="auto"/>
        <w:left w:val="none" w:sz="0" w:space="0" w:color="auto"/>
        <w:bottom w:val="none" w:sz="0" w:space="0" w:color="auto"/>
        <w:right w:val="none" w:sz="0" w:space="0" w:color="auto"/>
      </w:divBdr>
    </w:div>
    <w:div w:id="1250232107">
      <w:bodyDiv w:val="1"/>
      <w:marLeft w:val="0"/>
      <w:marRight w:val="0"/>
      <w:marTop w:val="0"/>
      <w:marBottom w:val="0"/>
      <w:divBdr>
        <w:top w:val="none" w:sz="0" w:space="0" w:color="auto"/>
        <w:left w:val="none" w:sz="0" w:space="0" w:color="auto"/>
        <w:bottom w:val="none" w:sz="0" w:space="0" w:color="auto"/>
        <w:right w:val="none" w:sz="0" w:space="0" w:color="auto"/>
      </w:divBdr>
    </w:div>
    <w:div w:id="1254052556">
      <w:bodyDiv w:val="1"/>
      <w:marLeft w:val="0"/>
      <w:marRight w:val="0"/>
      <w:marTop w:val="0"/>
      <w:marBottom w:val="0"/>
      <w:divBdr>
        <w:top w:val="none" w:sz="0" w:space="0" w:color="auto"/>
        <w:left w:val="none" w:sz="0" w:space="0" w:color="auto"/>
        <w:bottom w:val="none" w:sz="0" w:space="0" w:color="auto"/>
        <w:right w:val="none" w:sz="0" w:space="0" w:color="auto"/>
      </w:divBdr>
    </w:div>
    <w:div w:id="1291979511">
      <w:bodyDiv w:val="1"/>
      <w:marLeft w:val="0"/>
      <w:marRight w:val="0"/>
      <w:marTop w:val="0"/>
      <w:marBottom w:val="0"/>
      <w:divBdr>
        <w:top w:val="none" w:sz="0" w:space="0" w:color="auto"/>
        <w:left w:val="none" w:sz="0" w:space="0" w:color="auto"/>
        <w:bottom w:val="none" w:sz="0" w:space="0" w:color="auto"/>
        <w:right w:val="none" w:sz="0" w:space="0" w:color="auto"/>
      </w:divBdr>
    </w:div>
    <w:div w:id="1335650135">
      <w:bodyDiv w:val="1"/>
      <w:marLeft w:val="0"/>
      <w:marRight w:val="0"/>
      <w:marTop w:val="0"/>
      <w:marBottom w:val="0"/>
      <w:divBdr>
        <w:top w:val="none" w:sz="0" w:space="0" w:color="auto"/>
        <w:left w:val="none" w:sz="0" w:space="0" w:color="auto"/>
        <w:bottom w:val="none" w:sz="0" w:space="0" w:color="auto"/>
        <w:right w:val="none" w:sz="0" w:space="0" w:color="auto"/>
      </w:divBdr>
      <w:divsChild>
        <w:div w:id="750808102">
          <w:marLeft w:val="0"/>
          <w:marRight w:val="0"/>
          <w:marTop w:val="0"/>
          <w:marBottom w:val="0"/>
          <w:divBdr>
            <w:top w:val="none" w:sz="0" w:space="0" w:color="auto"/>
            <w:left w:val="none" w:sz="0" w:space="0" w:color="auto"/>
            <w:bottom w:val="none" w:sz="0" w:space="0" w:color="auto"/>
            <w:right w:val="none" w:sz="0" w:space="0" w:color="auto"/>
          </w:divBdr>
          <w:divsChild>
            <w:div w:id="13460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7023">
      <w:bodyDiv w:val="1"/>
      <w:marLeft w:val="0"/>
      <w:marRight w:val="0"/>
      <w:marTop w:val="0"/>
      <w:marBottom w:val="0"/>
      <w:divBdr>
        <w:top w:val="none" w:sz="0" w:space="0" w:color="auto"/>
        <w:left w:val="none" w:sz="0" w:space="0" w:color="auto"/>
        <w:bottom w:val="none" w:sz="0" w:space="0" w:color="auto"/>
        <w:right w:val="none" w:sz="0" w:space="0" w:color="auto"/>
      </w:divBdr>
    </w:div>
    <w:div w:id="1467433300">
      <w:bodyDiv w:val="1"/>
      <w:marLeft w:val="0"/>
      <w:marRight w:val="0"/>
      <w:marTop w:val="0"/>
      <w:marBottom w:val="0"/>
      <w:divBdr>
        <w:top w:val="none" w:sz="0" w:space="0" w:color="auto"/>
        <w:left w:val="none" w:sz="0" w:space="0" w:color="auto"/>
        <w:bottom w:val="none" w:sz="0" w:space="0" w:color="auto"/>
        <w:right w:val="none" w:sz="0" w:space="0" w:color="auto"/>
      </w:divBdr>
      <w:divsChild>
        <w:div w:id="3632279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68935404">
      <w:bodyDiv w:val="1"/>
      <w:marLeft w:val="0"/>
      <w:marRight w:val="0"/>
      <w:marTop w:val="0"/>
      <w:marBottom w:val="0"/>
      <w:divBdr>
        <w:top w:val="none" w:sz="0" w:space="0" w:color="auto"/>
        <w:left w:val="none" w:sz="0" w:space="0" w:color="auto"/>
        <w:bottom w:val="none" w:sz="0" w:space="0" w:color="auto"/>
        <w:right w:val="none" w:sz="0" w:space="0" w:color="auto"/>
      </w:divBdr>
    </w:div>
    <w:div w:id="1476294901">
      <w:bodyDiv w:val="1"/>
      <w:marLeft w:val="0"/>
      <w:marRight w:val="0"/>
      <w:marTop w:val="0"/>
      <w:marBottom w:val="0"/>
      <w:divBdr>
        <w:top w:val="none" w:sz="0" w:space="0" w:color="auto"/>
        <w:left w:val="none" w:sz="0" w:space="0" w:color="auto"/>
        <w:bottom w:val="none" w:sz="0" w:space="0" w:color="auto"/>
        <w:right w:val="none" w:sz="0" w:space="0" w:color="auto"/>
      </w:divBdr>
    </w:div>
    <w:div w:id="1617517788">
      <w:bodyDiv w:val="1"/>
      <w:marLeft w:val="0"/>
      <w:marRight w:val="0"/>
      <w:marTop w:val="0"/>
      <w:marBottom w:val="0"/>
      <w:divBdr>
        <w:top w:val="none" w:sz="0" w:space="0" w:color="auto"/>
        <w:left w:val="none" w:sz="0" w:space="0" w:color="auto"/>
        <w:bottom w:val="none" w:sz="0" w:space="0" w:color="auto"/>
        <w:right w:val="none" w:sz="0" w:space="0" w:color="auto"/>
      </w:divBdr>
    </w:div>
    <w:div w:id="1653364669">
      <w:bodyDiv w:val="1"/>
      <w:marLeft w:val="0"/>
      <w:marRight w:val="0"/>
      <w:marTop w:val="0"/>
      <w:marBottom w:val="0"/>
      <w:divBdr>
        <w:top w:val="none" w:sz="0" w:space="0" w:color="auto"/>
        <w:left w:val="none" w:sz="0" w:space="0" w:color="auto"/>
        <w:bottom w:val="none" w:sz="0" w:space="0" w:color="auto"/>
        <w:right w:val="none" w:sz="0" w:space="0" w:color="auto"/>
      </w:divBdr>
    </w:div>
    <w:div w:id="1703937863">
      <w:bodyDiv w:val="1"/>
      <w:marLeft w:val="0"/>
      <w:marRight w:val="0"/>
      <w:marTop w:val="0"/>
      <w:marBottom w:val="0"/>
      <w:divBdr>
        <w:top w:val="none" w:sz="0" w:space="0" w:color="auto"/>
        <w:left w:val="none" w:sz="0" w:space="0" w:color="auto"/>
        <w:bottom w:val="none" w:sz="0" w:space="0" w:color="auto"/>
        <w:right w:val="none" w:sz="0" w:space="0" w:color="auto"/>
      </w:divBdr>
    </w:div>
    <w:div w:id="1781989589">
      <w:bodyDiv w:val="1"/>
      <w:marLeft w:val="0"/>
      <w:marRight w:val="0"/>
      <w:marTop w:val="0"/>
      <w:marBottom w:val="0"/>
      <w:divBdr>
        <w:top w:val="none" w:sz="0" w:space="0" w:color="auto"/>
        <w:left w:val="none" w:sz="0" w:space="0" w:color="auto"/>
        <w:bottom w:val="none" w:sz="0" w:space="0" w:color="auto"/>
        <w:right w:val="none" w:sz="0" w:space="0" w:color="auto"/>
      </w:divBdr>
    </w:div>
    <w:div w:id="1799373954">
      <w:bodyDiv w:val="1"/>
      <w:marLeft w:val="0"/>
      <w:marRight w:val="0"/>
      <w:marTop w:val="0"/>
      <w:marBottom w:val="0"/>
      <w:divBdr>
        <w:top w:val="none" w:sz="0" w:space="0" w:color="auto"/>
        <w:left w:val="none" w:sz="0" w:space="0" w:color="auto"/>
        <w:bottom w:val="none" w:sz="0" w:space="0" w:color="auto"/>
        <w:right w:val="none" w:sz="0" w:space="0" w:color="auto"/>
      </w:divBdr>
      <w:divsChild>
        <w:div w:id="593368188">
          <w:marLeft w:val="0"/>
          <w:marRight w:val="0"/>
          <w:marTop w:val="0"/>
          <w:marBottom w:val="0"/>
          <w:divBdr>
            <w:top w:val="none" w:sz="0" w:space="0" w:color="auto"/>
            <w:left w:val="none" w:sz="0" w:space="0" w:color="auto"/>
            <w:bottom w:val="none" w:sz="0" w:space="0" w:color="auto"/>
            <w:right w:val="none" w:sz="0" w:space="0" w:color="auto"/>
          </w:divBdr>
          <w:divsChild>
            <w:div w:id="821966756">
              <w:marLeft w:val="0"/>
              <w:marRight w:val="0"/>
              <w:marTop w:val="0"/>
              <w:marBottom w:val="0"/>
              <w:divBdr>
                <w:top w:val="none" w:sz="0" w:space="0" w:color="auto"/>
                <w:left w:val="none" w:sz="0" w:space="0" w:color="auto"/>
                <w:bottom w:val="none" w:sz="0" w:space="0" w:color="auto"/>
                <w:right w:val="none" w:sz="0" w:space="0" w:color="auto"/>
              </w:divBdr>
              <w:divsChild>
                <w:div w:id="3095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2939">
          <w:marLeft w:val="0"/>
          <w:marRight w:val="0"/>
          <w:marTop w:val="0"/>
          <w:marBottom w:val="0"/>
          <w:divBdr>
            <w:top w:val="none" w:sz="0" w:space="0" w:color="auto"/>
            <w:left w:val="none" w:sz="0" w:space="0" w:color="auto"/>
            <w:bottom w:val="none" w:sz="0" w:space="0" w:color="auto"/>
            <w:right w:val="none" w:sz="0" w:space="0" w:color="auto"/>
          </w:divBdr>
          <w:divsChild>
            <w:div w:id="544026411">
              <w:marLeft w:val="0"/>
              <w:marRight w:val="0"/>
              <w:marTop w:val="0"/>
              <w:marBottom w:val="0"/>
              <w:divBdr>
                <w:top w:val="none" w:sz="0" w:space="0" w:color="auto"/>
                <w:left w:val="none" w:sz="0" w:space="0" w:color="auto"/>
                <w:bottom w:val="none" w:sz="0" w:space="0" w:color="auto"/>
                <w:right w:val="none" w:sz="0" w:space="0" w:color="auto"/>
              </w:divBdr>
              <w:divsChild>
                <w:div w:id="1172720476">
                  <w:marLeft w:val="0"/>
                  <w:marRight w:val="0"/>
                  <w:marTop w:val="0"/>
                  <w:marBottom w:val="0"/>
                  <w:divBdr>
                    <w:top w:val="none" w:sz="0" w:space="0" w:color="auto"/>
                    <w:left w:val="none" w:sz="0" w:space="0" w:color="auto"/>
                    <w:bottom w:val="none" w:sz="0" w:space="0" w:color="auto"/>
                    <w:right w:val="none" w:sz="0" w:space="0" w:color="auto"/>
                  </w:divBdr>
                  <w:divsChild>
                    <w:div w:id="19579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3195">
      <w:bodyDiv w:val="1"/>
      <w:marLeft w:val="0"/>
      <w:marRight w:val="0"/>
      <w:marTop w:val="0"/>
      <w:marBottom w:val="0"/>
      <w:divBdr>
        <w:top w:val="none" w:sz="0" w:space="0" w:color="auto"/>
        <w:left w:val="none" w:sz="0" w:space="0" w:color="auto"/>
        <w:bottom w:val="none" w:sz="0" w:space="0" w:color="auto"/>
        <w:right w:val="none" w:sz="0" w:space="0" w:color="auto"/>
      </w:divBdr>
    </w:div>
    <w:div w:id="1848323554">
      <w:bodyDiv w:val="1"/>
      <w:marLeft w:val="0"/>
      <w:marRight w:val="0"/>
      <w:marTop w:val="0"/>
      <w:marBottom w:val="0"/>
      <w:divBdr>
        <w:top w:val="none" w:sz="0" w:space="0" w:color="auto"/>
        <w:left w:val="none" w:sz="0" w:space="0" w:color="auto"/>
        <w:bottom w:val="none" w:sz="0" w:space="0" w:color="auto"/>
        <w:right w:val="none" w:sz="0" w:space="0" w:color="auto"/>
      </w:divBdr>
    </w:div>
    <w:div w:id="1900944395">
      <w:bodyDiv w:val="1"/>
      <w:marLeft w:val="0"/>
      <w:marRight w:val="0"/>
      <w:marTop w:val="0"/>
      <w:marBottom w:val="0"/>
      <w:divBdr>
        <w:top w:val="none" w:sz="0" w:space="0" w:color="auto"/>
        <w:left w:val="none" w:sz="0" w:space="0" w:color="auto"/>
        <w:bottom w:val="none" w:sz="0" w:space="0" w:color="auto"/>
        <w:right w:val="none" w:sz="0" w:space="0" w:color="auto"/>
      </w:divBdr>
    </w:div>
    <w:div w:id="1903056038">
      <w:bodyDiv w:val="1"/>
      <w:marLeft w:val="0"/>
      <w:marRight w:val="0"/>
      <w:marTop w:val="0"/>
      <w:marBottom w:val="0"/>
      <w:divBdr>
        <w:top w:val="none" w:sz="0" w:space="0" w:color="auto"/>
        <w:left w:val="none" w:sz="0" w:space="0" w:color="auto"/>
        <w:bottom w:val="none" w:sz="0" w:space="0" w:color="auto"/>
        <w:right w:val="none" w:sz="0" w:space="0" w:color="auto"/>
      </w:divBdr>
      <w:divsChild>
        <w:div w:id="1626694622">
          <w:marLeft w:val="480"/>
          <w:marRight w:val="0"/>
          <w:marTop w:val="0"/>
          <w:marBottom w:val="0"/>
          <w:divBdr>
            <w:top w:val="none" w:sz="0" w:space="0" w:color="auto"/>
            <w:left w:val="none" w:sz="0" w:space="0" w:color="auto"/>
            <w:bottom w:val="none" w:sz="0" w:space="0" w:color="auto"/>
            <w:right w:val="none" w:sz="0" w:space="0" w:color="auto"/>
          </w:divBdr>
          <w:divsChild>
            <w:div w:id="1631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5742">
      <w:bodyDiv w:val="1"/>
      <w:marLeft w:val="0"/>
      <w:marRight w:val="0"/>
      <w:marTop w:val="0"/>
      <w:marBottom w:val="0"/>
      <w:divBdr>
        <w:top w:val="none" w:sz="0" w:space="0" w:color="auto"/>
        <w:left w:val="none" w:sz="0" w:space="0" w:color="auto"/>
        <w:bottom w:val="none" w:sz="0" w:space="0" w:color="auto"/>
        <w:right w:val="none" w:sz="0" w:space="0" w:color="auto"/>
      </w:divBdr>
      <w:divsChild>
        <w:div w:id="116597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709114">
      <w:bodyDiv w:val="1"/>
      <w:marLeft w:val="0"/>
      <w:marRight w:val="0"/>
      <w:marTop w:val="0"/>
      <w:marBottom w:val="0"/>
      <w:divBdr>
        <w:top w:val="none" w:sz="0" w:space="0" w:color="auto"/>
        <w:left w:val="none" w:sz="0" w:space="0" w:color="auto"/>
        <w:bottom w:val="none" w:sz="0" w:space="0" w:color="auto"/>
        <w:right w:val="none" w:sz="0" w:space="0" w:color="auto"/>
      </w:divBdr>
      <w:divsChild>
        <w:div w:id="575750759">
          <w:marLeft w:val="0"/>
          <w:marRight w:val="0"/>
          <w:marTop w:val="0"/>
          <w:marBottom w:val="0"/>
          <w:divBdr>
            <w:top w:val="none" w:sz="0" w:space="0" w:color="auto"/>
            <w:left w:val="none" w:sz="0" w:space="0" w:color="auto"/>
            <w:bottom w:val="none" w:sz="0" w:space="0" w:color="auto"/>
            <w:right w:val="none" w:sz="0" w:space="0" w:color="auto"/>
          </w:divBdr>
          <w:divsChild>
            <w:div w:id="1785270347">
              <w:marLeft w:val="0"/>
              <w:marRight w:val="0"/>
              <w:marTop w:val="0"/>
              <w:marBottom w:val="0"/>
              <w:divBdr>
                <w:top w:val="none" w:sz="0" w:space="0" w:color="auto"/>
                <w:left w:val="none" w:sz="0" w:space="0" w:color="auto"/>
                <w:bottom w:val="none" w:sz="0" w:space="0" w:color="auto"/>
                <w:right w:val="none" w:sz="0" w:space="0" w:color="auto"/>
              </w:divBdr>
              <w:divsChild>
                <w:div w:id="230776241">
                  <w:marLeft w:val="0"/>
                  <w:marRight w:val="0"/>
                  <w:marTop w:val="0"/>
                  <w:marBottom w:val="0"/>
                  <w:divBdr>
                    <w:top w:val="none" w:sz="0" w:space="0" w:color="auto"/>
                    <w:left w:val="none" w:sz="0" w:space="0" w:color="auto"/>
                    <w:bottom w:val="none" w:sz="0" w:space="0" w:color="auto"/>
                    <w:right w:val="none" w:sz="0" w:space="0" w:color="auto"/>
                  </w:divBdr>
                  <w:divsChild>
                    <w:div w:id="185139951">
                      <w:marLeft w:val="0"/>
                      <w:marRight w:val="0"/>
                      <w:marTop w:val="0"/>
                      <w:marBottom w:val="0"/>
                      <w:divBdr>
                        <w:top w:val="none" w:sz="0" w:space="0" w:color="auto"/>
                        <w:left w:val="none" w:sz="0" w:space="0" w:color="auto"/>
                        <w:bottom w:val="none" w:sz="0" w:space="0" w:color="auto"/>
                        <w:right w:val="none" w:sz="0" w:space="0" w:color="auto"/>
                      </w:divBdr>
                      <w:divsChild>
                        <w:div w:id="1466505361">
                          <w:marLeft w:val="0"/>
                          <w:marRight w:val="0"/>
                          <w:marTop w:val="0"/>
                          <w:marBottom w:val="0"/>
                          <w:divBdr>
                            <w:top w:val="none" w:sz="0" w:space="0" w:color="auto"/>
                            <w:left w:val="none" w:sz="0" w:space="0" w:color="auto"/>
                            <w:bottom w:val="none" w:sz="0" w:space="0" w:color="auto"/>
                            <w:right w:val="none" w:sz="0" w:space="0" w:color="auto"/>
                          </w:divBdr>
                          <w:divsChild>
                            <w:div w:id="226305456">
                              <w:marLeft w:val="0"/>
                              <w:marRight w:val="0"/>
                              <w:marTop w:val="0"/>
                              <w:marBottom w:val="0"/>
                              <w:divBdr>
                                <w:top w:val="none" w:sz="0" w:space="0" w:color="auto"/>
                                <w:left w:val="none" w:sz="0" w:space="0" w:color="auto"/>
                                <w:bottom w:val="none" w:sz="0" w:space="0" w:color="auto"/>
                                <w:right w:val="none" w:sz="0" w:space="0" w:color="auto"/>
                              </w:divBdr>
                              <w:divsChild>
                                <w:div w:id="865212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68227714">
                  <w:marLeft w:val="0"/>
                  <w:marRight w:val="0"/>
                  <w:marTop w:val="0"/>
                  <w:marBottom w:val="0"/>
                  <w:divBdr>
                    <w:top w:val="none" w:sz="0" w:space="0" w:color="auto"/>
                    <w:left w:val="none" w:sz="0" w:space="0" w:color="auto"/>
                    <w:bottom w:val="none" w:sz="0" w:space="0" w:color="auto"/>
                    <w:right w:val="none" w:sz="0" w:space="0" w:color="auto"/>
                  </w:divBdr>
                  <w:divsChild>
                    <w:div w:id="1980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4863">
      <w:bodyDiv w:val="1"/>
      <w:marLeft w:val="0"/>
      <w:marRight w:val="0"/>
      <w:marTop w:val="0"/>
      <w:marBottom w:val="0"/>
      <w:divBdr>
        <w:top w:val="none" w:sz="0" w:space="0" w:color="auto"/>
        <w:left w:val="none" w:sz="0" w:space="0" w:color="auto"/>
        <w:bottom w:val="none" w:sz="0" w:space="0" w:color="auto"/>
        <w:right w:val="none" w:sz="0" w:space="0" w:color="auto"/>
      </w:divBdr>
    </w:div>
    <w:div w:id="21438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5.bin"/><Relationship Id="rId42" Type="http://schemas.openxmlformats.org/officeDocument/2006/relationships/image" Target="media/image16.wmf"/><Relationship Id="rId63" Type="http://schemas.openxmlformats.org/officeDocument/2006/relationships/image" Target="media/image26.wmf"/><Relationship Id="rId84" Type="http://schemas.openxmlformats.org/officeDocument/2006/relationships/oleObject" Target="embeddings/oleObject38.bin"/><Relationship Id="rId138" Type="http://schemas.openxmlformats.org/officeDocument/2006/relationships/oleObject" Target="embeddings/oleObject65.bin"/><Relationship Id="rId107" Type="http://schemas.openxmlformats.org/officeDocument/2006/relationships/image" Target="media/image47.wmf"/><Relationship Id="rId11" Type="http://schemas.openxmlformats.org/officeDocument/2006/relationships/footer" Target="footer1.xml"/><Relationship Id="rId32" Type="http://schemas.openxmlformats.org/officeDocument/2006/relationships/image" Target="media/image11.wmf"/><Relationship Id="rId53" Type="http://schemas.openxmlformats.org/officeDocument/2006/relationships/oleObject" Target="embeddings/oleObject21.bin"/><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68.png"/><Relationship Id="rId5" Type="http://schemas.openxmlformats.org/officeDocument/2006/relationships/webSettings" Target="webSettings.xml"/><Relationship Id="rId95" Type="http://schemas.openxmlformats.org/officeDocument/2006/relationships/image" Target="media/image41.wmf"/><Relationship Id="rId22" Type="http://schemas.openxmlformats.org/officeDocument/2006/relationships/image" Target="media/image6.wmf"/><Relationship Id="rId43" Type="http://schemas.openxmlformats.org/officeDocument/2006/relationships/oleObject" Target="embeddings/oleObject16.bin"/><Relationship Id="rId64" Type="http://schemas.openxmlformats.org/officeDocument/2006/relationships/oleObject" Target="embeddings/oleObject27.bin"/><Relationship Id="rId118" Type="http://schemas.openxmlformats.org/officeDocument/2006/relationships/oleObject" Target="embeddings/oleObject55.bin"/><Relationship Id="rId139" Type="http://schemas.openxmlformats.org/officeDocument/2006/relationships/image" Target="media/image63.wmf"/><Relationship Id="rId80" Type="http://schemas.openxmlformats.org/officeDocument/2006/relationships/oleObject" Target="embeddings/oleObject36.bin"/><Relationship Id="rId85" Type="http://schemas.openxmlformats.org/officeDocument/2006/relationships/image" Target="media/image36.wmf"/><Relationship Id="rId150" Type="http://schemas.openxmlformats.org/officeDocument/2006/relationships/image" Target="media/image69.wmf"/><Relationship Id="rId155" Type="http://schemas.openxmlformats.org/officeDocument/2006/relationships/image" Target="media/image71.png"/><Relationship Id="rId12" Type="http://schemas.openxmlformats.org/officeDocument/2006/relationships/image" Target="media/image1.png"/><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image" Target="media/image45.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58.wmf"/><Relationship Id="rId54"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oleObject" Target="embeddings/oleObject53.bin"/><Relationship Id="rId119" Type="http://schemas.openxmlformats.org/officeDocument/2006/relationships/image" Target="media/image53.wmf"/><Relationship Id="rId44" Type="http://schemas.openxmlformats.org/officeDocument/2006/relationships/image" Target="media/image17.wmf"/><Relationship Id="rId60" Type="http://schemas.openxmlformats.org/officeDocument/2006/relationships/oleObject" Target="embeddings/oleObject25.bin"/><Relationship Id="rId65" Type="http://schemas.openxmlformats.org/officeDocument/2006/relationships/image" Target="media/image27.wmf"/><Relationship Id="rId81" Type="http://schemas.openxmlformats.org/officeDocument/2006/relationships/image" Target="media/image34.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1.wmf"/><Relationship Id="rId151" Type="http://schemas.openxmlformats.org/officeDocument/2006/relationships/oleObject" Target="embeddings/oleObject71.bin"/><Relationship Id="rId156"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image" Target="media/image48.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image" Target="media/image42.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image" Target="media/image37.wmf"/><Relationship Id="rId110" Type="http://schemas.openxmlformats.org/officeDocument/2006/relationships/oleObject" Target="embeddings/oleObject51.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64.bin"/><Relationship Id="rId157" Type="http://schemas.openxmlformats.org/officeDocument/2006/relationships/theme" Target="theme/theme1.xml"/><Relationship Id="rId61" Type="http://schemas.openxmlformats.org/officeDocument/2006/relationships/image" Target="media/image25.wmf"/><Relationship Id="rId82" Type="http://schemas.openxmlformats.org/officeDocument/2006/relationships/oleObject" Target="embeddings/oleObject37.bin"/><Relationship Id="rId152" Type="http://schemas.openxmlformats.org/officeDocument/2006/relationships/image" Target="media/image70.wmf"/><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image" Target="media/image32.wmf"/><Relationship Id="rId100" Type="http://schemas.openxmlformats.org/officeDocument/2006/relationships/oleObject" Target="embeddings/oleObject46.bin"/><Relationship Id="rId105" Type="http://schemas.openxmlformats.org/officeDocument/2006/relationships/image" Target="media/image46.wmf"/><Relationship Id="rId126" Type="http://schemas.openxmlformats.org/officeDocument/2006/relationships/oleObject" Target="embeddings/oleObject59.bin"/><Relationship Id="rId147" Type="http://schemas.openxmlformats.org/officeDocument/2006/relationships/oleObject" Target="embeddings/oleObject70.bin"/><Relationship Id="rId8" Type="http://schemas.openxmlformats.org/officeDocument/2006/relationships/hyperlink" Target="mailto:hjhwang@utexas.edu" TargetMode="External"/><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40.wmf"/><Relationship Id="rId98" Type="http://schemas.openxmlformats.org/officeDocument/2006/relationships/oleObject" Target="embeddings/oleObject45.bin"/><Relationship Id="rId121" Type="http://schemas.openxmlformats.org/officeDocument/2006/relationships/image" Target="media/image54.wmf"/><Relationship Id="rId142"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image" Target="media/image28.wmf"/><Relationship Id="rId116" Type="http://schemas.openxmlformats.org/officeDocument/2006/relationships/oleObject" Target="embeddings/oleObject54.bin"/><Relationship Id="rId137" Type="http://schemas.openxmlformats.org/officeDocument/2006/relationships/image" Target="media/image62.wmf"/><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image" Target="media/image35.wmf"/><Relationship Id="rId88" Type="http://schemas.openxmlformats.org/officeDocument/2006/relationships/oleObject" Target="embeddings/oleObject40.bin"/><Relationship Id="rId111" Type="http://schemas.openxmlformats.org/officeDocument/2006/relationships/image" Target="media/image49.wmf"/><Relationship Id="rId132" Type="http://schemas.openxmlformats.org/officeDocument/2006/relationships/oleObject" Target="embeddings/oleObject62.bin"/><Relationship Id="rId153" Type="http://schemas.openxmlformats.org/officeDocument/2006/relationships/oleObject" Target="embeddings/oleObject72.bin"/><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oleObject" Target="embeddings/oleObject49.bin"/><Relationship Id="rId127" Type="http://schemas.openxmlformats.org/officeDocument/2006/relationships/image" Target="media/image57.wmf"/><Relationship Id="rId10" Type="http://schemas.openxmlformats.org/officeDocument/2006/relationships/hyperlink" Target="mailto:bhat@mail.utexas.edu" TargetMode="Externa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image" Target="media/image30.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7.bin"/><Relationship Id="rId143" Type="http://schemas.openxmlformats.org/officeDocument/2006/relationships/image" Target="media/image65.wmf"/><Relationship Id="rId148" Type="http://schemas.openxmlformats.org/officeDocument/2006/relationships/image" Target="media/image67.png"/><Relationship Id="rId4" Type="http://schemas.openxmlformats.org/officeDocument/2006/relationships/settings" Target="settings.xml"/><Relationship Id="rId9" Type="http://schemas.openxmlformats.org/officeDocument/2006/relationships/hyperlink" Target="mailto:angela.haddad@utexas.edu" TargetMode="External"/><Relationship Id="rId26" Type="http://schemas.openxmlformats.org/officeDocument/2006/relationships/image" Target="media/image8.wmf"/><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image" Target="media/image38.wmf"/><Relationship Id="rId112" Type="http://schemas.openxmlformats.org/officeDocument/2006/relationships/oleObject" Target="embeddings/oleObject52.bin"/><Relationship Id="rId133" Type="http://schemas.openxmlformats.org/officeDocument/2006/relationships/image" Target="media/image60.wmf"/><Relationship Id="rId154" Type="http://schemas.openxmlformats.org/officeDocument/2006/relationships/footer" Target="footer2.xml"/><Relationship Id="rId16" Type="http://schemas.openxmlformats.org/officeDocument/2006/relationships/image" Target="media/image3.wmf"/><Relationship Id="rId37" Type="http://schemas.openxmlformats.org/officeDocument/2006/relationships/oleObject" Target="embeddings/oleObject13.bin"/><Relationship Id="rId58" Type="http://schemas.openxmlformats.org/officeDocument/2006/relationships/image" Target="media/image24.wmf"/><Relationship Id="rId79" Type="http://schemas.openxmlformats.org/officeDocument/2006/relationships/image" Target="media/image33.wmf"/><Relationship Id="rId102" Type="http://schemas.openxmlformats.org/officeDocument/2006/relationships/oleObject" Target="embeddings/oleObject47.bin"/><Relationship Id="rId123" Type="http://schemas.openxmlformats.org/officeDocument/2006/relationships/image" Target="media/image55.wmf"/><Relationship Id="rId144" Type="http://schemas.openxmlformats.org/officeDocument/2006/relationships/oleObject" Target="embeddings/oleObject68.bin"/><Relationship Id="rId90" Type="http://schemas.openxmlformats.org/officeDocument/2006/relationships/oleObject" Target="embeddings/oleObject41.bin"/><Relationship Id="rId27" Type="http://schemas.openxmlformats.org/officeDocument/2006/relationships/oleObject" Target="embeddings/oleObject8.bin"/><Relationship Id="rId48" Type="http://schemas.openxmlformats.org/officeDocument/2006/relationships/image" Target="media/image19.wmf"/><Relationship Id="rId69" Type="http://schemas.openxmlformats.org/officeDocument/2006/relationships/oleObject" Target="embeddings/oleObject30.bin"/><Relationship Id="rId113" Type="http://schemas.openxmlformats.org/officeDocument/2006/relationships/image" Target="media/image50.wmf"/><Relationship Id="rId134" Type="http://schemas.openxmlformats.org/officeDocument/2006/relationships/oleObject" Target="embeddings/oleObject63.bin"/></Relationships>
</file>

<file path=word/_rels/footnotes.xml.rels><?xml version="1.0" encoding="UTF-8" standalone="yes"?>
<Relationships xmlns="http://schemas.openxmlformats.org/package/2006/relationships"><Relationship Id="rId1" Type="http://schemas.openxmlformats.org/officeDocument/2006/relationships/hyperlink" Target="https://www.aarp.org/pri/topics/health/prevention-wellness/walking-attitudes-habits-adults-50-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A956-A26E-47BD-8FA9-A565CD17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61648</Words>
  <Characters>351395</Characters>
  <Application>Microsoft Office Word</Application>
  <DocSecurity>0</DocSecurity>
  <Lines>2928</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Hwang Hyunjun</dc:creator>
  <cp:lastModifiedBy>Macias, Lisa J</cp:lastModifiedBy>
  <cp:revision>2</cp:revision>
  <cp:lastPrinted>2025-09-04T19:37:00Z</cp:lastPrinted>
  <dcterms:created xsi:type="dcterms:W3CDTF">2025-09-05T14:41:00Z</dcterms:created>
  <dcterms:modified xsi:type="dcterms:W3CDTF">2025-09-05T14:41:00Z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34ad18adb9031e5313cd0eff58ebfd54f6b8dca096b06fef74e3982ff266e31b</vt:lpwstr>
  </property>
  <property fmtid="{D5CDD505-2E9C-101B-9397-08002B2CF9AE}" pid="3" name="ZOTERO_PREF_1">
    <vt:lpwstr>&lt;data data-version="3" zotero-version="6.0.36"&gt;&lt;session id="4nY7bDZH"/&gt;&lt;style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MTWinEqns">
    <vt:bool>true</vt:bool>
  </property>
</Properties>
</file>