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12390" w14:textId="77777777" w:rsidR="004247F3" w:rsidRDefault="004247F3" w:rsidP="00090DB6">
      <w:pPr>
        <w:spacing w:after="200"/>
        <w:jc w:val="center"/>
        <w:rPr>
          <w:b/>
          <w:bCs/>
          <w:sz w:val="24"/>
          <w:szCs w:val="24"/>
        </w:rPr>
      </w:pPr>
    </w:p>
    <w:p w14:paraId="5C3591E0" w14:textId="77777777" w:rsidR="004247F3" w:rsidRDefault="004247F3" w:rsidP="00090DB6">
      <w:pPr>
        <w:spacing w:after="200"/>
        <w:jc w:val="center"/>
        <w:rPr>
          <w:b/>
          <w:bCs/>
          <w:sz w:val="24"/>
          <w:szCs w:val="24"/>
        </w:rPr>
      </w:pPr>
    </w:p>
    <w:p w14:paraId="019094E7" w14:textId="77777777" w:rsidR="004247F3" w:rsidRDefault="004247F3" w:rsidP="00090DB6">
      <w:pPr>
        <w:spacing w:after="200"/>
        <w:jc w:val="center"/>
        <w:rPr>
          <w:b/>
          <w:bCs/>
          <w:sz w:val="24"/>
          <w:szCs w:val="24"/>
        </w:rPr>
      </w:pPr>
    </w:p>
    <w:p w14:paraId="0A1AA2A5" w14:textId="0E2A2315" w:rsidR="00090DB6" w:rsidRPr="00357ABC" w:rsidRDefault="00090DB6" w:rsidP="004247F3">
      <w:pPr>
        <w:jc w:val="center"/>
        <w:rPr>
          <w:b/>
          <w:bCs/>
          <w:sz w:val="24"/>
          <w:szCs w:val="24"/>
        </w:rPr>
      </w:pPr>
      <w:r w:rsidRPr="00357ABC">
        <w:rPr>
          <w:b/>
          <w:bCs/>
          <w:sz w:val="24"/>
          <w:szCs w:val="24"/>
        </w:rPr>
        <w:t>Why Active Travel</w:t>
      </w:r>
      <w:r>
        <w:rPr>
          <w:b/>
          <w:bCs/>
          <w:sz w:val="24"/>
          <w:szCs w:val="24"/>
        </w:rPr>
        <w:t xml:space="preserve"> Remains Infrequent</w:t>
      </w:r>
      <w:r w:rsidRPr="00357ABC">
        <w:rPr>
          <w:b/>
          <w:bCs/>
          <w:sz w:val="24"/>
          <w:szCs w:val="24"/>
        </w:rPr>
        <w:t>: A Joint Model of Participation and Perceived Barriers</w:t>
      </w:r>
    </w:p>
    <w:p w14:paraId="2AA31547" w14:textId="77777777" w:rsidR="00EB1B21" w:rsidRDefault="00EB1B21" w:rsidP="004247F3">
      <w:pPr>
        <w:rPr>
          <w:b/>
          <w:bCs/>
          <w:sz w:val="28"/>
          <w:szCs w:val="28"/>
        </w:rPr>
      </w:pPr>
    </w:p>
    <w:p w14:paraId="06C8151F" w14:textId="77777777" w:rsidR="008B64FF" w:rsidRDefault="008B64FF" w:rsidP="004247F3">
      <w:pPr>
        <w:rPr>
          <w:b/>
          <w:bCs/>
          <w:sz w:val="28"/>
          <w:szCs w:val="28"/>
        </w:rPr>
      </w:pPr>
    </w:p>
    <w:p w14:paraId="4C5A3E02" w14:textId="0026FA4C" w:rsidR="00090DB6" w:rsidRDefault="00090DB6" w:rsidP="004247F3">
      <w:pPr>
        <w:rPr>
          <w:b/>
          <w:bCs/>
          <w:sz w:val="28"/>
          <w:szCs w:val="28"/>
        </w:rPr>
      </w:pPr>
    </w:p>
    <w:p w14:paraId="725CF6F2" w14:textId="737A8ABD" w:rsidR="004247F3" w:rsidRDefault="004247F3" w:rsidP="004247F3">
      <w:pPr>
        <w:rPr>
          <w:b/>
          <w:bCs/>
          <w:sz w:val="28"/>
          <w:szCs w:val="28"/>
        </w:rPr>
      </w:pPr>
    </w:p>
    <w:p w14:paraId="3F296162" w14:textId="77777777" w:rsidR="004247F3" w:rsidRDefault="004247F3" w:rsidP="004247F3">
      <w:pPr>
        <w:rPr>
          <w:b/>
          <w:bCs/>
          <w:sz w:val="28"/>
          <w:szCs w:val="28"/>
        </w:rPr>
      </w:pPr>
    </w:p>
    <w:p w14:paraId="1713FC8F" w14:textId="77777777" w:rsidR="00755656" w:rsidRDefault="00755656" w:rsidP="004247F3">
      <w:pPr>
        <w:rPr>
          <w:b/>
          <w:bCs/>
          <w:sz w:val="28"/>
          <w:szCs w:val="28"/>
        </w:rPr>
      </w:pPr>
    </w:p>
    <w:p w14:paraId="6779FE9D" w14:textId="68A8A521" w:rsidR="00336741" w:rsidRPr="00BE230C" w:rsidRDefault="00336741" w:rsidP="004247F3">
      <w:pPr>
        <w:pStyle w:val="FootnoteText"/>
        <w:rPr>
          <w:b/>
          <w:bCs/>
          <w:sz w:val="24"/>
          <w:szCs w:val="24"/>
        </w:rPr>
      </w:pPr>
      <w:r w:rsidRPr="00BE230C">
        <w:rPr>
          <w:b/>
          <w:bCs/>
          <w:sz w:val="24"/>
          <w:szCs w:val="24"/>
        </w:rPr>
        <w:t>Ifratul Hoque</w:t>
      </w:r>
    </w:p>
    <w:p w14:paraId="25DC4616" w14:textId="77777777" w:rsidR="004C66E7" w:rsidRDefault="004C66E7" w:rsidP="004247F3">
      <w:pPr>
        <w:pStyle w:val="FootnoteText"/>
        <w:rPr>
          <w:sz w:val="24"/>
          <w:szCs w:val="24"/>
        </w:rPr>
      </w:pPr>
      <w:r>
        <w:rPr>
          <w:sz w:val="24"/>
          <w:szCs w:val="24"/>
        </w:rPr>
        <w:t>The University of Texas at Austin</w:t>
      </w:r>
    </w:p>
    <w:p w14:paraId="67041CC0" w14:textId="78ABC8C4" w:rsidR="004C66E7" w:rsidRDefault="004C66E7" w:rsidP="004247F3">
      <w:pPr>
        <w:pStyle w:val="FootnoteText"/>
        <w:rPr>
          <w:sz w:val="24"/>
          <w:szCs w:val="24"/>
        </w:rPr>
      </w:pPr>
      <w:r w:rsidRPr="004C66E7">
        <w:rPr>
          <w:sz w:val="24"/>
          <w:szCs w:val="24"/>
        </w:rPr>
        <w:t>Department of Civil, Architectural and Environmental Engineering</w:t>
      </w:r>
    </w:p>
    <w:p w14:paraId="0B31C99A" w14:textId="0E798586" w:rsidR="004C66E7" w:rsidRDefault="004C66E7" w:rsidP="004247F3">
      <w:pPr>
        <w:pStyle w:val="FootnoteText"/>
        <w:rPr>
          <w:sz w:val="24"/>
          <w:szCs w:val="24"/>
        </w:rPr>
      </w:pPr>
      <w:r w:rsidRPr="004C66E7">
        <w:rPr>
          <w:sz w:val="24"/>
          <w:szCs w:val="24"/>
        </w:rPr>
        <w:t>301 E. Dean Keeton St. Stop C1761, Austin TX 78712, USA</w:t>
      </w:r>
    </w:p>
    <w:p w14:paraId="78AAB007" w14:textId="27277D51" w:rsidR="004C66E7" w:rsidRDefault="004C66E7" w:rsidP="004247F3">
      <w:pPr>
        <w:pStyle w:val="FootnoteText"/>
        <w:rPr>
          <w:sz w:val="24"/>
          <w:szCs w:val="24"/>
        </w:rPr>
      </w:pPr>
      <w:r>
        <w:rPr>
          <w:sz w:val="24"/>
          <w:szCs w:val="24"/>
        </w:rPr>
        <w:t xml:space="preserve">Email: </w:t>
      </w:r>
      <w:hyperlink r:id="rId8" w:history="1">
        <w:r w:rsidR="00BE230C" w:rsidRPr="00F0617D">
          <w:rPr>
            <w:rStyle w:val="Hyperlink"/>
            <w:sz w:val="24"/>
            <w:szCs w:val="24"/>
          </w:rPr>
          <w:t>ih6446@my.utexas.edu</w:t>
        </w:r>
      </w:hyperlink>
    </w:p>
    <w:p w14:paraId="06629E23" w14:textId="77777777" w:rsidR="00BE230C" w:rsidRDefault="00BE230C" w:rsidP="004247F3">
      <w:pPr>
        <w:pStyle w:val="FootnoteText"/>
        <w:rPr>
          <w:sz w:val="24"/>
          <w:szCs w:val="24"/>
        </w:rPr>
      </w:pPr>
    </w:p>
    <w:p w14:paraId="4EB0CC10" w14:textId="7141F379" w:rsidR="00731837" w:rsidRPr="00731837" w:rsidRDefault="00731837" w:rsidP="004247F3">
      <w:pPr>
        <w:pStyle w:val="FootnoteText"/>
        <w:rPr>
          <w:b/>
          <w:bCs/>
          <w:sz w:val="24"/>
          <w:szCs w:val="24"/>
        </w:rPr>
      </w:pPr>
      <w:r w:rsidRPr="00731837">
        <w:rPr>
          <w:b/>
          <w:bCs/>
          <w:sz w:val="24"/>
          <w:szCs w:val="24"/>
        </w:rPr>
        <w:t>Dale Robbennolt</w:t>
      </w:r>
    </w:p>
    <w:p w14:paraId="7A224DD2" w14:textId="0A2654EF" w:rsidR="00731837" w:rsidRDefault="00731837" w:rsidP="004247F3">
      <w:pPr>
        <w:pStyle w:val="FootnoteText"/>
        <w:rPr>
          <w:sz w:val="24"/>
          <w:szCs w:val="24"/>
        </w:rPr>
      </w:pPr>
      <w:r w:rsidRPr="00731837">
        <w:rPr>
          <w:sz w:val="24"/>
          <w:szCs w:val="24"/>
        </w:rPr>
        <w:t>The University of Texas at Austin</w:t>
      </w:r>
    </w:p>
    <w:p w14:paraId="375BDCFF" w14:textId="7B94FE8E" w:rsidR="00731837" w:rsidRDefault="00731837" w:rsidP="004247F3">
      <w:pPr>
        <w:pStyle w:val="FootnoteText"/>
        <w:rPr>
          <w:sz w:val="24"/>
          <w:szCs w:val="24"/>
        </w:rPr>
      </w:pPr>
      <w:r w:rsidRPr="00731837">
        <w:rPr>
          <w:sz w:val="24"/>
          <w:szCs w:val="24"/>
        </w:rPr>
        <w:t>Department of Civil, Architectural and Environmental Engineering</w:t>
      </w:r>
    </w:p>
    <w:p w14:paraId="3F4BFB9B" w14:textId="1DF69476" w:rsidR="00731837" w:rsidRDefault="00731837" w:rsidP="004247F3">
      <w:pPr>
        <w:pStyle w:val="FootnoteText"/>
        <w:rPr>
          <w:sz w:val="24"/>
          <w:szCs w:val="24"/>
        </w:rPr>
      </w:pPr>
      <w:r w:rsidRPr="00731837">
        <w:rPr>
          <w:sz w:val="24"/>
          <w:szCs w:val="24"/>
        </w:rPr>
        <w:t>301 E. Dean Keeton St. Stop C1761, Austin TX 78712, USA</w:t>
      </w:r>
    </w:p>
    <w:p w14:paraId="18421725" w14:textId="34393AA5" w:rsidR="00BE230C" w:rsidRDefault="00731837" w:rsidP="004247F3">
      <w:pPr>
        <w:pStyle w:val="FootnoteText"/>
        <w:rPr>
          <w:sz w:val="24"/>
          <w:szCs w:val="24"/>
        </w:rPr>
      </w:pPr>
      <w:r w:rsidRPr="00731837">
        <w:rPr>
          <w:sz w:val="24"/>
          <w:szCs w:val="24"/>
        </w:rPr>
        <w:t xml:space="preserve">Email: </w:t>
      </w:r>
      <w:hyperlink r:id="rId9" w:history="1">
        <w:r w:rsidRPr="00F0617D">
          <w:rPr>
            <w:rStyle w:val="Hyperlink"/>
            <w:sz w:val="24"/>
            <w:szCs w:val="24"/>
          </w:rPr>
          <w:t>dar4836@utexas.edu</w:t>
        </w:r>
      </w:hyperlink>
    </w:p>
    <w:p w14:paraId="629E34A8" w14:textId="77777777" w:rsidR="00731837" w:rsidRDefault="00731837" w:rsidP="004247F3">
      <w:pPr>
        <w:pStyle w:val="FootnoteText"/>
        <w:rPr>
          <w:sz w:val="24"/>
          <w:szCs w:val="24"/>
        </w:rPr>
      </w:pPr>
    </w:p>
    <w:p w14:paraId="18D7701A" w14:textId="14216669" w:rsidR="00731837" w:rsidRDefault="00731837" w:rsidP="004247F3">
      <w:pPr>
        <w:pStyle w:val="FootnoteText"/>
        <w:rPr>
          <w:b/>
          <w:bCs/>
          <w:sz w:val="24"/>
          <w:szCs w:val="24"/>
        </w:rPr>
      </w:pPr>
      <w:r w:rsidRPr="00731837">
        <w:rPr>
          <w:b/>
          <w:bCs/>
          <w:sz w:val="24"/>
          <w:szCs w:val="24"/>
        </w:rPr>
        <w:t>Chandra R. Bhat (corresponding author)</w:t>
      </w:r>
    </w:p>
    <w:p w14:paraId="0BE80371" w14:textId="17AA248C" w:rsidR="008B64FF" w:rsidRDefault="008B64FF" w:rsidP="004247F3">
      <w:pPr>
        <w:pStyle w:val="FootnoteText"/>
        <w:rPr>
          <w:sz w:val="24"/>
          <w:szCs w:val="24"/>
        </w:rPr>
      </w:pPr>
      <w:r w:rsidRPr="008B64FF">
        <w:rPr>
          <w:sz w:val="24"/>
          <w:szCs w:val="24"/>
        </w:rPr>
        <w:t>The University of Texas at Austin</w:t>
      </w:r>
    </w:p>
    <w:p w14:paraId="3D51EAB2" w14:textId="7548D2BE" w:rsidR="008B64FF" w:rsidRDefault="008B64FF" w:rsidP="004247F3">
      <w:pPr>
        <w:pStyle w:val="FootnoteText"/>
        <w:rPr>
          <w:sz w:val="24"/>
          <w:szCs w:val="24"/>
        </w:rPr>
      </w:pPr>
      <w:r w:rsidRPr="008B64FF">
        <w:rPr>
          <w:sz w:val="24"/>
          <w:szCs w:val="24"/>
        </w:rPr>
        <w:t>Department of Civil, Architectural and Environmental Engineering</w:t>
      </w:r>
    </w:p>
    <w:p w14:paraId="0AAF1755" w14:textId="05C9B298" w:rsidR="008B64FF" w:rsidRDefault="008B64FF" w:rsidP="004247F3">
      <w:pPr>
        <w:pStyle w:val="FootnoteText"/>
        <w:rPr>
          <w:sz w:val="24"/>
          <w:szCs w:val="24"/>
        </w:rPr>
      </w:pPr>
      <w:r w:rsidRPr="008B64FF">
        <w:rPr>
          <w:sz w:val="24"/>
          <w:szCs w:val="24"/>
        </w:rPr>
        <w:t>301 E. Dean Keeton St. Stop C1761, Austin TX 78712, USA</w:t>
      </w:r>
    </w:p>
    <w:p w14:paraId="4184DFE0" w14:textId="25D53688" w:rsidR="00731837" w:rsidRPr="00731837" w:rsidRDefault="008B64FF" w:rsidP="004247F3">
      <w:pPr>
        <w:pStyle w:val="FootnoteText"/>
        <w:rPr>
          <w:sz w:val="24"/>
          <w:szCs w:val="24"/>
        </w:rPr>
      </w:pPr>
      <w:r w:rsidRPr="008B64FF">
        <w:rPr>
          <w:sz w:val="24"/>
          <w:szCs w:val="24"/>
        </w:rPr>
        <w:t xml:space="preserve">Tel: 512-471-4535; Email: </w:t>
      </w:r>
      <w:hyperlink r:id="rId10" w:history="1">
        <w:r w:rsidRPr="00F0617D">
          <w:rPr>
            <w:rStyle w:val="Hyperlink"/>
            <w:sz w:val="24"/>
            <w:szCs w:val="24"/>
          </w:rPr>
          <w:t>bhat@mail.utexas.edu</w:t>
        </w:r>
      </w:hyperlink>
    </w:p>
    <w:p w14:paraId="3EEE399E" w14:textId="77777777" w:rsidR="00EB1B21" w:rsidRDefault="00EB1B21" w:rsidP="004247F3">
      <w:pPr>
        <w:rPr>
          <w:b/>
          <w:bCs/>
          <w:sz w:val="28"/>
          <w:szCs w:val="28"/>
        </w:rPr>
      </w:pPr>
    </w:p>
    <w:p w14:paraId="341D1AFB" w14:textId="77777777" w:rsidR="00EB1B21" w:rsidRDefault="00EB1B21" w:rsidP="004247F3">
      <w:pPr>
        <w:rPr>
          <w:b/>
          <w:bCs/>
          <w:sz w:val="28"/>
          <w:szCs w:val="28"/>
        </w:rPr>
      </w:pPr>
    </w:p>
    <w:p w14:paraId="1B1AB0E4" w14:textId="77777777" w:rsidR="004247F3" w:rsidRDefault="004247F3" w:rsidP="0021470D">
      <w:pPr>
        <w:spacing w:before="200"/>
        <w:rPr>
          <w:b/>
          <w:bCs/>
          <w:sz w:val="24"/>
          <w:szCs w:val="24"/>
        </w:rPr>
        <w:sectPr w:rsidR="004247F3" w:rsidSect="004247F3">
          <w:footerReference w:type="default" r:id="rId11"/>
          <w:pgSz w:w="12240" w:h="15840" w:code="1"/>
          <w:pgMar w:top="1440" w:right="1440" w:bottom="1440" w:left="1440" w:header="720" w:footer="720" w:gutter="0"/>
          <w:cols w:space="720"/>
          <w:docGrid w:linePitch="360"/>
        </w:sectPr>
      </w:pPr>
    </w:p>
    <w:p w14:paraId="3B43966F" w14:textId="449ECC91" w:rsidR="007C2297" w:rsidRPr="0021470D" w:rsidRDefault="007C2297" w:rsidP="004247F3">
      <w:pPr>
        <w:rPr>
          <w:b/>
          <w:bCs/>
          <w:sz w:val="24"/>
          <w:szCs w:val="24"/>
        </w:rPr>
      </w:pPr>
      <w:r w:rsidRPr="0021470D">
        <w:rPr>
          <w:b/>
          <w:bCs/>
          <w:sz w:val="24"/>
          <w:szCs w:val="24"/>
        </w:rPr>
        <w:lastRenderedPageBreak/>
        <w:t>ABSTRACT</w:t>
      </w:r>
    </w:p>
    <w:p w14:paraId="6D3886B6" w14:textId="216978C0" w:rsidR="00E41F9A" w:rsidRDefault="005E2EEE" w:rsidP="004247F3">
      <w:pPr>
        <w:jc w:val="both"/>
        <w:rPr>
          <w:sz w:val="24"/>
          <w:szCs w:val="24"/>
        </w:rPr>
      </w:pPr>
      <w:r w:rsidRPr="005E2EEE">
        <w:rPr>
          <w:sz w:val="24"/>
          <w:szCs w:val="24"/>
        </w:rPr>
        <w:t>Walking, bicycling, and using micromobility modes (collectively, active modes) confer well-documented mobility, environmental, and health benefits. Yet, a substantial share of adults never or rarely uses these modes. Using data from the nationwide Transportation Heartbeat of America Survey, combined with residential built-environment measures from the U.S. Environmental Protection Agency</w:t>
      </w:r>
      <w:r w:rsidR="000D7001">
        <w:rPr>
          <w:sz w:val="24"/>
          <w:szCs w:val="24"/>
        </w:rPr>
        <w:t>’</w:t>
      </w:r>
      <w:r w:rsidRPr="005E2EEE">
        <w:rPr>
          <w:sz w:val="24"/>
          <w:szCs w:val="24"/>
        </w:rPr>
        <w:t>s Smart Location Database, this study examines the prevalence and determinants of infrequent active travel in the U.S. and the perceived barriers to using these modes. The analysis adopts a joint modeling framework comprising a binary Never or Rare Active Traveler (NRAT) indicator and seven perceived barriers, accounting for interdependencies among these eight outcomes while controlling for a range of socio-demographic, household, and built-environment factors. Infrequent use is most prevalent among women, older adults, non-employed individuals, and members of vehicle-sufficient households, with trip distance a dominant obstacle for this last group. Personal security is particularly salient among women and renters, who report far greater concerns about loitering or threatening behavior. Built-environment characteristics also substantially shape the reported barriers, with (a) denser areas reducing infrastructure complaints even as they intensify concerns about aggressive drivers and loitering or threatening behavior, (b) walkable areas heightening concerns about insufficient lighting and distracted driving, and (c) a well-connected pedestrian and bicycling network lowering concerns across the widest range of barriers. The findings underscore the need for a differentiated policy agenda in which intervention instruments to promote active travel are matched to the populations and barriers they are best suited to address.</w:t>
      </w:r>
    </w:p>
    <w:p w14:paraId="3E4246ED" w14:textId="77777777" w:rsidR="005E2EEE" w:rsidRDefault="005E2EEE" w:rsidP="004247F3">
      <w:pPr>
        <w:jc w:val="both"/>
        <w:rPr>
          <w:b/>
          <w:bCs/>
          <w:sz w:val="24"/>
          <w:szCs w:val="24"/>
        </w:rPr>
      </w:pPr>
    </w:p>
    <w:p w14:paraId="4344015E" w14:textId="3FD847FD" w:rsidR="00915A7C" w:rsidRPr="00915A7C" w:rsidRDefault="00915A7C" w:rsidP="004247F3">
      <w:pPr>
        <w:jc w:val="both"/>
        <w:rPr>
          <w:sz w:val="24"/>
          <w:szCs w:val="24"/>
        </w:rPr>
      </w:pPr>
      <w:r w:rsidRPr="00915A7C">
        <w:rPr>
          <w:b/>
          <w:bCs/>
          <w:sz w:val="24"/>
          <w:szCs w:val="24"/>
        </w:rPr>
        <w:t>Keywords:</w:t>
      </w:r>
      <w:r w:rsidRPr="00915A7C">
        <w:rPr>
          <w:sz w:val="24"/>
          <w:szCs w:val="24"/>
        </w:rPr>
        <w:t xml:space="preserve"> Active Transportation, Perceived Barriers, </w:t>
      </w:r>
      <w:r w:rsidR="00F36CE1">
        <w:rPr>
          <w:sz w:val="24"/>
          <w:szCs w:val="24"/>
        </w:rPr>
        <w:t>Active Travel</w:t>
      </w:r>
      <w:r w:rsidRPr="00915A7C">
        <w:rPr>
          <w:sz w:val="24"/>
          <w:szCs w:val="24"/>
        </w:rPr>
        <w:t>,</w:t>
      </w:r>
      <w:r w:rsidR="000065FE">
        <w:rPr>
          <w:sz w:val="24"/>
          <w:szCs w:val="24"/>
        </w:rPr>
        <w:t xml:space="preserve"> Micromobility,</w:t>
      </w:r>
      <w:r w:rsidRPr="00915A7C">
        <w:rPr>
          <w:sz w:val="24"/>
          <w:szCs w:val="24"/>
        </w:rPr>
        <w:t xml:space="preserve"> Built</w:t>
      </w:r>
      <w:r w:rsidR="00AE707B">
        <w:rPr>
          <w:sz w:val="24"/>
          <w:szCs w:val="24"/>
        </w:rPr>
        <w:t xml:space="preserve"> </w:t>
      </w:r>
      <w:r w:rsidR="004E5B8B">
        <w:rPr>
          <w:sz w:val="24"/>
          <w:szCs w:val="24"/>
        </w:rPr>
        <w:t>E</w:t>
      </w:r>
      <w:r w:rsidRPr="00915A7C">
        <w:rPr>
          <w:sz w:val="24"/>
          <w:szCs w:val="24"/>
        </w:rPr>
        <w:t>nvironment, Joint Modeling</w:t>
      </w:r>
    </w:p>
    <w:p w14:paraId="0CA6B2F7" w14:textId="77777777" w:rsidR="007C2297" w:rsidRDefault="007C2297" w:rsidP="004247F3">
      <w:pPr>
        <w:rPr>
          <w:b/>
          <w:bCs/>
          <w:sz w:val="28"/>
          <w:szCs w:val="28"/>
        </w:rPr>
      </w:pPr>
    </w:p>
    <w:p w14:paraId="2E1C8221" w14:textId="77777777" w:rsidR="007C2297" w:rsidRDefault="007C2297" w:rsidP="004247F3">
      <w:pPr>
        <w:rPr>
          <w:b/>
          <w:bCs/>
          <w:sz w:val="28"/>
          <w:szCs w:val="28"/>
        </w:rPr>
      </w:pPr>
    </w:p>
    <w:p w14:paraId="4F69F27E" w14:textId="77777777" w:rsidR="007C2297" w:rsidRDefault="007C2297" w:rsidP="004247F3">
      <w:pPr>
        <w:rPr>
          <w:b/>
          <w:bCs/>
          <w:sz w:val="28"/>
          <w:szCs w:val="28"/>
        </w:rPr>
      </w:pPr>
    </w:p>
    <w:p w14:paraId="4E6845A0" w14:textId="77777777" w:rsidR="007C2297" w:rsidRDefault="007C2297" w:rsidP="004247F3">
      <w:pPr>
        <w:rPr>
          <w:b/>
          <w:bCs/>
          <w:sz w:val="28"/>
          <w:szCs w:val="28"/>
        </w:rPr>
      </w:pPr>
    </w:p>
    <w:p w14:paraId="46471954" w14:textId="77777777" w:rsidR="00EE488A" w:rsidRDefault="00EE488A" w:rsidP="003364AA">
      <w:pPr>
        <w:spacing w:after="200"/>
        <w:rPr>
          <w:b/>
          <w:bCs/>
          <w:sz w:val="28"/>
          <w:szCs w:val="28"/>
        </w:rPr>
      </w:pPr>
    </w:p>
    <w:p w14:paraId="1377ECF0" w14:textId="77777777" w:rsidR="00D366DC" w:rsidRDefault="00D366DC" w:rsidP="003364AA">
      <w:pPr>
        <w:spacing w:after="200"/>
        <w:rPr>
          <w:b/>
          <w:bCs/>
          <w:sz w:val="28"/>
          <w:szCs w:val="28"/>
        </w:rPr>
      </w:pPr>
    </w:p>
    <w:p w14:paraId="552E0D18" w14:textId="77777777" w:rsidR="00D366DC" w:rsidRDefault="00D366DC" w:rsidP="003364AA">
      <w:pPr>
        <w:spacing w:after="200"/>
        <w:rPr>
          <w:b/>
          <w:bCs/>
          <w:sz w:val="28"/>
          <w:szCs w:val="28"/>
        </w:rPr>
      </w:pPr>
    </w:p>
    <w:p w14:paraId="6534F029" w14:textId="77777777" w:rsidR="00E41F9A" w:rsidRDefault="00E41F9A" w:rsidP="003364AA">
      <w:pPr>
        <w:spacing w:after="200"/>
        <w:rPr>
          <w:b/>
          <w:bCs/>
          <w:sz w:val="28"/>
          <w:szCs w:val="28"/>
        </w:rPr>
      </w:pPr>
    </w:p>
    <w:p w14:paraId="79940B4B" w14:textId="77777777" w:rsidR="004247F3" w:rsidRDefault="004247F3" w:rsidP="00BE230C">
      <w:pPr>
        <w:spacing w:before="200"/>
        <w:rPr>
          <w:b/>
          <w:bCs/>
          <w:sz w:val="24"/>
          <w:szCs w:val="24"/>
        </w:rPr>
        <w:sectPr w:rsidR="004247F3" w:rsidSect="002F5B5C">
          <w:pgSz w:w="12240" w:h="15840"/>
          <w:pgMar w:top="1440" w:right="1440" w:bottom="1440" w:left="1440" w:header="706" w:footer="706" w:gutter="0"/>
          <w:cols w:space="720"/>
          <w:docGrid w:linePitch="360"/>
        </w:sectPr>
      </w:pPr>
    </w:p>
    <w:p w14:paraId="68BB3C18" w14:textId="01A6DDB5" w:rsidR="002959A1" w:rsidRPr="008B64FF" w:rsidRDefault="00C25F45" w:rsidP="004247F3">
      <w:pPr>
        <w:rPr>
          <w:sz w:val="24"/>
          <w:szCs w:val="24"/>
        </w:rPr>
      </w:pPr>
      <w:r w:rsidRPr="008B64FF">
        <w:rPr>
          <w:b/>
          <w:bCs/>
          <w:sz w:val="24"/>
          <w:szCs w:val="24"/>
        </w:rPr>
        <w:lastRenderedPageBreak/>
        <w:t xml:space="preserve">1. </w:t>
      </w:r>
      <w:r w:rsidR="008B64FF" w:rsidRPr="008B64FF">
        <w:rPr>
          <w:b/>
          <w:bCs/>
          <w:sz w:val="24"/>
          <w:szCs w:val="24"/>
        </w:rPr>
        <w:t>INTRODUCTION</w:t>
      </w:r>
    </w:p>
    <w:p w14:paraId="49C33B01" w14:textId="251F6854" w:rsidR="00E60104" w:rsidRDefault="00FE5C18" w:rsidP="004247F3">
      <w:pPr>
        <w:pStyle w:val="FootnoteText"/>
        <w:jc w:val="both"/>
        <w:rPr>
          <w:sz w:val="24"/>
          <w:szCs w:val="24"/>
        </w:rPr>
      </w:pPr>
      <w:r w:rsidRPr="00794CF4">
        <w:rPr>
          <w:sz w:val="24"/>
          <w:szCs w:val="24"/>
        </w:rPr>
        <w:t xml:space="preserve">Walking, bicycling, and the growing array of low-powered micromobility options (such as e-bikes and e-scooters) offer direct and widely accessible alternatives to private vehicle travel for short urban trips. </w:t>
      </w:r>
      <w:r w:rsidR="006046E0" w:rsidRPr="006046E0">
        <w:rPr>
          <w:sz w:val="24"/>
          <w:szCs w:val="24"/>
        </w:rPr>
        <w:t xml:space="preserve">Despite differing in the level of physical exertion required, these </w:t>
      </w:r>
      <w:r w:rsidR="0073207F">
        <w:rPr>
          <w:sz w:val="24"/>
          <w:szCs w:val="24"/>
        </w:rPr>
        <w:t>m</w:t>
      </w:r>
      <w:r w:rsidR="00064382">
        <w:rPr>
          <w:sz w:val="24"/>
          <w:szCs w:val="24"/>
        </w:rPr>
        <w:t>odes</w:t>
      </w:r>
      <w:r w:rsidR="006046E0" w:rsidRPr="006046E0">
        <w:rPr>
          <w:sz w:val="24"/>
          <w:szCs w:val="24"/>
        </w:rPr>
        <w:t xml:space="preserve"> share a common operating envelope. Each relies on pedestrian- and bicycle-scale infrastructure, substitutes for short motorized trips, and sustains a level of physical activity well above that of vehicular travel even when the ride is electrically assisted</w:t>
      </w:r>
      <w:r w:rsidRPr="00794CF4">
        <w:rPr>
          <w:sz w:val="24"/>
          <w:szCs w:val="24"/>
        </w:rPr>
        <w:t xml:space="preserve">. </w:t>
      </w:r>
      <w:r w:rsidR="00DD7910">
        <w:rPr>
          <w:sz w:val="24"/>
          <w:szCs w:val="24"/>
        </w:rPr>
        <w:t>For these reasons, in the rest of this paper, for presentation ease, we will refer to these modes as “active</w:t>
      </w:r>
      <w:r w:rsidR="0020069C">
        <w:rPr>
          <w:sz w:val="24"/>
          <w:szCs w:val="24"/>
        </w:rPr>
        <w:t xml:space="preserve"> </w:t>
      </w:r>
      <w:r w:rsidR="00DD7910">
        <w:rPr>
          <w:sz w:val="24"/>
          <w:szCs w:val="24"/>
        </w:rPr>
        <w:t xml:space="preserve">modes” and the corresponding travel as </w:t>
      </w:r>
      <w:r w:rsidR="00551B09">
        <w:rPr>
          <w:sz w:val="24"/>
          <w:szCs w:val="24"/>
        </w:rPr>
        <w:t>“</w:t>
      </w:r>
      <w:r w:rsidR="00DD7910">
        <w:rPr>
          <w:sz w:val="24"/>
          <w:szCs w:val="24"/>
        </w:rPr>
        <w:t>active</w:t>
      </w:r>
      <w:r w:rsidR="006E520E">
        <w:rPr>
          <w:sz w:val="24"/>
          <w:szCs w:val="24"/>
        </w:rPr>
        <w:t xml:space="preserve"> </w:t>
      </w:r>
      <w:r w:rsidR="00DD7910">
        <w:rPr>
          <w:sz w:val="24"/>
          <w:szCs w:val="24"/>
        </w:rPr>
        <w:t>travel”</w:t>
      </w:r>
      <w:r w:rsidR="00AF1160">
        <w:rPr>
          <w:sz w:val="24"/>
          <w:szCs w:val="24"/>
        </w:rPr>
        <w:t>.</w:t>
      </w:r>
    </w:p>
    <w:p w14:paraId="1252F0CD" w14:textId="38046600" w:rsidR="00AF1160" w:rsidRPr="002D139B" w:rsidRDefault="00AF1160" w:rsidP="004247F3">
      <w:pPr>
        <w:pStyle w:val="FootnoteText"/>
        <w:ind w:firstLine="720"/>
        <w:jc w:val="both"/>
        <w:rPr>
          <w:sz w:val="24"/>
          <w:szCs w:val="24"/>
        </w:rPr>
      </w:pPr>
      <w:r>
        <w:rPr>
          <w:sz w:val="24"/>
          <w:szCs w:val="24"/>
        </w:rPr>
        <w:t xml:space="preserve">The societal value of active travel </w:t>
      </w:r>
      <w:r w:rsidR="00A72BE8">
        <w:rPr>
          <w:sz w:val="24"/>
          <w:szCs w:val="24"/>
        </w:rPr>
        <w:t xml:space="preserve">is well documented across </w:t>
      </w:r>
      <w:r w:rsidR="00551B09">
        <w:rPr>
          <w:sz w:val="24"/>
          <w:szCs w:val="24"/>
        </w:rPr>
        <w:t>transportation</w:t>
      </w:r>
      <w:r w:rsidR="00A72BE8">
        <w:rPr>
          <w:sz w:val="24"/>
          <w:szCs w:val="24"/>
        </w:rPr>
        <w:t xml:space="preserve"> and public-health literatures </w:t>
      </w:r>
      <w:sdt>
        <w:sdtPr>
          <w:rPr>
            <w:color w:val="000000"/>
            <w:sz w:val="24"/>
            <w:szCs w:val="24"/>
          </w:rPr>
          <w:tag w:val="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"/>
          <w:id w:val="-1243861708"/>
          <w:placeholder>
            <w:docPart w:val="DefaultPlaceholder_-1854013440"/>
          </w:placeholder>
        </w:sdtPr>
        <w:sdtEndPr/>
        <w:sdtContent>
          <w:r w:rsidR="000C5DDA" w:rsidRPr="000C5DDA">
            <w:rPr>
              <w:color w:val="000000"/>
              <w:sz w:val="24"/>
              <w:szCs w:val="24"/>
            </w:rPr>
            <w:t>(see, for example, Brand et al., 2021; Ding et al., 2024; Millard-Ball et al., 2025)</w:t>
          </w:r>
        </w:sdtContent>
      </w:sdt>
      <w:r w:rsidR="00E81BAA" w:rsidRPr="002D139B">
        <w:rPr>
          <w:sz w:val="24"/>
          <w:szCs w:val="24"/>
        </w:rPr>
        <w:t xml:space="preserve">. </w:t>
      </w:r>
      <w:r w:rsidR="00B63546" w:rsidRPr="002D139B">
        <w:rPr>
          <w:sz w:val="24"/>
          <w:szCs w:val="24"/>
        </w:rPr>
        <w:t>Each short private</w:t>
      </w:r>
      <w:r w:rsidR="003B6B13">
        <w:rPr>
          <w:sz w:val="24"/>
          <w:szCs w:val="24"/>
        </w:rPr>
        <w:t>-</w:t>
      </w:r>
      <w:r w:rsidR="00B63546" w:rsidRPr="002D139B">
        <w:rPr>
          <w:sz w:val="24"/>
          <w:szCs w:val="24"/>
        </w:rPr>
        <w:t xml:space="preserve">vehicle </w:t>
      </w:r>
      <w:r w:rsidR="00A244B2" w:rsidRPr="002D139B">
        <w:rPr>
          <w:sz w:val="24"/>
          <w:szCs w:val="24"/>
        </w:rPr>
        <w:t>trip</w:t>
      </w:r>
      <w:r w:rsidR="00B63546" w:rsidRPr="002D139B">
        <w:rPr>
          <w:sz w:val="24"/>
          <w:szCs w:val="24"/>
        </w:rPr>
        <w:t xml:space="preserve"> these modes displace yields a small but cumulative reduction in </w:t>
      </w:r>
      <w:r w:rsidR="001E2CFF">
        <w:rPr>
          <w:sz w:val="24"/>
          <w:szCs w:val="24"/>
        </w:rPr>
        <w:t xml:space="preserve">traffic-caused delays </w:t>
      </w:r>
      <w:sdt>
        <w:sdtPr>
          <w:rPr>
            <w:color w:val="000000"/>
            <w:sz w:val="24"/>
            <w:szCs w:val="24"/>
          </w:rPr>
          <w:tag w:val="MENDELEY_CITATION_v3_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"/>
          <w:id w:val="1918663446"/>
          <w:placeholder>
            <w:docPart w:val="DefaultPlaceholder_-1854013440"/>
          </w:placeholder>
        </w:sdtPr>
        <w:sdtEndPr/>
        <w:sdtContent>
          <w:r w:rsidR="000C5DDA" w:rsidRPr="000C5DDA">
            <w:rPr>
              <w:color w:val="000000"/>
              <w:sz w:val="24"/>
            </w:rPr>
            <w:t>(Wang and Zhou, 2017; Hamilton and Wichman, 2018)</w:t>
          </w:r>
        </w:sdtContent>
      </w:sdt>
      <w:r w:rsidR="001E2CFF">
        <w:rPr>
          <w:sz w:val="24"/>
          <w:szCs w:val="24"/>
        </w:rPr>
        <w:t xml:space="preserve"> and </w:t>
      </w:r>
      <w:r w:rsidR="00B63546" w:rsidRPr="002D139B">
        <w:rPr>
          <w:sz w:val="24"/>
          <w:szCs w:val="24"/>
        </w:rPr>
        <w:t xml:space="preserve">greenhouse-gas emissions </w:t>
      </w:r>
      <w:sdt>
        <w:sdtPr>
          <w:rPr>
            <w:color w:val="000000"/>
            <w:sz w:val="24"/>
            <w:szCs w:val="24"/>
          </w:rPr>
          <w:tag w:val="MENDELEY_CITATION_v3_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"/>
          <w:id w:val="1640311206"/>
          <w:placeholder>
            <w:docPart w:val="DefaultPlaceholder_-1854013440"/>
          </w:placeholder>
        </w:sdtPr>
        <w:sdtEndPr/>
        <w:sdtContent>
          <w:r w:rsidR="000C5DDA" w:rsidRPr="000C5DDA">
            <w:rPr>
              <w:color w:val="000000"/>
              <w:sz w:val="24"/>
            </w:rPr>
            <w:t>(Neves and Brand, 2019)</w:t>
          </w:r>
        </w:sdtContent>
      </w:sdt>
      <w:r w:rsidR="001E2CFF">
        <w:rPr>
          <w:sz w:val="24"/>
          <w:szCs w:val="24"/>
        </w:rPr>
        <w:t xml:space="preserve">. In the context of public health, especially </w:t>
      </w:r>
      <w:r w:rsidR="00C35B56" w:rsidRPr="002D139B">
        <w:rPr>
          <w:sz w:val="24"/>
          <w:szCs w:val="24"/>
        </w:rPr>
        <w:t xml:space="preserve">the case of human-powered walking and bicycling, </w:t>
      </w:r>
      <w:r w:rsidR="001E2CFF">
        <w:rPr>
          <w:sz w:val="24"/>
          <w:szCs w:val="24"/>
        </w:rPr>
        <w:t xml:space="preserve">active travel has </w:t>
      </w:r>
      <w:r w:rsidR="00C35B56" w:rsidRPr="002D139B">
        <w:rPr>
          <w:sz w:val="24"/>
          <w:szCs w:val="24"/>
        </w:rPr>
        <w:t xml:space="preserve">also </w:t>
      </w:r>
      <w:r w:rsidR="001E2CFF">
        <w:rPr>
          <w:sz w:val="24"/>
          <w:szCs w:val="24"/>
        </w:rPr>
        <w:t>been strongly linked with tangible mental and physical health benefits</w:t>
      </w:r>
      <w:r w:rsidR="00F56DB1">
        <w:rPr>
          <w:sz w:val="24"/>
          <w:szCs w:val="24"/>
        </w:rPr>
        <w:t xml:space="preserve"> </w:t>
      </w:r>
      <w:sdt>
        <w:sdtPr>
          <w:rPr>
            <w:color w:val="000000"/>
            <w:sz w:val="24"/>
            <w:szCs w:val="24"/>
          </w:rPr>
          <w:tag w:val="MENDELEY_CITATION_v3_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"/>
          <w:id w:val="-1564009176"/>
          <w:placeholder>
            <w:docPart w:val="DefaultPlaceholder_-1854013440"/>
          </w:placeholder>
        </w:sdtPr>
        <w:sdtEndPr/>
        <w:sdtContent>
          <w:r w:rsidR="000C5DDA" w:rsidRPr="000C5DDA">
            <w:rPr>
              <w:color w:val="000000"/>
              <w:sz w:val="24"/>
              <w:szCs w:val="24"/>
            </w:rPr>
            <w:t>(Berrie et al., 2024; Baran et al., 2024)</w:t>
          </w:r>
        </w:sdtContent>
      </w:sdt>
      <w:r w:rsidR="00F860D8" w:rsidRPr="002D139B">
        <w:rPr>
          <w:sz w:val="24"/>
          <w:szCs w:val="24"/>
        </w:rPr>
        <w:t xml:space="preserve">. </w:t>
      </w:r>
      <w:r w:rsidR="00CF22C4" w:rsidRPr="002D139B">
        <w:rPr>
          <w:sz w:val="24"/>
          <w:szCs w:val="24"/>
        </w:rPr>
        <w:t>Yet</w:t>
      </w:r>
      <w:r w:rsidR="00B76189" w:rsidRPr="002D139B">
        <w:rPr>
          <w:sz w:val="24"/>
          <w:szCs w:val="24"/>
        </w:rPr>
        <w:t xml:space="preserve">, despite this established linkage between </w:t>
      </w:r>
      <w:r w:rsidR="001E2CFF">
        <w:rPr>
          <w:sz w:val="24"/>
          <w:szCs w:val="24"/>
        </w:rPr>
        <w:t xml:space="preserve">active travel </w:t>
      </w:r>
      <w:r w:rsidR="00B76189" w:rsidRPr="002D139B">
        <w:rPr>
          <w:sz w:val="24"/>
          <w:szCs w:val="24"/>
        </w:rPr>
        <w:t xml:space="preserve">and </w:t>
      </w:r>
      <w:r w:rsidR="001E2CFF">
        <w:rPr>
          <w:sz w:val="24"/>
          <w:szCs w:val="24"/>
        </w:rPr>
        <w:t xml:space="preserve">its beneficial effects related to traffic congestion reduction, air quality and environmental sustainability, and mental/physical </w:t>
      </w:r>
      <w:r w:rsidR="00B76189" w:rsidRPr="002D139B">
        <w:rPr>
          <w:sz w:val="24"/>
          <w:szCs w:val="24"/>
        </w:rPr>
        <w:t>health</w:t>
      </w:r>
      <w:r w:rsidR="001E2CFF">
        <w:rPr>
          <w:sz w:val="24"/>
          <w:szCs w:val="24"/>
        </w:rPr>
        <w:t xml:space="preserve"> improvement</w:t>
      </w:r>
      <w:r w:rsidR="00B76189" w:rsidRPr="002D139B">
        <w:rPr>
          <w:sz w:val="24"/>
          <w:szCs w:val="24"/>
        </w:rPr>
        <w:t xml:space="preserve">, </w:t>
      </w:r>
      <w:r w:rsidR="00CF22C4" w:rsidRPr="002D139B">
        <w:rPr>
          <w:sz w:val="24"/>
          <w:szCs w:val="24"/>
        </w:rPr>
        <w:t>the most recent national travel-survey evidence shows that private vehicles account for roughly 87% of all person trips in the U</w:t>
      </w:r>
      <w:r w:rsidR="009C5DD7">
        <w:rPr>
          <w:sz w:val="24"/>
          <w:szCs w:val="24"/>
        </w:rPr>
        <w:t>.S.</w:t>
      </w:r>
      <w:r w:rsidR="008100C9" w:rsidRPr="002D139B">
        <w:rPr>
          <w:sz w:val="24"/>
          <w:szCs w:val="24"/>
        </w:rPr>
        <w:t xml:space="preserve"> </w:t>
      </w:r>
      <w:sdt>
        <w:sdtPr>
          <w:rPr>
            <w:color w:val="000000"/>
            <w:sz w:val="24"/>
            <w:szCs w:val="24"/>
          </w:rPr>
          <w:tag w:val="MENDELEY_CITATION_v3_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"/>
          <w:id w:val="-1980748635"/>
          <w:placeholder>
            <w:docPart w:val="DefaultPlaceholder_-1854013440"/>
          </w:placeholder>
        </w:sdtPr>
        <w:sdtEndPr/>
        <w:sdtContent>
          <w:r w:rsidR="000C5DDA" w:rsidRPr="000C5DDA">
            <w:rPr>
              <w:color w:val="000000"/>
              <w:sz w:val="24"/>
              <w:szCs w:val="24"/>
            </w:rPr>
            <w:t>(Bricka et al., 2024)</w:t>
          </w:r>
        </w:sdtContent>
      </w:sdt>
      <w:r w:rsidR="00B76189" w:rsidRPr="002D139B">
        <w:rPr>
          <w:sz w:val="24"/>
          <w:szCs w:val="24"/>
        </w:rPr>
        <w:t>.</w:t>
      </w:r>
      <w:r w:rsidR="008100C9" w:rsidRPr="002D139B">
        <w:rPr>
          <w:sz w:val="24"/>
          <w:szCs w:val="24"/>
        </w:rPr>
        <w:t xml:space="preserve"> </w:t>
      </w:r>
      <w:r w:rsidR="00616129" w:rsidRPr="002D139B">
        <w:rPr>
          <w:sz w:val="24"/>
          <w:szCs w:val="24"/>
        </w:rPr>
        <w:t xml:space="preserve">And, even with significant growth in </w:t>
      </w:r>
      <w:r w:rsidR="00451C69" w:rsidRPr="002D139B">
        <w:rPr>
          <w:sz w:val="24"/>
          <w:szCs w:val="24"/>
        </w:rPr>
        <w:t xml:space="preserve">shared-micromobility ridership in the U.S., which reached an all-time high of approximately </w:t>
      </w:r>
      <w:r w:rsidR="00E859B3" w:rsidRPr="002D139B">
        <w:rPr>
          <w:sz w:val="24"/>
          <w:szCs w:val="24"/>
        </w:rPr>
        <w:t>171</w:t>
      </w:r>
      <w:r w:rsidR="00451C69" w:rsidRPr="002D139B">
        <w:rPr>
          <w:sz w:val="24"/>
          <w:szCs w:val="24"/>
        </w:rPr>
        <w:t xml:space="preserve"> million trips in 2024 (a 3</w:t>
      </w:r>
      <w:r w:rsidR="00E859B3" w:rsidRPr="002D139B">
        <w:rPr>
          <w:sz w:val="24"/>
          <w:szCs w:val="24"/>
        </w:rPr>
        <w:t>2</w:t>
      </w:r>
      <w:r w:rsidR="00451C69" w:rsidRPr="002D139B">
        <w:rPr>
          <w:sz w:val="24"/>
          <w:szCs w:val="24"/>
        </w:rPr>
        <w:t xml:space="preserve">% increase over the previous year and the second consecutive record-setting year; </w:t>
      </w:r>
      <w:sdt>
        <w:sdtPr>
          <w:rPr>
            <w:color w:val="000000"/>
            <w:sz w:val="24"/>
            <w:szCs w:val="24"/>
          </w:rPr>
          <w:tag w:val="MENDELEY_CITATION_v3_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"/>
          <w:id w:val="1914439936"/>
          <w:placeholder>
            <w:docPart w:val="7A803038CB5746A789F58EDBFBFC392A"/>
          </w:placeholder>
        </w:sdtPr>
        <w:sdtEndPr/>
        <w:sdtContent>
          <w:r w:rsidR="000C5DDA" w:rsidRPr="000C5DDA">
            <w:rPr>
              <w:color w:val="000000"/>
              <w:sz w:val="24"/>
              <w:szCs w:val="24"/>
            </w:rPr>
            <w:t>North American Bikeshare and Scootershare Association, 2025)</w:t>
          </w:r>
        </w:sdtContent>
      </w:sdt>
      <w:r w:rsidR="00451C69" w:rsidRPr="002D139B">
        <w:rPr>
          <w:sz w:val="24"/>
          <w:szCs w:val="24"/>
        </w:rPr>
        <w:t xml:space="preserve">, </w:t>
      </w:r>
      <w:r w:rsidR="00514353" w:rsidRPr="002D139B">
        <w:rPr>
          <w:sz w:val="24"/>
          <w:szCs w:val="24"/>
        </w:rPr>
        <w:t xml:space="preserve">micromobility modes still </w:t>
      </w:r>
      <w:r w:rsidR="00451C69" w:rsidRPr="002D139B">
        <w:rPr>
          <w:sz w:val="24"/>
          <w:szCs w:val="24"/>
        </w:rPr>
        <w:t>account for only a small minority of total urban trips.</w:t>
      </w:r>
      <w:r w:rsidR="00991109" w:rsidRPr="002D139B">
        <w:rPr>
          <w:sz w:val="24"/>
          <w:szCs w:val="24"/>
        </w:rPr>
        <w:t xml:space="preserve"> Together, these patterns point to </w:t>
      </w:r>
      <w:r w:rsidR="00166ED1" w:rsidRPr="002D139B">
        <w:rPr>
          <w:sz w:val="24"/>
          <w:szCs w:val="24"/>
        </w:rPr>
        <w:t>a broader need to understand why active</w:t>
      </w:r>
      <w:r w:rsidR="00B438BB" w:rsidRPr="002D139B">
        <w:rPr>
          <w:sz w:val="24"/>
          <w:szCs w:val="24"/>
        </w:rPr>
        <w:t xml:space="preserve"> </w:t>
      </w:r>
      <w:r w:rsidR="00166ED1" w:rsidRPr="002D139B">
        <w:rPr>
          <w:sz w:val="24"/>
          <w:szCs w:val="24"/>
        </w:rPr>
        <w:t xml:space="preserve">travel uptake remains so limited, even in contexts where walking, bicycling, and micromobility should be viable options. </w:t>
      </w:r>
      <w:r w:rsidR="00935523" w:rsidRPr="002D139B">
        <w:rPr>
          <w:sz w:val="24"/>
          <w:szCs w:val="24"/>
        </w:rPr>
        <w:t>Several structural conditions may help explain this persistent gap, such as the increasing sprawl of many U.S. metropolitan areas, which can reduce the practicality of active travel</w:t>
      </w:r>
      <w:r w:rsidR="00991109" w:rsidRPr="002D139B">
        <w:rPr>
          <w:sz w:val="24"/>
          <w:szCs w:val="24"/>
        </w:rPr>
        <w:t xml:space="preserve"> </w:t>
      </w:r>
      <w:sdt>
        <w:sdtPr>
          <w:rPr>
            <w:color w:val="000000"/>
            <w:sz w:val="24"/>
            <w:szCs w:val="24"/>
          </w:rPr>
          <w:tag w:val="MENDELEY_CITATION_v3_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"/>
          <w:id w:val="92901497"/>
          <w:placeholder>
            <w:docPart w:val="DefaultPlaceholder_-1854013440"/>
          </w:placeholder>
        </w:sdtPr>
        <w:sdtEndPr/>
        <w:sdtContent>
          <w:r w:rsidR="000C5DDA" w:rsidRPr="000C5DDA">
            <w:rPr>
              <w:color w:val="000000"/>
              <w:sz w:val="24"/>
            </w:rPr>
            <w:t>(Hamidi and Ewing, 2014; Hamidi et al., 2026)</w:t>
          </w:r>
        </w:sdtContent>
      </w:sdt>
      <w:r w:rsidR="00EB4F52" w:rsidRPr="002D139B">
        <w:rPr>
          <w:sz w:val="24"/>
          <w:szCs w:val="24"/>
        </w:rPr>
        <w:t xml:space="preserve">, </w:t>
      </w:r>
      <w:r w:rsidR="001009F2" w:rsidRPr="002D139B">
        <w:rPr>
          <w:sz w:val="24"/>
          <w:szCs w:val="24"/>
        </w:rPr>
        <w:t>as well as long</w:t>
      </w:r>
      <w:r w:rsidR="00EC7278">
        <w:rPr>
          <w:sz w:val="24"/>
          <w:szCs w:val="24"/>
        </w:rPr>
        <w:t>-</w:t>
      </w:r>
      <w:r w:rsidR="001009F2" w:rsidRPr="002D139B">
        <w:rPr>
          <w:sz w:val="24"/>
          <w:szCs w:val="24"/>
        </w:rPr>
        <w:t>standing transportation</w:t>
      </w:r>
      <w:r w:rsidR="00351C6B" w:rsidRPr="002D139B">
        <w:rPr>
          <w:sz w:val="24"/>
          <w:szCs w:val="24"/>
        </w:rPr>
        <w:t xml:space="preserve"> </w:t>
      </w:r>
      <w:r w:rsidR="001009F2" w:rsidRPr="002D139B">
        <w:rPr>
          <w:sz w:val="24"/>
          <w:szCs w:val="24"/>
        </w:rPr>
        <w:t>planning priorities that have often emphasized motorized infrastructure over active</w:t>
      </w:r>
      <w:r w:rsidR="00351C6B" w:rsidRPr="002D139B">
        <w:rPr>
          <w:sz w:val="24"/>
          <w:szCs w:val="24"/>
        </w:rPr>
        <w:t xml:space="preserve"> </w:t>
      </w:r>
      <w:r w:rsidR="001009F2" w:rsidRPr="002D139B">
        <w:rPr>
          <w:sz w:val="24"/>
          <w:szCs w:val="24"/>
        </w:rPr>
        <w:t>transportation investments</w:t>
      </w:r>
      <w:r w:rsidR="00785E16" w:rsidRPr="002D139B">
        <w:rPr>
          <w:sz w:val="24"/>
          <w:szCs w:val="24"/>
        </w:rPr>
        <w:t xml:space="preserve"> </w:t>
      </w:r>
      <w:sdt>
        <w:sdtPr>
          <w:rPr>
            <w:color w:val="000000"/>
            <w:sz w:val="24"/>
            <w:szCs w:val="24"/>
          </w:rPr>
          <w:tag w:val="MENDELEY_CITATION_v3_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"/>
          <w:id w:val="-5365046"/>
          <w:placeholder>
            <w:docPart w:val="DefaultPlaceholder_-1854013440"/>
          </w:placeholder>
        </w:sdtPr>
        <w:sdtEndPr/>
        <w:sdtContent>
          <w:r w:rsidR="000C5DDA" w:rsidRPr="000C5DDA">
            <w:rPr>
              <w:color w:val="000000"/>
              <w:sz w:val="24"/>
              <w:szCs w:val="24"/>
            </w:rPr>
            <w:t>(Loo, 2021)</w:t>
          </w:r>
        </w:sdtContent>
      </w:sdt>
      <w:r w:rsidR="001A206C" w:rsidRPr="002D139B">
        <w:rPr>
          <w:sz w:val="24"/>
          <w:szCs w:val="24"/>
        </w:rPr>
        <w:t>.</w:t>
      </w:r>
      <w:r w:rsidR="007A00D7" w:rsidRPr="002D139B">
        <w:rPr>
          <w:sz w:val="24"/>
          <w:szCs w:val="24"/>
        </w:rPr>
        <w:t xml:space="preserve"> These</w:t>
      </w:r>
      <w:r w:rsidR="00C47E30">
        <w:rPr>
          <w:sz w:val="24"/>
          <w:szCs w:val="24"/>
        </w:rPr>
        <w:t xml:space="preserve"> structural</w:t>
      </w:r>
      <w:r w:rsidR="007A00D7" w:rsidRPr="002D139B">
        <w:rPr>
          <w:sz w:val="24"/>
          <w:szCs w:val="24"/>
        </w:rPr>
        <w:t xml:space="preserve"> conditions form the backdrop against which travel decisions are made, but the decision to use an active mode for a given trip </w:t>
      </w:r>
      <w:r w:rsidR="00CC7B66">
        <w:rPr>
          <w:sz w:val="24"/>
          <w:szCs w:val="24"/>
        </w:rPr>
        <w:t>is also impacted by</w:t>
      </w:r>
      <w:r w:rsidR="007A00D7" w:rsidRPr="002D139B">
        <w:rPr>
          <w:sz w:val="24"/>
          <w:szCs w:val="24"/>
        </w:rPr>
        <w:t xml:space="preserve"> more immediate environmental and perceptual barriers </w:t>
      </w:r>
      <w:r w:rsidR="00CC7B66">
        <w:rPr>
          <w:sz w:val="24"/>
          <w:szCs w:val="24"/>
        </w:rPr>
        <w:t>unique to each individual traveler</w:t>
      </w:r>
      <w:r w:rsidR="007A00D7" w:rsidRPr="002D139B">
        <w:rPr>
          <w:sz w:val="24"/>
          <w:szCs w:val="24"/>
        </w:rPr>
        <w:t>.</w:t>
      </w:r>
    </w:p>
    <w:p w14:paraId="79FDC55D" w14:textId="4577ADBB" w:rsidR="00C26502" w:rsidRDefault="00653CA8" w:rsidP="002D139B">
      <w:pPr>
        <w:pStyle w:val="FootnoteText"/>
        <w:ind w:firstLine="720"/>
        <w:jc w:val="both"/>
        <w:rPr>
          <w:color w:val="000000"/>
          <w:sz w:val="24"/>
          <w:szCs w:val="24"/>
        </w:rPr>
      </w:pPr>
      <w:r>
        <w:rPr>
          <w:color w:val="000000"/>
          <w:sz w:val="24"/>
          <w:szCs w:val="24"/>
        </w:rPr>
        <w:t xml:space="preserve">A particular area of importance </w:t>
      </w:r>
      <w:r w:rsidR="004B7346">
        <w:rPr>
          <w:color w:val="000000"/>
          <w:sz w:val="24"/>
          <w:szCs w:val="24"/>
        </w:rPr>
        <w:t>that has emerged</w:t>
      </w:r>
      <w:r w:rsidR="00DF5A35">
        <w:rPr>
          <w:color w:val="000000"/>
          <w:sz w:val="24"/>
          <w:szCs w:val="24"/>
        </w:rPr>
        <w:t>, at least in part</w:t>
      </w:r>
      <w:r w:rsidR="004B7346">
        <w:rPr>
          <w:color w:val="000000"/>
          <w:sz w:val="24"/>
          <w:szCs w:val="24"/>
        </w:rPr>
        <w:t xml:space="preserve"> due to </w:t>
      </w:r>
      <w:r w:rsidR="00934D3A" w:rsidRPr="00934D3A">
        <w:rPr>
          <w:color w:val="000000"/>
          <w:sz w:val="24"/>
          <w:szCs w:val="24"/>
        </w:rPr>
        <w:t xml:space="preserve">historical underinvestment in active travel </w:t>
      </w:r>
      <w:r w:rsidR="004B7346">
        <w:rPr>
          <w:color w:val="000000"/>
          <w:sz w:val="24"/>
          <w:szCs w:val="24"/>
        </w:rPr>
        <w:t>infrastructure</w:t>
      </w:r>
      <w:r w:rsidR="00C56DB0">
        <w:rPr>
          <w:color w:val="000000"/>
          <w:sz w:val="24"/>
          <w:szCs w:val="24"/>
        </w:rPr>
        <w:t>,</w:t>
      </w:r>
      <w:r w:rsidR="00422BFC">
        <w:rPr>
          <w:color w:val="000000"/>
          <w:sz w:val="24"/>
          <w:szCs w:val="24"/>
        </w:rPr>
        <w:t xml:space="preserve"> is safety</w:t>
      </w:r>
      <w:r w:rsidR="00D40C0A">
        <w:rPr>
          <w:color w:val="000000"/>
          <w:sz w:val="24"/>
          <w:szCs w:val="24"/>
        </w:rPr>
        <w:t xml:space="preserve"> </w:t>
      </w:r>
      <w:sdt>
        <w:sdtPr>
          <w:rPr>
            <w:color w:val="000000"/>
            <w:sz w:val="24"/>
            <w:szCs w:val="32"/>
          </w:rPr>
          <w:tag w:val="MENDELEY_CITATION_v3_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"/>
          <w:id w:val="1799721548"/>
          <w:placeholder>
            <w:docPart w:val="DefaultPlaceholder_-1854013440"/>
          </w:placeholder>
        </w:sdtPr>
        <w:sdtEndPr/>
        <w:sdtContent>
          <w:r w:rsidR="000C5DDA" w:rsidRPr="000C5DDA">
            <w:rPr>
              <w:color w:val="000000"/>
              <w:sz w:val="24"/>
            </w:rPr>
            <w:t>(Buehler and Pucher, 2021; Bland et al., 2024)</w:t>
          </w:r>
        </w:sdtContent>
      </w:sdt>
      <w:r w:rsidR="00934D3A">
        <w:rPr>
          <w:color w:val="000000"/>
          <w:sz w:val="24"/>
          <w:szCs w:val="24"/>
        </w:rPr>
        <w:t xml:space="preserve">. </w:t>
      </w:r>
      <w:r w:rsidR="000225E7" w:rsidRPr="000225E7">
        <w:rPr>
          <w:color w:val="000000"/>
          <w:sz w:val="24"/>
          <w:szCs w:val="24"/>
        </w:rPr>
        <w:t>Inadequate</w:t>
      </w:r>
      <w:r w:rsidR="00F56DB1">
        <w:rPr>
          <w:color w:val="000000"/>
          <w:sz w:val="24"/>
          <w:szCs w:val="24"/>
        </w:rPr>
        <w:t xml:space="preserve"> </w:t>
      </w:r>
      <w:r w:rsidR="000225E7" w:rsidRPr="000225E7">
        <w:rPr>
          <w:color w:val="000000"/>
          <w:sz w:val="24"/>
          <w:szCs w:val="24"/>
        </w:rPr>
        <w:t>sidewalks, disconnected bicycle networks,</w:t>
      </w:r>
      <w:r w:rsidR="00791780">
        <w:rPr>
          <w:color w:val="000000"/>
          <w:sz w:val="24"/>
          <w:szCs w:val="24"/>
        </w:rPr>
        <w:t xml:space="preserve"> </w:t>
      </w:r>
      <w:r w:rsidR="000225E7" w:rsidRPr="000225E7">
        <w:rPr>
          <w:color w:val="000000"/>
          <w:sz w:val="24"/>
          <w:szCs w:val="24"/>
        </w:rPr>
        <w:t>poorly designed crossing</w:t>
      </w:r>
      <w:r w:rsidR="00033EE4">
        <w:rPr>
          <w:color w:val="000000"/>
          <w:sz w:val="24"/>
          <w:szCs w:val="24"/>
        </w:rPr>
        <w:t>s</w:t>
      </w:r>
      <w:r w:rsidR="000225E7" w:rsidRPr="000225E7">
        <w:rPr>
          <w:color w:val="000000"/>
          <w:sz w:val="24"/>
          <w:szCs w:val="24"/>
        </w:rPr>
        <w:t xml:space="preserve">, and limited traffic-calming measures can all </w:t>
      </w:r>
      <w:r w:rsidR="00F1353A">
        <w:rPr>
          <w:color w:val="000000"/>
          <w:sz w:val="24"/>
          <w:szCs w:val="24"/>
        </w:rPr>
        <w:t>increase</w:t>
      </w:r>
      <w:r w:rsidR="000225E7" w:rsidRPr="000225E7">
        <w:rPr>
          <w:color w:val="000000"/>
          <w:sz w:val="24"/>
          <w:szCs w:val="24"/>
        </w:rPr>
        <w:t xml:space="preserve"> objective safety and security risks for active travelers</w:t>
      </w:r>
      <w:r w:rsidR="003442AD">
        <w:rPr>
          <w:color w:val="000000"/>
          <w:sz w:val="24"/>
          <w:szCs w:val="24"/>
        </w:rPr>
        <w:t xml:space="preserve">. </w:t>
      </w:r>
      <w:r w:rsidR="00791780">
        <w:rPr>
          <w:color w:val="000000"/>
          <w:sz w:val="24"/>
          <w:szCs w:val="24"/>
        </w:rPr>
        <w:t xml:space="preserve">In this context, objective </w:t>
      </w:r>
      <w:r w:rsidR="00791780" w:rsidRPr="00F7408B">
        <w:rPr>
          <w:color w:val="000000"/>
          <w:sz w:val="24"/>
          <w:szCs w:val="24"/>
        </w:rPr>
        <w:t>walkability and bikeability matter, and have been the emphasis of many earlier studies on the use of active modes</w:t>
      </w:r>
      <w:r w:rsidR="00D6494A">
        <w:rPr>
          <w:color w:val="000000"/>
          <w:sz w:val="24"/>
          <w:szCs w:val="24"/>
        </w:rPr>
        <w:t xml:space="preserve"> (see, for example, reviews of such studies by </w:t>
      </w:r>
      <w:sdt>
        <w:sdtPr>
          <w:rPr>
            <w:color w:val="000000"/>
            <w:sz w:val="24"/>
            <w:szCs w:val="24"/>
          </w:rPr>
          <w:tag w:val="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"/>
          <w:id w:val="1522671348"/>
          <w:placeholder>
            <w:docPart w:val="625AE8D702504BCFA898116C60302CC7"/>
          </w:placeholder>
        </w:sdtPr>
        <w:sdtEndPr/>
        <w:sdtContent>
          <w:r w:rsidR="000C5DDA" w:rsidRPr="000C5DDA">
            <w:rPr>
              <w:color w:val="000000"/>
              <w:sz w:val="24"/>
              <w:szCs w:val="24"/>
            </w:rPr>
            <w:t>Cerin et al., 2017; Aldred, 2019; Pearson et al., 2025)</w:t>
          </w:r>
        </w:sdtContent>
      </w:sdt>
      <w:r w:rsidR="00791780" w:rsidRPr="00F7408B">
        <w:rPr>
          <w:color w:val="000000"/>
          <w:sz w:val="24"/>
          <w:szCs w:val="24"/>
        </w:rPr>
        <w:t>.</w:t>
      </w:r>
      <w:r w:rsidR="00791780">
        <w:rPr>
          <w:color w:val="000000"/>
          <w:sz w:val="24"/>
          <w:szCs w:val="24"/>
        </w:rPr>
        <w:t xml:space="preserve"> But </w:t>
      </w:r>
      <w:r w:rsidR="00D6494A">
        <w:rPr>
          <w:color w:val="000000"/>
          <w:sz w:val="24"/>
          <w:szCs w:val="24"/>
        </w:rPr>
        <w:t>objective walkability and bikeability</w:t>
      </w:r>
      <w:r w:rsidR="00791780">
        <w:rPr>
          <w:color w:val="000000"/>
          <w:sz w:val="24"/>
          <w:szCs w:val="24"/>
        </w:rPr>
        <w:t xml:space="preserve"> </w:t>
      </w:r>
      <w:r w:rsidR="00791780" w:rsidRPr="00794CF4">
        <w:rPr>
          <w:color w:val="000000"/>
          <w:sz w:val="24"/>
          <w:szCs w:val="24"/>
        </w:rPr>
        <w:t>do not</w:t>
      </w:r>
      <w:r w:rsidR="00791780">
        <w:rPr>
          <w:color w:val="000000"/>
          <w:sz w:val="24"/>
          <w:szCs w:val="24"/>
        </w:rPr>
        <w:t>,</w:t>
      </w:r>
      <w:r w:rsidR="00791780" w:rsidRPr="00794CF4">
        <w:rPr>
          <w:color w:val="000000"/>
          <w:sz w:val="24"/>
          <w:szCs w:val="24"/>
        </w:rPr>
        <w:t xml:space="preserve"> on their own</w:t>
      </w:r>
      <w:r w:rsidR="00791780">
        <w:rPr>
          <w:color w:val="000000"/>
          <w:sz w:val="24"/>
          <w:szCs w:val="24"/>
        </w:rPr>
        <w:t>,</w:t>
      </w:r>
      <w:r w:rsidR="00791780" w:rsidRPr="00794CF4">
        <w:rPr>
          <w:color w:val="000000"/>
          <w:sz w:val="24"/>
          <w:szCs w:val="24"/>
        </w:rPr>
        <w:t xml:space="preserve"> reliably predict active</w:t>
      </w:r>
      <w:r w:rsidR="00791780">
        <w:rPr>
          <w:color w:val="000000"/>
          <w:sz w:val="24"/>
          <w:szCs w:val="24"/>
        </w:rPr>
        <w:t xml:space="preserve"> </w:t>
      </w:r>
      <w:r w:rsidR="00791780" w:rsidRPr="00794CF4">
        <w:rPr>
          <w:color w:val="000000"/>
          <w:sz w:val="24"/>
          <w:szCs w:val="24"/>
        </w:rPr>
        <w:t>travel behavior</w:t>
      </w:r>
      <w:r w:rsidR="00791780">
        <w:rPr>
          <w:color w:val="000000"/>
          <w:sz w:val="24"/>
          <w:szCs w:val="24"/>
        </w:rPr>
        <w:t>. In</w:t>
      </w:r>
      <w:r w:rsidR="00D6494A">
        <w:rPr>
          <w:color w:val="000000"/>
          <w:sz w:val="24"/>
          <w:szCs w:val="24"/>
        </w:rPr>
        <w:t xml:space="preserve"> fact</w:t>
      </w:r>
      <w:r w:rsidR="00791780" w:rsidRPr="00794CF4">
        <w:rPr>
          <w:color w:val="000000"/>
          <w:sz w:val="24"/>
          <w:szCs w:val="24"/>
        </w:rPr>
        <w:t>, perceptions of the same physical environment vary substantially across individuals</w:t>
      </w:r>
      <w:r w:rsidR="00791780">
        <w:rPr>
          <w:color w:val="000000"/>
          <w:sz w:val="24"/>
          <w:szCs w:val="24"/>
        </w:rPr>
        <w:t xml:space="preserve"> (being</w:t>
      </w:r>
      <w:r w:rsidR="00791780" w:rsidRPr="00794CF4">
        <w:rPr>
          <w:color w:val="000000"/>
          <w:sz w:val="24"/>
          <w:szCs w:val="24"/>
        </w:rPr>
        <w:t xml:space="preserve"> shaped by psychological characteristics and by the traveler</w:t>
      </w:r>
      <w:r w:rsidR="000D7001">
        <w:rPr>
          <w:color w:val="000000"/>
          <w:sz w:val="24"/>
          <w:szCs w:val="24"/>
        </w:rPr>
        <w:t>’</w:t>
      </w:r>
      <w:r w:rsidR="00791780" w:rsidRPr="00794CF4">
        <w:rPr>
          <w:color w:val="000000"/>
          <w:sz w:val="24"/>
          <w:szCs w:val="24"/>
        </w:rPr>
        <w:t>s own understanding of travel needs, abilities, and surroundings</w:t>
      </w:r>
      <w:r w:rsidR="00791780">
        <w:rPr>
          <w:color w:val="000000"/>
          <w:sz w:val="24"/>
          <w:szCs w:val="24"/>
        </w:rPr>
        <w:t>)</w:t>
      </w:r>
      <w:r w:rsidR="00791780" w:rsidRPr="00794CF4">
        <w:rPr>
          <w:color w:val="000000"/>
          <w:sz w:val="24"/>
          <w:szCs w:val="24"/>
        </w:rPr>
        <w:t xml:space="preserve">, </w:t>
      </w:r>
      <w:r w:rsidR="00791780">
        <w:rPr>
          <w:color w:val="000000"/>
          <w:sz w:val="24"/>
          <w:szCs w:val="24"/>
        </w:rPr>
        <w:t xml:space="preserve">and these subjective perceptions can influence </w:t>
      </w:r>
      <w:r w:rsidR="00791780" w:rsidRPr="00794CF4">
        <w:rPr>
          <w:color w:val="000000"/>
          <w:sz w:val="24"/>
          <w:szCs w:val="24"/>
        </w:rPr>
        <w:t xml:space="preserve">use of active modes as much as </w:t>
      </w:r>
      <w:r w:rsidR="00791780">
        <w:rPr>
          <w:color w:val="000000"/>
          <w:sz w:val="24"/>
          <w:szCs w:val="24"/>
        </w:rPr>
        <w:t>objective</w:t>
      </w:r>
      <w:r w:rsidR="00791780" w:rsidRPr="00794CF4">
        <w:rPr>
          <w:color w:val="000000"/>
          <w:sz w:val="24"/>
          <w:szCs w:val="24"/>
        </w:rPr>
        <w:t xml:space="preserve"> barriers</w:t>
      </w:r>
      <w:r w:rsidR="00791780">
        <w:rPr>
          <w:color w:val="000000"/>
          <w:sz w:val="24"/>
          <w:szCs w:val="24"/>
        </w:rPr>
        <w:t xml:space="preserve"> </w:t>
      </w:r>
      <w:sdt>
        <w:sdtPr>
          <w:rPr>
            <w:color w:val="000000"/>
            <w:sz w:val="24"/>
            <w:szCs w:val="24"/>
          </w:rPr>
          <w:tag w:val="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"/>
          <w:id w:val="-1411154261"/>
          <w:placeholder>
            <w:docPart w:val="3DEE35AA847B4848BE2F73636126D344"/>
          </w:placeholder>
        </w:sdtPr>
        <w:sdtEndPr/>
        <w:sdtContent>
          <w:r w:rsidR="000C5DDA" w:rsidRPr="000C5DDA">
            <w:rPr>
              <w:color w:val="000000"/>
              <w:sz w:val="24"/>
              <w:szCs w:val="24"/>
            </w:rPr>
            <w:t>(Ma et al., 2014; Lättman et al., 2018; van der Vlugt et al., 2022; De Vos et al., 2023)</w:t>
          </w:r>
        </w:sdtContent>
      </w:sdt>
      <w:r w:rsidR="00791780">
        <w:rPr>
          <w:color w:val="000000"/>
          <w:sz w:val="24"/>
          <w:szCs w:val="24"/>
        </w:rPr>
        <w:t xml:space="preserve">. </w:t>
      </w:r>
      <w:r w:rsidR="00791780" w:rsidRPr="00794CF4">
        <w:rPr>
          <w:color w:val="000000"/>
          <w:sz w:val="24"/>
          <w:szCs w:val="24"/>
        </w:rPr>
        <w:t xml:space="preserve">Despite their importance, subjective factors of this kind have received less attention than </w:t>
      </w:r>
      <w:r w:rsidR="00791780" w:rsidRPr="00794CF4">
        <w:rPr>
          <w:color w:val="000000"/>
          <w:sz w:val="24"/>
          <w:szCs w:val="24"/>
        </w:rPr>
        <w:lastRenderedPageBreak/>
        <w:t>objective built</w:t>
      </w:r>
      <w:r w:rsidR="00556536">
        <w:rPr>
          <w:color w:val="000000"/>
          <w:sz w:val="24"/>
          <w:szCs w:val="24"/>
        </w:rPr>
        <w:t>-</w:t>
      </w:r>
      <w:r w:rsidR="00791780" w:rsidRPr="00794CF4">
        <w:rPr>
          <w:color w:val="000000"/>
          <w:sz w:val="24"/>
          <w:szCs w:val="24"/>
        </w:rPr>
        <w:t>environment</w:t>
      </w:r>
      <w:r w:rsidR="00425383">
        <w:rPr>
          <w:color w:val="000000"/>
          <w:sz w:val="24"/>
          <w:szCs w:val="24"/>
        </w:rPr>
        <w:t xml:space="preserve"> (BE)</w:t>
      </w:r>
      <w:r w:rsidR="00791780" w:rsidRPr="00794CF4">
        <w:rPr>
          <w:color w:val="000000"/>
          <w:sz w:val="24"/>
          <w:szCs w:val="24"/>
        </w:rPr>
        <w:t xml:space="preserve"> measures, particularly in studies that extend beyond walking to cover bicycling and emerging micromobility modes.</w:t>
      </w:r>
    </w:p>
    <w:p w14:paraId="64BE43DB" w14:textId="78C41302" w:rsidR="00A52510" w:rsidRDefault="00322D03" w:rsidP="002D139B">
      <w:pPr>
        <w:pStyle w:val="FootnoteText"/>
        <w:ind w:firstLine="720"/>
        <w:jc w:val="both"/>
        <w:rPr>
          <w:color w:val="000000"/>
          <w:sz w:val="24"/>
          <w:szCs w:val="24"/>
        </w:rPr>
      </w:pPr>
      <w:r w:rsidRPr="00322D03">
        <w:rPr>
          <w:color w:val="000000"/>
          <w:sz w:val="24"/>
          <w:szCs w:val="24"/>
        </w:rPr>
        <w:t>The above discussion motivates the current study. In particular, unlike the relatively vast literature on the effects of objective environment characteristics on active mode use</w:t>
      </w:r>
      <w:r w:rsidR="00FE7461">
        <w:rPr>
          <w:color w:val="000000"/>
          <w:sz w:val="24"/>
          <w:szCs w:val="24"/>
        </w:rPr>
        <w:t xml:space="preserve">, </w:t>
      </w:r>
      <w:r w:rsidR="00E724A9" w:rsidRPr="00E724A9">
        <w:rPr>
          <w:color w:val="000000"/>
          <w:sz w:val="24"/>
          <w:szCs w:val="24"/>
        </w:rPr>
        <w:t xml:space="preserve">the emphasis in our study is on the subjective perceptions and considerations that drive the low use of active modes. In </w:t>
      </w:r>
      <w:r w:rsidR="00AE66E9">
        <w:rPr>
          <w:color w:val="000000"/>
          <w:sz w:val="24"/>
          <w:szCs w:val="24"/>
        </w:rPr>
        <w:t xml:space="preserve">so </w:t>
      </w:r>
      <w:r w:rsidR="00E724A9" w:rsidRPr="00E724A9">
        <w:rPr>
          <w:color w:val="000000"/>
          <w:sz w:val="24"/>
          <w:szCs w:val="24"/>
        </w:rPr>
        <w:t xml:space="preserve">doing, we </w:t>
      </w:r>
      <w:r w:rsidR="00A52510">
        <w:rPr>
          <w:color w:val="000000"/>
          <w:sz w:val="24"/>
          <w:szCs w:val="24"/>
        </w:rPr>
        <w:t>focus on</w:t>
      </w:r>
      <w:r w:rsidR="00E724A9" w:rsidRPr="00E724A9">
        <w:rPr>
          <w:color w:val="000000"/>
          <w:sz w:val="24"/>
          <w:szCs w:val="24"/>
        </w:rPr>
        <w:t xml:space="preserve"> </w:t>
      </w:r>
      <w:r w:rsidR="00C31EA5" w:rsidRPr="00C31EA5">
        <w:rPr>
          <w:color w:val="000000"/>
          <w:sz w:val="24"/>
          <w:szCs w:val="24"/>
        </w:rPr>
        <w:t xml:space="preserve">the perceptions of non-users </w:t>
      </w:r>
      <w:r w:rsidR="00D6494A">
        <w:rPr>
          <w:color w:val="000000"/>
          <w:sz w:val="24"/>
          <w:szCs w:val="24"/>
        </w:rPr>
        <w:t>and rare users</w:t>
      </w:r>
      <w:r w:rsidR="00A52510">
        <w:rPr>
          <w:color w:val="000000"/>
          <w:sz w:val="24"/>
          <w:szCs w:val="24"/>
        </w:rPr>
        <w:t xml:space="preserve"> of active modes</w:t>
      </w:r>
      <w:r w:rsidR="00C31EA5" w:rsidRPr="00C31EA5">
        <w:rPr>
          <w:color w:val="000000"/>
          <w:sz w:val="24"/>
          <w:szCs w:val="24"/>
        </w:rPr>
        <w:t>, rather than on current frequent users</w:t>
      </w:r>
      <w:r w:rsidR="00A52510">
        <w:rPr>
          <w:color w:val="000000"/>
          <w:sz w:val="24"/>
          <w:szCs w:val="24"/>
        </w:rPr>
        <w:t xml:space="preserve"> </w:t>
      </w:r>
      <w:r w:rsidR="0002321C">
        <w:rPr>
          <w:color w:val="000000"/>
          <w:sz w:val="24"/>
          <w:szCs w:val="24"/>
        </w:rPr>
        <w:t>as has been</w:t>
      </w:r>
      <w:r w:rsidR="00AE66E9">
        <w:rPr>
          <w:color w:val="000000"/>
          <w:sz w:val="24"/>
          <w:szCs w:val="24"/>
        </w:rPr>
        <w:t xml:space="preserve"> the case</w:t>
      </w:r>
      <w:r w:rsidR="0002321C">
        <w:rPr>
          <w:color w:val="000000"/>
          <w:sz w:val="24"/>
          <w:szCs w:val="24"/>
        </w:rPr>
        <w:t xml:space="preserve"> </w:t>
      </w:r>
      <w:r w:rsidR="00A52510">
        <w:rPr>
          <w:color w:val="000000"/>
          <w:sz w:val="24"/>
          <w:szCs w:val="24"/>
        </w:rPr>
        <w:t>in most earlier active travel studies</w:t>
      </w:r>
      <w:r w:rsidR="00C31EA5" w:rsidRPr="00C31EA5">
        <w:rPr>
          <w:color w:val="000000"/>
          <w:sz w:val="24"/>
          <w:szCs w:val="24"/>
        </w:rPr>
        <w:t>. Indeed, in many ways, understanding the barriers to “first entry” or the reasons for not going beyond that “one-off” instance is at least as important as understanding the barriers to frequent repeated use</w:t>
      </w:r>
      <w:r w:rsidR="00EA26B1">
        <w:rPr>
          <w:color w:val="000000"/>
          <w:sz w:val="24"/>
          <w:szCs w:val="24"/>
        </w:rPr>
        <w:t>, a point</w:t>
      </w:r>
      <w:r w:rsidR="00BF63FB">
        <w:rPr>
          <w:color w:val="000000"/>
          <w:sz w:val="24"/>
          <w:szCs w:val="24"/>
        </w:rPr>
        <w:t xml:space="preserve"> also emphasized by</w:t>
      </w:r>
      <w:r w:rsidR="00D227BB">
        <w:rPr>
          <w:color w:val="000000"/>
          <w:sz w:val="24"/>
          <w:szCs w:val="24"/>
        </w:rPr>
        <w:t xml:space="preserve"> </w:t>
      </w:r>
      <w:sdt>
        <w:sdtPr>
          <w:rPr>
            <w:color w:val="000000"/>
            <w:sz w:val="24"/>
            <w:szCs w:val="24"/>
          </w:rPr>
          <w:tag w:val="MENDELEY_CITATION_v3_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"/>
          <w:id w:val="-899281981"/>
          <w:placeholder>
            <w:docPart w:val="DefaultPlaceholder_-1854013440"/>
          </w:placeholder>
        </w:sdtPr>
        <w:sdtEndPr/>
        <w:sdtContent>
          <w:r w:rsidR="000C5DDA" w:rsidRPr="000C5DDA">
            <w:rPr>
              <w:color w:val="000000"/>
              <w:sz w:val="24"/>
              <w:szCs w:val="24"/>
            </w:rPr>
            <w:t>Dill and McNeil (2016) and Biehl et al. (2018)</w:t>
          </w:r>
        </w:sdtContent>
      </w:sdt>
      <w:r w:rsidR="009621CA">
        <w:rPr>
          <w:color w:val="000000"/>
          <w:sz w:val="24"/>
          <w:szCs w:val="24"/>
        </w:rPr>
        <w:t>.</w:t>
      </w:r>
      <w:r w:rsidR="00A43F99">
        <w:rPr>
          <w:color w:val="000000"/>
          <w:sz w:val="24"/>
          <w:szCs w:val="24"/>
        </w:rPr>
        <w:t xml:space="preserve"> </w:t>
      </w:r>
      <w:r w:rsidR="00A43F99" w:rsidRPr="00A43F99">
        <w:rPr>
          <w:color w:val="000000"/>
          <w:sz w:val="24"/>
          <w:szCs w:val="24"/>
        </w:rPr>
        <w:t xml:space="preserve">We also include an expansive set of demographic </w:t>
      </w:r>
      <w:r w:rsidR="0013239D">
        <w:rPr>
          <w:color w:val="000000"/>
          <w:sz w:val="24"/>
          <w:szCs w:val="24"/>
        </w:rPr>
        <w:t>variables</w:t>
      </w:r>
      <w:r w:rsidR="0013239D" w:rsidRPr="00A43F99">
        <w:rPr>
          <w:color w:val="000000"/>
          <w:sz w:val="24"/>
          <w:szCs w:val="24"/>
        </w:rPr>
        <w:t xml:space="preserve"> </w:t>
      </w:r>
      <w:r w:rsidR="00A43F99" w:rsidRPr="00A43F99">
        <w:rPr>
          <w:color w:val="000000"/>
          <w:sz w:val="24"/>
          <w:szCs w:val="24"/>
        </w:rPr>
        <w:t>in our analysis to capture variations across demographic groups in their perceptions of active mode use barriers</w:t>
      </w:r>
      <w:r w:rsidR="001E2CFF">
        <w:rPr>
          <w:color w:val="000000"/>
          <w:sz w:val="24"/>
          <w:szCs w:val="24"/>
        </w:rPr>
        <w:t>.</w:t>
      </w:r>
    </w:p>
    <w:p w14:paraId="236BDC81" w14:textId="6FD67C24" w:rsidR="002D139B" w:rsidRDefault="00DC6D0E" w:rsidP="004247F3">
      <w:pPr>
        <w:pStyle w:val="FootnoteText"/>
        <w:ind w:firstLine="720"/>
        <w:jc w:val="both"/>
        <w:rPr>
          <w:color w:val="000000"/>
          <w:sz w:val="24"/>
          <w:szCs w:val="24"/>
        </w:rPr>
      </w:pPr>
      <w:r w:rsidRPr="00DC6D0E">
        <w:rPr>
          <w:color w:val="000000"/>
          <w:sz w:val="24"/>
          <w:szCs w:val="24"/>
        </w:rPr>
        <w:t>The data used in the current analysis are part of the Transportation Heartbeat of America (THA) Survey conducted in February and March 2026 by the Center for Understanding</w:t>
      </w:r>
      <w:r w:rsidR="008E7163">
        <w:rPr>
          <w:color w:val="000000"/>
          <w:sz w:val="24"/>
          <w:szCs w:val="24"/>
        </w:rPr>
        <w:t xml:space="preserve"> Future</w:t>
      </w:r>
      <w:r w:rsidRPr="00DC6D0E">
        <w:rPr>
          <w:color w:val="000000"/>
          <w:sz w:val="24"/>
          <w:szCs w:val="24"/>
        </w:rPr>
        <w:t xml:space="preserve"> Travel Behavior and Demand (TBD)</w:t>
      </w:r>
      <w:r w:rsidR="001911D6">
        <w:rPr>
          <w:color w:val="000000"/>
          <w:sz w:val="24"/>
          <w:szCs w:val="24"/>
        </w:rPr>
        <w:t>, a National University Transportation Center</w:t>
      </w:r>
      <w:r w:rsidRPr="00DC6D0E">
        <w:rPr>
          <w:color w:val="000000"/>
          <w:sz w:val="24"/>
          <w:szCs w:val="24"/>
        </w:rPr>
        <w:t xml:space="preserve">. </w:t>
      </w:r>
      <w:r w:rsidR="00EA0BF9" w:rsidRPr="00EA0BF9">
        <w:rPr>
          <w:color w:val="000000"/>
          <w:sz w:val="24"/>
          <w:szCs w:val="24"/>
        </w:rPr>
        <w:t>Th</w:t>
      </w:r>
      <w:r w:rsidR="005222FB">
        <w:rPr>
          <w:color w:val="000000"/>
          <w:sz w:val="24"/>
          <w:szCs w:val="24"/>
        </w:rPr>
        <w:t>is</w:t>
      </w:r>
      <w:r w:rsidR="00EA0BF9" w:rsidRPr="00EA0BF9">
        <w:rPr>
          <w:color w:val="000000"/>
          <w:sz w:val="24"/>
          <w:szCs w:val="24"/>
        </w:rPr>
        <w:t xml:space="preserve"> comprehensive survey dataset provides detailed individual- and household-level </w:t>
      </w:r>
      <w:r w:rsidR="00A52510">
        <w:rPr>
          <w:color w:val="000000"/>
          <w:sz w:val="24"/>
          <w:szCs w:val="24"/>
        </w:rPr>
        <w:t xml:space="preserve">(IH) </w:t>
      </w:r>
      <w:r w:rsidR="00EA0BF9" w:rsidRPr="00EA0BF9">
        <w:rPr>
          <w:color w:val="000000"/>
          <w:sz w:val="24"/>
          <w:szCs w:val="24"/>
        </w:rPr>
        <w:t xml:space="preserve">characteristics. To these we add </w:t>
      </w:r>
      <w:r w:rsidR="00A52510">
        <w:rPr>
          <w:color w:val="000000"/>
          <w:sz w:val="24"/>
          <w:szCs w:val="24"/>
        </w:rPr>
        <w:t xml:space="preserve">BE </w:t>
      </w:r>
      <w:r w:rsidR="00EA0BF9" w:rsidRPr="00EA0BF9">
        <w:rPr>
          <w:color w:val="000000"/>
          <w:sz w:val="24"/>
          <w:szCs w:val="24"/>
        </w:rPr>
        <w:t xml:space="preserve">attributes, drawn from a secondary data source, that represent several supply-side conditions of the </w:t>
      </w:r>
      <w:r w:rsidR="00A204E8">
        <w:rPr>
          <w:color w:val="000000"/>
          <w:sz w:val="24"/>
          <w:szCs w:val="24"/>
        </w:rPr>
        <w:t>active travel</w:t>
      </w:r>
      <w:r w:rsidR="00EA0BF9" w:rsidRPr="00EA0BF9">
        <w:rPr>
          <w:color w:val="000000"/>
          <w:sz w:val="24"/>
          <w:szCs w:val="24"/>
        </w:rPr>
        <w:t xml:space="preserve"> environment at the individual</w:t>
      </w:r>
      <w:r w:rsidR="000D7001">
        <w:rPr>
          <w:color w:val="000000"/>
          <w:sz w:val="24"/>
          <w:szCs w:val="24"/>
        </w:rPr>
        <w:t>’</w:t>
      </w:r>
      <w:r w:rsidR="00EA0BF9" w:rsidRPr="00EA0BF9">
        <w:rPr>
          <w:color w:val="000000"/>
          <w:sz w:val="24"/>
          <w:szCs w:val="24"/>
        </w:rPr>
        <w:t>s residential location</w:t>
      </w:r>
      <w:r w:rsidRPr="00DC6D0E">
        <w:rPr>
          <w:color w:val="000000"/>
          <w:sz w:val="24"/>
          <w:szCs w:val="24"/>
        </w:rPr>
        <w:t xml:space="preserve">. The </w:t>
      </w:r>
      <w:r w:rsidR="00A52510">
        <w:rPr>
          <w:color w:val="000000"/>
          <w:sz w:val="24"/>
          <w:szCs w:val="24"/>
        </w:rPr>
        <w:t xml:space="preserve">IH characteristics and BE attributes serve </w:t>
      </w:r>
      <w:r w:rsidRPr="00DC6D0E">
        <w:rPr>
          <w:color w:val="000000"/>
          <w:sz w:val="24"/>
          <w:szCs w:val="24"/>
        </w:rPr>
        <w:t>as exogenous variables in the analysis. Further, the</w:t>
      </w:r>
      <w:r w:rsidR="00AB5AE1">
        <w:rPr>
          <w:color w:val="000000"/>
          <w:sz w:val="24"/>
          <w:szCs w:val="24"/>
        </w:rPr>
        <w:t xml:space="preserve"> survey</w:t>
      </w:r>
      <w:r w:rsidRPr="00DC6D0E">
        <w:rPr>
          <w:color w:val="000000"/>
          <w:sz w:val="24"/>
          <w:szCs w:val="24"/>
        </w:rPr>
        <w:t xml:space="preserve"> data identif</w:t>
      </w:r>
      <w:r w:rsidR="003511A8">
        <w:rPr>
          <w:color w:val="000000"/>
          <w:sz w:val="24"/>
          <w:szCs w:val="24"/>
        </w:rPr>
        <w:t>y</w:t>
      </w:r>
      <w:r w:rsidRPr="00DC6D0E">
        <w:rPr>
          <w:color w:val="000000"/>
          <w:sz w:val="24"/>
          <w:szCs w:val="24"/>
        </w:rPr>
        <w:t xml:space="preserve"> those individuals who report </w:t>
      </w:r>
      <w:r w:rsidR="00A52510">
        <w:rPr>
          <w:color w:val="000000"/>
          <w:sz w:val="24"/>
          <w:szCs w:val="24"/>
        </w:rPr>
        <w:t xml:space="preserve">never or </w:t>
      </w:r>
      <w:r w:rsidRPr="00DC6D0E">
        <w:rPr>
          <w:color w:val="000000"/>
          <w:sz w:val="24"/>
          <w:szCs w:val="24"/>
        </w:rPr>
        <w:t>rarely using active travel modes</w:t>
      </w:r>
      <w:r w:rsidR="00A52510">
        <w:rPr>
          <w:color w:val="000000"/>
          <w:sz w:val="24"/>
          <w:szCs w:val="24"/>
        </w:rPr>
        <w:t xml:space="preserve"> (</w:t>
      </w:r>
      <w:r w:rsidR="003948DD">
        <w:rPr>
          <w:color w:val="000000"/>
          <w:sz w:val="24"/>
          <w:szCs w:val="24"/>
        </w:rPr>
        <w:t xml:space="preserve">grouped in the four categories of walking, manual bicycling, e-bike/e-scooter, and other micromobility modes). The “rare” use of active travel modes is </w:t>
      </w:r>
      <w:r w:rsidR="00A52510">
        <w:rPr>
          <w:color w:val="000000"/>
          <w:sz w:val="24"/>
          <w:szCs w:val="24"/>
        </w:rPr>
        <w:t xml:space="preserve">defined as </w:t>
      </w:r>
      <w:r w:rsidR="003948DD">
        <w:rPr>
          <w:color w:val="000000"/>
          <w:sz w:val="24"/>
          <w:szCs w:val="24"/>
        </w:rPr>
        <w:t>a usage frequency of “less than one day per month” for each of the four categories of active travel modes.</w:t>
      </w:r>
      <w:r w:rsidRPr="00DC6D0E">
        <w:rPr>
          <w:color w:val="000000"/>
          <w:sz w:val="24"/>
          <w:szCs w:val="24"/>
        </w:rPr>
        <w:t xml:space="preserve"> </w:t>
      </w:r>
      <w:r w:rsidR="003948DD">
        <w:rPr>
          <w:color w:val="000000"/>
          <w:sz w:val="24"/>
          <w:szCs w:val="24"/>
        </w:rPr>
        <w:t xml:space="preserve">The survey then </w:t>
      </w:r>
      <w:r w:rsidRPr="00DC6D0E">
        <w:rPr>
          <w:color w:val="000000"/>
          <w:sz w:val="24"/>
          <w:szCs w:val="24"/>
        </w:rPr>
        <w:t>solicit</w:t>
      </w:r>
      <w:r w:rsidR="00DD0C63">
        <w:rPr>
          <w:color w:val="000000"/>
          <w:sz w:val="24"/>
          <w:szCs w:val="24"/>
        </w:rPr>
        <w:t xml:space="preserve">s </w:t>
      </w:r>
      <w:r w:rsidRPr="00DC6D0E">
        <w:rPr>
          <w:color w:val="000000"/>
          <w:sz w:val="24"/>
          <w:szCs w:val="24"/>
        </w:rPr>
        <w:t xml:space="preserve">seven reasons </w:t>
      </w:r>
      <w:r w:rsidR="003948DD">
        <w:rPr>
          <w:color w:val="000000"/>
          <w:sz w:val="24"/>
          <w:szCs w:val="24"/>
        </w:rPr>
        <w:t>fr</w:t>
      </w:r>
      <w:r w:rsidR="00F106ED">
        <w:rPr>
          <w:color w:val="000000"/>
          <w:sz w:val="24"/>
          <w:szCs w:val="24"/>
        </w:rPr>
        <w:t>om</w:t>
      </w:r>
      <w:r w:rsidR="003948DD">
        <w:rPr>
          <w:color w:val="000000"/>
          <w:sz w:val="24"/>
          <w:szCs w:val="24"/>
        </w:rPr>
        <w:t xml:space="preserve"> any individual</w:t>
      </w:r>
      <w:r w:rsidR="00F106ED">
        <w:rPr>
          <w:color w:val="000000"/>
          <w:sz w:val="24"/>
          <w:szCs w:val="24"/>
        </w:rPr>
        <w:t xml:space="preserve"> </w:t>
      </w:r>
      <w:r w:rsidR="003948DD">
        <w:rPr>
          <w:color w:val="000000"/>
          <w:sz w:val="24"/>
          <w:szCs w:val="24"/>
        </w:rPr>
        <w:t xml:space="preserve">who </w:t>
      </w:r>
      <w:r w:rsidRPr="00DC6D0E">
        <w:rPr>
          <w:color w:val="000000"/>
          <w:sz w:val="24"/>
          <w:szCs w:val="24"/>
        </w:rPr>
        <w:t xml:space="preserve">never </w:t>
      </w:r>
      <w:r w:rsidR="00A52510">
        <w:rPr>
          <w:color w:val="000000"/>
          <w:sz w:val="24"/>
          <w:szCs w:val="24"/>
        </w:rPr>
        <w:t xml:space="preserve">or rarely </w:t>
      </w:r>
      <w:r w:rsidR="003948DD">
        <w:rPr>
          <w:color w:val="000000"/>
          <w:sz w:val="24"/>
          <w:szCs w:val="24"/>
        </w:rPr>
        <w:t xml:space="preserve">uses </w:t>
      </w:r>
      <w:r w:rsidR="009C6E73">
        <w:rPr>
          <w:color w:val="000000"/>
          <w:sz w:val="24"/>
          <w:szCs w:val="24"/>
        </w:rPr>
        <w:t xml:space="preserve">active </w:t>
      </w:r>
      <w:r w:rsidR="003948DD">
        <w:rPr>
          <w:color w:val="000000"/>
          <w:sz w:val="24"/>
          <w:szCs w:val="24"/>
        </w:rPr>
        <w:t>travel modes</w:t>
      </w:r>
      <w:r w:rsidR="00F106ED">
        <w:rPr>
          <w:color w:val="000000"/>
          <w:sz w:val="24"/>
          <w:szCs w:val="24"/>
        </w:rPr>
        <w:t xml:space="preserve">, as </w:t>
      </w:r>
      <w:r w:rsidR="00E013F7">
        <w:rPr>
          <w:color w:val="000000"/>
          <w:sz w:val="24"/>
          <w:szCs w:val="24"/>
        </w:rPr>
        <w:t xml:space="preserve">classified </w:t>
      </w:r>
      <w:r w:rsidR="00F106ED">
        <w:rPr>
          <w:color w:val="000000"/>
          <w:sz w:val="24"/>
          <w:szCs w:val="24"/>
        </w:rPr>
        <w:t xml:space="preserve">in four </w:t>
      </w:r>
      <w:r w:rsidR="00E013F7">
        <w:rPr>
          <w:color w:val="000000"/>
          <w:sz w:val="24"/>
          <w:szCs w:val="24"/>
        </w:rPr>
        <w:t>groups</w:t>
      </w:r>
      <w:r w:rsidR="003948DD">
        <w:rPr>
          <w:color w:val="000000"/>
          <w:sz w:val="24"/>
          <w:szCs w:val="24"/>
        </w:rPr>
        <w:t>:</w:t>
      </w:r>
      <w:r w:rsidRPr="00DC6D0E">
        <w:rPr>
          <w:color w:val="000000"/>
          <w:sz w:val="24"/>
          <w:szCs w:val="24"/>
        </w:rPr>
        <w:t xml:space="preserve"> </w:t>
      </w:r>
    </w:p>
    <w:p w14:paraId="3604EC77" w14:textId="1F660E19" w:rsidR="00F106ED" w:rsidRPr="002D139B" w:rsidRDefault="00CF5068" w:rsidP="004247F3">
      <w:pPr>
        <w:pStyle w:val="FootnoteText"/>
        <w:spacing w:before="120"/>
        <w:ind w:left="360" w:hanging="360"/>
        <w:jc w:val="both"/>
        <w:rPr>
          <w:color w:val="000000"/>
          <w:sz w:val="24"/>
          <w:szCs w:val="24"/>
          <w:u w:val="single"/>
        </w:rPr>
      </w:pPr>
      <w:r w:rsidRPr="002D139B">
        <w:rPr>
          <w:color w:val="000000"/>
          <w:sz w:val="24"/>
          <w:szCs w:val="24"/>
          <w:u w:val="single"/>
        </w:rPr>
        <w:t>Perceived i</w:t>
      </w:r>
      <w:r w:rsidR="008D4EF5" w:rsidRPr="002D139B">
        <w:rPr>
          <w:color w:val="000000"/>
          <w:sz w:val="24"/>
          <w:szCs w:val="24"/>
          <w:u w:val="single"/>
        </w:rPr>
        <w:t>nfrastructur</w:t>
      </w:r>
      <w:r w:rsidR="00314CBA">
        <w:rPr>
          <w:color w:val="000000"/>
          <w:sz w:val="24"/>
          <w:szCs w:val="24"/>
          <w:u w:val="single"/>
        </w:rPr>
        <w:t>a</w:t>
      </w:r>
      <w:r w:rsidR="003F3987">
        <w:rPr>
          <w:color w:val="000000"/>
          <w:sz w:val="24"/>
          <w:szCs w:val="24"/>
          <w:u w:val="single"/>
        </w:rPr>
        <w:t>l</w:t>
      </w:r>
      <w:r w:rsidR="008D4EF5" w:rsidRPr="002D139B">
        <w:rPr>
          <w:color w:val="000000"/>
          <w:sz w:val="24"/>
          <w:szCs w:val="24"/>
          <w:u w:val="single"/>
        </w:rPr>
        <w:t xml:space="preserve"> deficiencies in active travel networks</w:t>
      </w:r>
    </w:p>
    <w:p w14:paraId="644BACC0" w14:textId="3CEB4D1B" w:rsidR="00F106ED" w:rsidRPr="002D139B" w:rsidRDefault="00F106ED" w:rsidP="002D139B">
      <w:pPr>
        <w:pStyle w:val="FootnoteText"/>
        <w:ind w:left="720" w:hanging="360"/>
        <w:jc w:val="both"/>
        <w:rPr>
          <w:color w:val="000000"/>
          <w:sz w:val="24"/>
          <w:szCs w:val="24"/>
        </w:rPr>
      </w:pPr>
      <w:r w:rsidRPr="002D139B">
        <w:rPr>
          <w:color w:val="000000"/>
          <w:sz w:val="24"/>
          <w:szCs w:val="24"/>
        </w:rPr>
        <w:t xml:space="preserve">(1) </w:t>
      </w:r>
      <w:r w:rsidR="008D4EF5" w:rsidRPr="002D139B">
        <w:rPr>
          <w:color w:val="000000"/>
          <w:sz w:val="24"/>
          <w:szCs w:val="24"/>
        </w:rPr>
        <w:t>a lack of sidewalks or b</w:t>
      </w:r>
      <w:r w:rsidR="00CC1A3D">
        <w:rPr>
          <w:color w:val="000000"/>
          <w:sz w:val="24"/>
          <w:szCs w:val="24"/>
        </w:rPr>
        <w:t>icycle</w:t>
      </w:r>
      <w:r w:rsidR="008D4EF5" w:rsidRPr="002D139B">
        <w:rPr>
          <w:color w:val="000000"/>
          <w:sz w:val="24"/>
          <w:szCs w:val="24"/>
        </w:rPr>
        <w:t xml:space="preserve"> lanes, and </w:t>
      </w:r>
    </w:p>
    <w:p w14:paraId="7AD6528E" w14:textId="22990B1A" w:rsidR="008D4EF5" w:rsidRPr="002D139B" w:rsidRDefault="00F106ED" w:rsidP="002D139B">
      <w:pPr>
        <w:pStyle w:val="FootnoteText"/>
        <w:ind w:left="720" w:hanging="360"/>
        <w:jc w:val="both"/>
        <w:rPr>
          <w:color w:val="000000"/>
          <w:sz w:val="24"/>
          <w:szCs w:val="24"/>
        </w:rPr>
      </w:pPr>
      <w:r w:rsidRPr="002D139B">
        <w:rPr>
          <w:color w:val="000000"/>
          <w:sz w:val="24"/>
          <w:szCs w:val="24"/>
        </w:rPr>
        <w:t xml:space="preserve">(2) </w:t>
      </w:r>
      <w:r w:rsidR="008D4EF5" w:rsidRPr="002D139B">
        <w:rPr>
          <w:color w:val="000000"/>
          <w:sz w:val="24"/>
          <w:szCs w:val="24"/>
        </w:rPr>
        <w:t>insufficient lighting;</w:t>
      </w:r>
    </w:p>
    <w:p w14:paraId="32552AF4" w14:textId="117916B2" w:rsidR="00F106ED" w:rsidRPr="002D139B" w:rsidRDefault="00DE50A1" w:rsidP="004247F3">
      <w:pPr>
        <w:pStyle w:val="FootnoteText"/>
        <w:spacing w:before="120"/>
        <w:ind w:left="360" w:hanging="360"/>
        <w:jc w:val="both"/>
        <w:rPr>
          <w:color w:val="000000"/>
          <w:sz w:val="24"/>
          <w:szCs w:val="24"/>
          <w:u w:val="single"/>
        </w:rPr>
      </w:pPr>
      <w:r>
        <w:rPr>
          <w:color w:val="000000"/>
          <w:sz w:val="24"/>
          <w:szCs w:val="24"/>
          <w:u w:val="single"/>
        </w:rPr>
        <w:t>Perceived t</w:t>
      </w:r>
      <w:r w:rsidR="008D4EF5" w:rsidRPr="002D139B">
        <w:rPr>
          <w:color w:val="000000"/>
          <w:sz w:val="24"/>
          <w:szCs w:val="24"/>
          <w:u w:val="single"/>
        </w:rPr>
        <w:t>raffic-safety concerns</w:t>
      </w:r>
    </w:p>
    <w:p w14:paraId="08C9493C" w14:textId="3A394FC6" w:rsidR="00F106ED" w:rsidRPr="002D139B" w:rsidRDefault="00F106ED" w:rsidP="002D139B">
      <w:pPr>
        <w:pStyle w:val="FootnoteText"/>
        <w:ind w:left="360"/>
        <w:jc w:val="both"/>
        <w:rPr>
          <w:color w:val="000000"/>
          <w:sz w:val="24"/>
          <w:szCs w:val="24"/>
        </w:rPr>
      </w:pPr>
      <w:r w:rsidRPr="002D139B">
        <w:rPr>
          <w:color w:val="000000"/>
          <w:sz w:val="24"/>
          <w:szCs w:val="24"/>
        </w:rPr>
        <w:t xml:space="preserve">(3) </w:t>
      </w:r>
      <w:r w:rsidR="008D4EF5" w:rsidRPr="002D139B">
        <w:rPr>
          <w:color w:val="000000"/>
          <w:sz w:val="24"/>
          <w:szCs w:val="24"/>
        </w:rPr>
        <w:t>drivers behaving aggressively</w:t>
      </w:r>
      <w:r w:rsidR="009C64EF">
        <w:rPr>
          <w:color w:val="000000"/>
          <w:sz w:val="24"/>
          <w:szCs w:val="24"/>
        </w:rPr>
        <w:t>, and</w:t>
      </w:r>
    </w:p>
    <w:p w14:paraId="0B2A177D" w14:textId="5C94F639" w:rsidR="008D4EF5" w:rsidRPr="002D139B" w:rsidRDefault="00F106ED" w:rsidP="002D139B">
      <w:pPr>
        <w:pStyle w:val="FootnoteText"/>
        <w:ind w:left="360"/>
        <w:jc w:val="both"/>
        <w:rPr>
          <w:color w:val="000000"/>
          <w:sz w:val="24"/>
          <w:szCs w:val="24"/>
        </w:rPr>
      </w:pPr>
      <w:r w:rsidRPr="002D139B">
        <w:rPr>
          <w:color w:val="000000"/>
          <w:sz w:val="24"/>
          <w:szCs w:val="24"/>
        </w:rPr>
        <w:t xml:space="preserve">(4) </w:t>
      </w:r>
      <w:r w:rsidR="008D4EF5" w:rsidRPr="002D139B">
        <w:rPr>
          <w:color w:val="000000"/>
          <w:sz w:val="24"/>
          <w:szCs w:val="24"/>
        </w:rPr>
        <w:t>distracted drivers;</w:t>
      </w:r>
    </w:p>
    <w:p w14:paraId="3ABC4657" w14:textId="0CF08ECC" w:rsidR="00F106ED" w:rsidRPr="002D139B" w:rsidRDefault="00DE50A1" w:rsidP="004247F3">
      <w:pPr>
        <w:pStyle w:val="FootnoteText"/>
        <w:spacing w:before="120"/>
        <w:ind w:left="360" w:hanging="360"/>
        <w:jc w:val="both"/>
        <w:rPr>
          <w:color w:val="000000"/>
          <w:sz w:val="24"/>
          <w:szCs w:val="24"/>
          <w:u w:val="single"/>
        </w:rPr>
      </w:pPr>
      <w:r>
        <w:rPr>
          <w:color w:val="000000"/>
          <w:sz w:val="24"/>
          <w:szCs w:val="24"/>
          <w:u w:val="single"/>
        </w:rPr>
        <w:t>Perceived p</w:t>
      </w:r>
      <w:r w:rsidR="008D4EF5" w:rsidRPr="002D139B">
        <w:rPr>
          <w:color w:val="000000"/>
          <w:sz w:val="24"/>
          <w:szCs w:val="24"/>
          <w:u w:val="single"/>
        </w:rPr>
        <w:t xml:space="preserve">ersonal-security concerns </w:t>
      </w:r>
    </w:p>
    <w:p w14:paraId="68D3BA4C" w14:textId="7E0FAF12" w:rsidR="008D4EF5" w:rsidRPr="002D139B" w:rsidRDefault="00F106ED" w:rsidP="002D139B">
      <w:pPr>
        <w:pStyle w:val="FootnoteText"/>
        <w:ind w:left="360"/>
        <w:jc w:val="both"/>
        <w:rPr>
          <w:color w:val="000000"/>
          <w:sz w:val="24"/>
          <w:szCs w:val="24"/>
        </w:rPr>
      </w:pPr>
      <w:r w:rsidRPr="002D139B">
        <w:rPr>
          <w:color w:val="000000"/>
          <w:sz w:val="24"/>
          <w:szCs w:val="24"/>
        </w:rPr>
        <w:t xml:space="preserve">(5) </w:t>
      </w:r>
      <w:r w:rsidR="008D4EF5" w:rsidRPr="002D139B">
        <w:rPr>
          <w:color w:val="000000"/>
          <w:sz w:val="24"/>
          <w:szCs w:val="24"/>
        </w:rPr>
        <w:t>loitering or threatening behavior from others; and</w:t>
      </w:r>
    </w:p>
    <w:p w14:paraId="6FD6FC85" w14:textId="2566F535" w:rsidR="00F106ED" w:rsidRPr="002D139B" w:rsidRDefault="00F106ED" w:rsidP="004247F3">
      <w:pPr>
        <w:pStyle w:val="FootnoteText"/>
        <w:spacing w:before="120"/>
        <w:ind w:left="360" w:hanging="360"/>
        <w:jc w:val="both"/>
        <w:rPr>
          <w:color w:val="000000"/>
          <w:sz w:val="24"/>
          <w:szCs w:val="24"/>
          <w:u w:val="single"/>
        </w:rPr>
      </w:pPr>
      <w:r w:rsidRPr="002D139B">
        <w:rPr>
          <w:color w:val="000000"/>
          <w:sz w:val="24"/>
          <w:szCs w:val="24"/>
          <w:u w:val="single"/>
        </w:rPr>
        <w:t>P</w:t>
      </w:r>
      <w:r w:rsidR="008D4EF5" w:rsidRPr="002D139B">
        <w:rPr>
          <w:color w:val="000000"/>
          <w:sz w:val="24"/>
          <w:szCs w:val="24"/>
          <w:u w:val="single"/>
        </w:rPr>
        <w:t>ractical and situational constraint</w:t>
      </w:r>
      <w:r w:rsidRPr="002D139B">
        <w:rPr>
          <w:color w:val="000000"/>
          <w:sz w:val="24"/>
          <w:szCs w:val="24"/>
          <w:u w:val="single"/>
        </w:rPr>
        <w:t>s</w:t>
      </w:r>
    </w:p>
    <w:p w14:paraId="3973D966" w14:textId="6A949D9B" w:rsidR="00F106ED" w:rsidRPr="002D139B" w:rsidRDefault="00F106ED" w:rsidP="002D139B">
      <w:pPr>
        <w:pStyle w:val="FootnoteText"/>
        <w:ind w:left="720" w:hanging="360"/>
        <w:jc w:val="both"/>
        <w:rPr>
          <w:color w:val="000000"/>
          <w:sz w:val="24"/>
          <w:szCs w:val="24"/>
        </w:rPr>
      </w:pPr>
      <w:r w:rsidRPr="002D139B">
        <w:rPr>
          <w:color w:val="000000"/>
          <w:sz w:val="24"/>
          <w:szCs w:val="24"/>
        </w:rPr>
        <w:t xml:space="preserve">(6) </w:t>
      </w:r>
      <w:r w:rsidR="008D4EF5" w:rsidRPr="002D139B">
        <w:rPr>
          <w:color w:val="000000"/>
          <w:sz w:val="24"/>
          <w:szCs w:val="24"/>
        </w:rPr>
        <w:t>adverse weather conditions</w:t>
      </w:r>
      <w:r w:rsidRPr="002D139B">
        <w:rPr>
          <w:color w:val="000000"/>
          <w:sz w:val="24"/>
          <w:szCs w:val="24"/>
        </w:rPr>
        <w:t xml:space="preserve">, and </w:t>
      </w:r>
    </w:p>
    <w:p w14:paraId="631DD84D" w14:textId="12655855" w:rsidR="00446F76" w:rsidRDefault="00F106ED" w:rsidP="004247F3">
      <w:pPr>
        <w:pStyle w:val="FootnoteText"/>
        <w:spacing w:after="120"/>
        <w:ind w:left="720" w:hanging="360"/>
        <w:jc w:val="both"/>
        <w:rPr>
          <w:color w:val="000000"/>
          <w:sz w:val="24"/>
          <w:szCs w:val="24"/>
        </w:rPr>
      </w:pPr>
      <w:r w:rsidRPr="002D139B">
        <w:rPr>
          <w:color w:val="000000"/>
          <w:sz w:val="24"/>
          <w:szCs w:val="24"/>
        </w:rPr>
        <w:t xml:space="preserve">(7) </w:t>
      </w:r>
      <w:r w:rsidR="008D4EF5" w:rsidRPr="002D139B">
        <w:rPr>
          <w:color w:val="000000"/>
          <w:sz w:val="24"/>
          <w:szCs w:val="24"/>
        </w:rPr>
        <w:t>the perception that these modes are inappropriate for the trip lengths needed to reach destinations.</w:t>
      </w:r>
    </w:p>
    <w:p w14:paraId="7393FC04" w14:textId="139F0930" w:rsidR="00AE66E9" w:rsidRDefault="00AE66E9" w:rsidP="004247F3">
      <w:pPr>
        <w:pStyle w:val="FootnoteText"/>
        <w:jc w:val="both"/>
        <w:rPr>
          <w:color w:val="000000"/>
          <w:sz w:val="24"/>
          <w:szCs w:val="24"/>
        </w:rPr>
      </w:pPr>
      <w:r>
        <w:rPr>
          <w:color w:val="000000"/>
          <w:sz w:val="24"/>
          <w:szCs w:val="24"/>
        </w:rPr>
        <w:t>The above grouping</w:t>
      </w:r>
      <w:r w:rsidR="00E013F7" w:rsidRPr="00A922F2">
        <w:rPr>
          <w:color w:val="000000"/>
          <w:sz w:val="24"/>
          <w:szCs w:val="24"/>
        </w:rPr>
        <w:t xml:space="preserve"> </w:t>
      </w:r>
      <w:r>
        <w:rPr>
          <w:color w:val="000000"/>
          <w:sz w:val="24"/>
          <w:szCs w:val="24"/>
        </w:rPr>
        <w:t>of the seven barriers into four categories facilitates the presentation of the literature review in the next section</w:t>
      </w:r>
      <w:r w:rsidR="00E90585">
        <w:rPr>
          <w:color w:val="000000"/>
          <w:sz w:val="24"/>
          <w:szCs w:val="24"/>
        </w:rPr>
        <w:t xml:space="preserve"> as well as the discussion of policy implications in Section 5</w:t>
      </w:r>
      <w:r>
        <w:rPr>
          <w:color w:val="000000"/>
          <w:sz w:val="24"/>
          <w:szCs w:val="24"/>
        </w:rPr>
        <w:t xml:space="preserve">. Of course, there is </w:t>
      </w:r>
      <w:r w:rsidR="00A922F2" w:rsidRPr="00A922F2">
        <w:rPr>
          <w:color w:val="000000"/>
          <w:sz w:val="24"/>
          <w:szCs w:val="24"/>
        </w:rPr>
        <w:t xml:space="preserve">a </w:t>
      </w:r>
      <w:r w:rsidR="003948DD">
        <w:rPr>
          <w:color w:val="000000"/>
          <w:sz w:val="24"/>
          <w:szCs w:val="24"/>
        </w:rPr>
        <w:t xml:space="preserve">certain </w:t>
      </w:r>
      <w:r w:rsidR="00A922F2" w:rsidRPr="00A922F2">
        <w:rPr>
          <w:color w:val="000000"/>
          <w:sz w:val="24"/>
          <w:szCs w:val="24"/>
        </w:rPr>
        <w:t>degree of subjectivity</w:t>
      </w:r>
      <w:r>
        <w:rPr>
          <w:color w:val="000000"/>
          <w:sz w:val="24"/>
          <w:szCs w:val="24"/>
        </w:rPr>
        <w:t xml:space="preserve"> in the grouping</w:t>
      </w:r>
      <w:r w:rsidR="00A922F2" w:rsidRPr="00A922F2">
        <w:rPr>
          <w:color w:val="000000"/>
          <w:sz w:val="24"/>
          <w:szCs w:val="24"/>
        </w:rPr>
        <w:t xml:space="preserve">, since several barriers could reasonably fall into more than one category. </w:t>
      </w:r>
      <w:r w:rsidR="003948DD">
        <w:rPr>
          <w:color w:val="000000"/>
          <w:sz w:val="24"/>
          <w:szCs w:val="24"/>
        </w:rPr>
        <w:t>For instance, a</w:t>
      </w:r>
      <w:r w:rsidR="00A922F2" w:rsidRPr="00A922F2">
        <w:rPr>
          <w:color w:val="000000"/>
          <w:sz w:val="24"/>
          <w:szCs w:val="24"/>
        </w:rPr>
        <w:t xml:space="preserve"> lack of sidewalks or bi</w:t>
      </w:r>
      <w:r w:rsidR="00CC1A3D">
        <w:rPr>
          <w:color w:val="000000"/>
          <w:sz w:val="24"/>
          <w:szCs w:val="24"/>
        </w:rPr>
        <w:t>cycle</w:t>
      </w:r>
      <w:r w:rsidR="00A922F2" w:rsidRPr="00A922F2">
        <w:rPr>
          <w:color w:val="000000"/>
          <w:sz w:val="24"/>
          <w:szCs w:val="24"/>
        </w:rPr>
        <w:t xml:space="preserve"> lanes could be viewed as a traffic-safety concern, and insufficient lighting as a personal-security concern. We retain both under infrastructural deficiencies because they describe specific physical c</w:t>
      </w:r>
      <w:r w:rsidR="00DA1B10">
        <w:rPr>
          <w:color w:val="000000"/>
          <w:sz w:val="24"/>
          <w:szCs w:val="24"/>
        </w:rPr>
        <w:t>haracteristics</w:t>
      </w:r>
      <w:r w:rsidR="00A922F2" w:rsidRPr="00A922F2">
        <w:rPr>
          <w:color w:val="000000"/>
          <w:sz w:val="24"/>
          <w:szCs w:val="24"/>
        </w:rPr>
        <w:t xml:space="preserve"> of the pedestrian and bicycling environment, wh</w:t>
      </w:r>
      <w:r w:rsidR="00DA1B10">
        <w:rPr>
          <w:color w:val="000000"/>
          <w:sz w:val="24"/>
          <w:szCs w:val="24"/>
        </w:rPr>
        <w:t>ile</w:t>
      </w:r>
      <w:r w:rsidR="00A922F2" w:rsidRPr="00A922F2">
        <w:rPr>
          <w:color w:val="000000"/>
          <w:sz w:val="24"/>
          <w:szCs w:val="24"/>
        </w:rPr>
        <w:t xml:space="preserve"> the barriers grouped under </w:t>
      </w:r>
      <w:r w:rsidR="00A922F2" w:rsidRPr="00A922F2">
        <w:rPr>
          <w:color w:val="000000"/>
          <w:sz w:val="24"/>
          <w:szCs w:val="24"/>
        </w:rPr>
        <w:lastRenderedPageBreak/>
        <w:t>traffic-safety and personal-security concern</w:t>
      </w:r>
      <w:r w:rsidR="00DA1B10">
        <w:rPr>
          <w:color w:val="000000"/>
          <w:sz w:val="24"/>
          <w:szCs w:val="24"/>
        </w:rPr>
        <w:t>s</w:t>
      </w:r>
      <w:r w:rsidR="00A922F2" w:rsidRPr="00A922F2">
        <w:rPr>
          <w:color w:val="000000"/>
          <w:sz w:val="24"/>
          <w:szCs w:val="24"/>
        </w:rPr>
        <w:t xml:space="preserve"> </w:t>
      </w:r>
      <w:r w:rsidR="00DA1B10">
        <w:rPr>
          <w:color w:val="000000"/>
          <w:sz w:val="24"/>
          <w:szCs w:val="24"/>
        </w:rPr>
        <w:t xml:space="preserve">relate to </w:t>
      </w:r>
      <w:r w:rsidR="00A922F2" w:rsidRPr="00A922F2">
        <w:rPr>
          <w:color w:val="000000"/>
          <w:sz w:val="24"/>
          <w:szCs w:val="24"/>
        </w:rPr>
        <w:t>the behavior of drivers and of other people rather than fixed infrastructure.</w:t>
      </w:r>
      <w:r w:rsidR="00A922F2">
        <w:rPr>
          <w:color w:val="000000"/>
          <w:sz w:val="24"/>
          <w:szCs w:val="24"/>
        </w:rPr>
        <w:t xml:space="preserve"> </w:t>
      </w:r>
    </w:p>
    <w:p w14:paraId="5D7910C4" w14:textId="31A51953" w:rsidR="00AD30D1" w:rsidRDefault="00AE66E9" w:rsidP="004247F3">
      <w:pPr>
        <w:pStyle w:val="FootnoteText"/>
        <w:ind w:firstLine="720"/>
        <w:jc w:val="both"/>
        <w:rPr>
          <w:color w:val="000000"/>
          <w:sz w:val="24"/>
          <w:szCs w:val="24"/>
        </w:rPr>
      </w:pPr>
      <w:r>
        <w:rPr>
          <w:color w:val="000000"/>
          <w:sz w:val="24"/>
          <w:szCs w:val="24"/>
        </w:rPr>
        <w:t xml:space="preserve">We </w:t>
      </w:r>
      <w:r w:rsidR="0071653C" w:rsidRPr="0071653C">
        <w:rPr>
          <w:color w:val="000000"/>
          <w:sz w:val="24"/>
          <w:szCs w:val="24"/>
        </w:rPr>
        <w:t xml:space="preserve">employ a multivariate binary probit framework that jointly </w:t>
      </w:r>
      <w:r w:rsidR="00DA1B10">
        <w:rPr>
          <w:color w:val="000000"/>
          <w:sz w:val="24"/>
          <w:szCs w:val="24"/>
        </w:rPr>
        <w:t>models</w:t>
      </w:r>
      <w:r w:rsidR="00BE7262">
        <w:rPr>
          <w:color w:val="000000"/>
          <w:sz w:val="24"/>
          <w:szCs w:val="24"/>
        </w:rPr>
        <w:t xml:space="preserve"> whether</w:t>
      </w:r>
      <w:r w:rsidR="0071653C" w:rsidRPr="0071653C">
        <w:rPr>
          <w:color w:val="000000"/>
          <w:sz w:val="24"/>
          <w:szCs w:val="24"/>
        </w:rPr>
        <w:t xml:space="preserve"> respondents </w:t>
      </w:r>
      <w:r w:rsidR="00DA1B10">
        <w:rPr>
          <w:color w:val="000000"/>
          <w:sz w:val="24"/>
          <w:szCs w:val="24"/>
        </w:rPr>
        <w:t xml:space="preserve">never or </w:t>
      </w:r>
      <w:r w:rsidR="0071653C" w:rsidRPr="0071653C">
        <w:rPr>
          <w:color w:val="000000"/>
          <w:sz w:val="24"/>
          <w:szCs w:val="24"/>
        </w:rPr>
        <w:t>rarely use active</w:t>
      </w:r>
      <w:r w:rsidR="0071653C">
        <w:rPr>
          <w:color w:val="000000"/>
          <w:sz w:val="24"/>
          <w:szCs w:val="24"/>
        </w:rPr>
        <w:t xml:space="preserve"> </w:t>
      </w:r>
      <w:r w:rsidR="00DA1B10">
        <w:rPr>
          <w:color w:val="000000"/>
          <w:sz w:val="24"/>
          <w:szCs w:val="24"/>
        </w:rPr>
        <w:t xml:space="preserve">travel </w:t>
      </w:r>
      <w:r w:rsidR="002D5A86">
        <w:rPr>
          <w:color w:val="000000"/>
          <w:sz w:val="24"/>
          <w:szCs w:val="24"/>
        </w:rPr>
        <w:t xml:space="preserve">modes </w:t>
      </w:r>
      <w:r w:rsidR="00DA1B10">
        <w:rPr>
          <w:color w:val="000000"/>
          <w:sz w:val="24"/>
          <w:szCs w:val="24"/>
        </w:rPr>
        <w:t>(</w:t>
      </w:r>
      <w:r w:rsidR="00D41B24">
        <w:rPr>
          <w:color w:val="000000"/>
          <w:sz w:val="24"/>
          <w:szCs w:val="24"/>
        </w:rPr>
        <w:t xml:space="preserve">who are labeled as </w:t>
      </w:r>
      <w:r w:rsidR="00DA1B10">
        <w:rPr>
          <w:color w:val="000000"/>
          <w:sz w:val="24"/>
          <w:szCs w:val="24"/>
        </w:rPr>
        <w:t>Never</w:t>
      </w:r>
      <w:r w:rsidR="006C65C1">
        <w:rPr>
          <w:color w:val="000000"/>
          <w:sz w:val="24"/>
          <w:szCs w:val="24"/>
        </w:rPr>
        <w:t xml:space="preserve"> or </w:t>
      </w:r>
      <w:r w:rsidR="00DA1B10">
        <w:rPr>
          <w:color w:val="000000"/>
          <w:sz w:val="24"/>
          <w:szCs w:val="24"/>
        </w:rPr>
        <w:t>Rare Active Travelers, or</w:t>
      </w:r>
      <w:r w:rsidR="00F840DD">
        <w:rPr>
          <w:color w:val="000000"/>
          <w:sz w:val="24"/>
          <w:szCs w:val="24"/>
        </w:rPr>
        <w:t>,</w:t>
      </w:r>
      <w:r w:rsidR="00DA1B10">
        <w:rPr>
          <w:color w:val="000000"/>
          <w:sz w:val="24"/>
          <w:szCs w:val="24"/>
        </w:rPr>
        <w:t xml:space="preserve"> for conciseness, NRATs) </w:t>
      </w:r>
      <w:r w:rsidR="0058728D" w:rsidRPr="008F1446">
        <w:rPr>
          <w:color w:val="000000"/>
          <w:sz w:val="24"/>
          <w:szCs w:val="24"/>
        </w:rPr>
        <w:t xml:space="preserve">alongside </w:t>
      </w:r>
      <w:r w:rsidR="00DA1B10">
        <w:rPr>
          <w:color w:val="000000"/>
          <w:sz w:val="24"/>
          <w:szCs w:val="24"/>
        </w:rPr>
        <w:t xml:space="preserve">the </w:t>
      </w:r>
      <w:r>
        <w:rPr>
          <w:color w:val="000000"/>
          <w:sz w:val="24"/>
          <w:szCs w:val="24"/>
        </w:rPr>
        <w:t xml:space="preserve">aforementioned </w:t>
      </w:r>
      <w:r w:rsidR="0058728D" w:rsidRPr="008F1446">
        <w:rPr>
          <w:color w:val="000000"/>
          <w:sz w:val="24"/>
          <w:szCs w:val="24"/>
        </w:rPr>
        <w:t xml:space="preserve">seven binary outcomes representing the specific barriers that </w:t>
      </w:r>
      <w:r w:rsidR="00DA1B10">
        <w:rPr>
          <w:color w:val="000000"/>
          <w:sz w:val="24"/>
          <w:szCs w:val="24"/>
        </w:rPr>
        <w:t>NRATs</w:t>
      </w:r>
      <w:r w:rsidR="0058728D" w:rsidRPr="008F1446">
        <w:rPr>
          <w:color w:val="000000"/>
          <w:sz w:val="24"/>
          <w:szCs w:val="24"/>
        </w:rPr>
        <w:t xml:space="preserve"> identify</w:t>
      </w:r>
      <w:r w:rsidR="00453EB9">
        <w:rPr>
          <w:color w:val="000000"/>
          <w:sz w:val="24"/>
          <w:szCs w:val="24"/>
        </w:rPr>
        <w:t xml:space="preserve"> (</w:t>
      </w:r>
      <w:r w:rsidR="00453EB9" w:rsidRPr="00453EB9">
        <w:rPr>
          <w:color w:val="000000"/>
          <w:sz w:val="24"/>
          <w:szCs w:val="24"/>
        </w:rPr>
        <w:t>for a total of eight binary endogenous outcomes).</w:t>
      </w:r>
      <w:r w:rsidR="00453EB9">
        <w:rPr>
          <w:color w:val="000000"/>
          <w:sz w:val="24"/>
          <w:szCs w:val="24"/>
        </w:rPr>
        <w:t xml:space="preserve"> </w:t>
      </w:r>
      <w:r w:rsidR="00C14629" w:rsidRPr="00C14629">
        <w:rPr>
          <w:color w:val="000000"/>
          <w:sz w:val="24"/>
          <w:szCs w:val="24"/>
        </w:rPr>
        <w:t>Focusing on</w:t>
      </w:r>
      <w:r w:rsidR="00DA1B10">
        <w:rPr>
          <w:color w:val="000000"/>
          <w:sz w:val="24"/>
          <w:szCs w:val="24"/>
        </w:rPr>
        <w:t xml:space="preserve"> NRATs </w:t>
      </w:r>
      <w:r w:rsidR="00C14629" w:rsidRPr="00C14629">
        <w:rPr>
          <w:color w:val="000000"/>
          <w:sz w:val="24"/>
          <w:szCs w:val="24"/>
        </w:rPr>
        <w:t>is critical because they represent the segment of the population whose adoptio</w:t>
      </w:r>
      <w:r w:rsidR="005377B7">
        <w:rPr>
          <w:color w:val="000000"/>
          <w:sz w:val="24"/>
          <w:szCs w:val="24"/>
        </w:rPr>
        <w:t>n</w:t>
      </w:r>
      <w:r w:rsidR="00E34475">
        <w:rPr>
          <w:color w:val="000000"/>
          <w:sz w:val="24"/>
          <w:szCs w:val="24"/>
        </w:rPr>
        <w:t>,</w:t>
      </w:r>
      <w:r w:rsidR="005377B7">
        <w:rPr>
          <w:color w:val="000000"/>
          <w:sz w:val="24"/>
          <w:szCs w:val="24"/>
        </w:rPr>
        <w:t xml:space="preserve"> or more than that </w:t>
      </w:r>
      <w:r w:rsidR="008D10AC">
        <w:rPr>
          <w:color w:val="000000"/>
          <w:sz w:val="24"/>
          <w:szCs w:val="24"/>
        </w:rPr>
        <w:t>“</w:t>
      </w:r>
      <w:r w:rsidR="005377B7">
        <w:rPr>
          <w:color w:val="000000"/>
          <w:sz w:val="24"/>
          <w:szCs w:val="24"/>
        </w:rPr>
        <w:t>one-off</w:t>
      </w:r>
      <w:r w:rsidR="008D10AC">
        <w:rPr>
          <w:color w:val="000000"/>
          <w:sz w:val="24"/>
          <w:szCs w:val="24"/>
        </w:rPr>
        <w:t>”</w:t>
      </w:r>
      <w:r w:rsidR="005377B7">
        <w:rPr>
          <w:color w:val="000000"/>
          <w:sz w:val="24"/>
          <w:szCs w:val="24"/>
        </w:rPr>
        <w:t xml:space="preserve"> use</w:t>
      </w:r>
      <w:r w:rsidR="00C14629" w:rsidRPr="00C14629">
        <w:rPr>
          <w:color w:val="000000"/>
          <w:sz w:val="24"/>
          <w:szCs w:val="24"/>
        </w:rPr>
        <w:t xml:space="preserve"> of active modes</w:t>
      </w:r>
      <w:r w:rsidR="00CF4F7B">
        <w:rPr>
          <w:color w:val="000000"/>
          <w:sz w:val="24"/>
          <w:szCs w:val="24"/>
        </w:rPr>
        <w:t>,</w:t>
      </w:r>
      <w:r w:rsidR="00C14629" w:rsidRPr="00C14629">
        <w:rPr>
          <w:color w:val="000000"/>
          <w:sz w:val="24"/>
          <w:szCs w:val="24"/>
        </w:rPr>
        <w:t xml:space="preserve"> remains contingent on overcoming </w:t>
      </w:r>
      <w:r w:rsidR="005377B7">
        <w:rPr>
          <w:color w:val="000000"/>
          <w:sz w:val="24"/>
          <w:szCs w:val="24"/>
        </w:rPr>
        <w:t xml:space="preserve">their </w:t>
      </w:r>
      <w:r w:rsidR="0086040A">
        <w:rPr>
          <w:color w:val="000000"/>
          <w:sz w:val="24"/>
          <w:szCs w:val="24"/>
        </w:rPr>
        <w:t>specific</w:t>
      </w:r>
      <w:r w:rsidR="00A3768F">
        <w:rPr>
          <w:color w:val="000000"/>
          <w:sz w:val="24"/>
          <w:szCs w:val="24"/>
        </w:rPr>
        <w:t xml:space="preserve"> </w:t>
      </w:r>
      <w:r w:rsidR="005377B7">
        <w:rPr>
          <w:color w:val="000000"/>
          <w:sz w:val="24"/>
          <w:szCs w:val="24"/>
        </w:rPr>
        <w:t xml:space="preserve">perceived </w:t>
      </w:r>
      <w:r w:rsidR="00C14629" w:rsidRPr="00C14629">
        <w:rPr>
          <w:color w:val="000000"/>
          <w:sz w:val="24"/>
          <w:szCs w:val="24"/>
        </w:rPr>
        <w:t xml:space="preserve">barriers. </w:t>
      </w:r>
      <w:r w:rsidR="00EB165E">
        <w:rPr>
          <w:color w:val="000000"/>
          <w:sz w:val="24"/>
          <w:szCs w:val="24"/>
        </w:rPr>
        <w:t>At the same time, by jointly m</w:t>
      </w:r>
      <w:r w:rsidR="00C14629" w:rsidRPr="00C14629">
        <w:rPr>
          <w:color w:val="000000"/>
          <w:sz w:val="24"/>
          <w:szCs w:val="24"/>
        </w:rPr>
        <w:t xml:space="preserve">odeling </w:t>
      </w:r>
      <w:r w:rsidR="005377B7">
        <w:rPr>
          <w:color w:val="000000"/>
          <w:sz w:val="24"/>
          <w:szCs w:val="24"/>
        </w:rPr>
        <w:t xml:space="preserve">whether an individual is an NRAT </w:t>
      </w:r>
      <w:r w:rsidR="00DF395E">
        <w:rPr>
          <w:color w:val="000000"/>
          <w:sz w:val="24"/>
          <w:szCs w:val="24"/>
        </w:rPr>
        <w:t xml:space="preserve">with the specific </w:t>
      </w:r>
      <w:r w:rsidR="0086040A">
        <w:rPr>
          <w:color w:val="000000"/>
          <w:sz w:val="24"/>
          <w:szCs w:val="24"/>
        </w:rPr>
        <w:t>barriers</w:t>
      </w:r>
      <w:r>
        <w:rPr>
          <w:color w:val="000000"/>
          <w:sz w:val="24"/>
          <w:szCs w:val="24"/>
        </w:rPr>
        <w:t xml:space="preserve"> that contribute to being an NRAT</w:t>
      </w:r>
      <w:r w:rsidR="0086040A">
        <w:rPr>
          <w:color w:val="000000"/>
          <w:sz w:val="24"/>
          <w:szCs w:val="24"/>
        </w:rPr>
        <w:t xml:space="preserve">, </w:t>
      </w:r>
      <w:r w:rsidR="00FC4028">
        <w:rPr>
          <w:color w:val="000000"/>
          <w:sz w:val="24"/>
          <w:szCs w:val="24"/>
        </w:rPr>
        <w:t xml:space="preserve">we can generalize the </w:t>
      </w:r>
      <w:r>
        <w:rPr>
          <w:color w:val="000000"/>
          <w:sz w:val="24"/>
          <w:szCs w:val="24"/>
        </w:rPr>
        <w:t>perceived barriers</w:t>
      </w:r>
      <w:r w:rsidR="00FC4028">
        <w:rPr>
          <w:color w:val="000000"/>
          <w:sz w:val="24"/>
          <w:szCs w:val="24"/>
        </w:rPr>
        <w:t xml:space="preserve"> to the broader population (</w:t>
      </w:r>
      <w:r w:rsidR="00AD30D1">
        <w:rPr>
          <w:color w:val="000000"/>
          <w:sz w:val="24"/>
          <w:szCs w:val="24"/>
        </w:rPr>
        <w:t>NRATs</w:t>
      </w:r>
      <w:r w:rsidR="00FC4028">
        <w:rPr>
          <w:color w:val="000000"/>
          <w:sz w:val="24"/>
          <w:szCs w:val="24"/>
        </w:rPr>
        <w:t xml:space="preserve"> and non-</w:t>
      </w:r>
      <w:r w:rsidR="00AD30D1">
        <w:rPr>
          <w:color w:val="000000"/>
          <w:sz w:val="24"/>
          <w:szCs w:val="24"/>
        </w:rPr>
        <w:t>NRATs</w:t>
      </w:r>
      <w:r w:rsidR="00FC4028">
        <w:rPr>
          <w:color w:val="000000"/>
          <w:sz w:val="24"/>
          <w:szCs w:val="24"/>
        </w:rPr>
        <w:t xml:space="preserve"> alike)</w:t>
      </w:r>
      <w:r w:rsidR="00A00309">
        <w:rPr>
          <w:color w:val="000000"/>
          <w:sz w:val="24"/>
          <w:szCs w:val="24"/>
        </w:rPr>
        <w:t xml:space="preserve"> after accounting for unobserved differences between these groups</w:t>
      </w:r>
      <w:r w:rsidR="00346B8D">
        <w:rPr>
          <w:color w:val="000000"/>
          <w:sz w:val="24"/>
          <w:szCs w:val="24"/>
        </w:rPr>
        <w:t xml:space="preserve"> (as discussed in more detail in Section</w:t>
      </w:r>
      <w:r w:rsidR="00F826E7">
        <w:rPr>
          <w:color w:val="000000"/>
          <w:sz w:val="24"/>
          <w:szCs w:val="24"/>
        </w:rPr>
        <w:t xml:space="preserve"> 2.2</w:t>
      </w:r>
      <w:r w:rsidR="00346B8D">
        <w:rPr>
          <w:color w:val="000000"/>
          <w:sz w:val="24"/>
          <w:szCs w:val="24"/>
        </w:rPr>
        <w:t>)</w:t>
      </w:r>
      <w:r w:rsidR="00A00309">
        <w:rPr>
          <w:color w:val="000000"/>
          <w:sz w:val="24"/>
          <w:szCs w:val="24"/>
        </w:rPr>
        <w:t xml:space="preserve">. This is an important step, allowing us to identify individuals who may use active travel </w:t>
      </w:r>
      <w:r w:rsidR="00675FA8">
        <w:rPr>
          <w:color w:val="000000"/>
          <w:sz w:val="24"/>
          <w:szCs w:val="24"/>
        </w:rPr>
        <w:t xml:space="preserve">somewhat regularly but still face barriers or be more susceptible to </w:t>
      </w:r>
      <w:r w:rsidR="00EE0ACD">
        <w:rPr>
          <w:color w:val="000000"/>
          <w:sz w:val="24"/>
          <w:szCs w:val="24"/>
        </w:rPr>
        <w:t xml:space="preserve">reducing their active travel usage in the future. </w:t>
      </w:r>
    </w:p>
    <w:p w14:paraId="05058C93" w14:textId="2D9E36A2" w:rsidR="00D80ED7" w:rsidRDefault="00D431C5" w:rsidP="004247F3">
      <w:pPr>
        <w:pStyle w:val="FootnoteText"/>
        <w:ind w:firstLine="720"/>
        <w:jc w:val="both"/>
        <w:rPr>
          <w:color w:val="000000"/>
          <w:sz w:val="24"/>
          <w:szCs w:val="24"/>
        </w:rPr>
      </w:pPr>
      <w:r w:rsidRPr="00D431C5">
        <w:rPr>
          <w:color w:val="000000"/>
          <w:sz w:val="24"/>
          <w:szCs w:val="24"/>
        </w:rPr>
        <w:t>The remainder of this paper is organized as follows. Section 2 reviews the existing literature on the determinants of, and barriers to, active travel use. Section 3 presents the characteristics of the dataset and the methodological framework employed in the analysis. Section 4 presents the model estimation results and their interpretation. Section 5 discusses the implications of the findings for active transportation planning, policy, and infrastructure development. Finally, Section 6 concludes with a summary of key findings</w:t>
      </w:r>
      <w:r w:rsidR="00B34302">
        <w:rPr>
          <w:color w:val="000000"/>
          <w:sz w:val="24"/>
          <w:szCs w:val="24"/>
        </w:rPr>
        <w:t xml:space="preserve"> </w:t>
      </w:r>
      <w:r w:rsidR="00B34302" w:rsidRPr="00D431C5">
        <w:rPr>
          <w:color w:val="000000"/>
          <w:sz w:val="24"/>
          <w:szCs w:val="24"/>
        </w:rPr>
        <w:t>and identifies directions for future research</w:t>
      </w:r>
      <w:r w:rsidR="00EC6029" w:rsidRPr="00794CF4">
        <w:rPr>
          <w:color w:val="000000"/>
          <w:sz w:val="24"/>
          <w:szCs w:val="24"/>
        </w:rPr>
        <w:t>.</w:t>
      </w:r>
    </w:p>
    <w:p w14:paraId="29A2B34E" w14:textId="77777777" w:rsidR="004247F3" w:rsidRPr="00794CF4" w:rsidRDefault="004247F3" w:rsidP="004247F3">
      <w:pPr>
        <w:pStyle w:val="FootnoteText"/>
        <w:ind w:firstLine="720"/>
        <w:jc w:val="both"/>
        <w:rPr>
          <w:color w:val="000000"/>
          <w:sz w:val="24"/>
          <w:szCs w:val="24"/>
        </w:rPr>
      </w:pPr>
    </w:p>
    <w:p w14:paraId="72EDC9D0" w14:textId="7AF847A0" w:rsidR="002C55E1" w:rsidRPr="008B64FF" w:rsidRDefault="002C55E1" w:rsidP="004247F3">
      <w:pPr>
        <w:rPr>
          <w:b/>
          <w:bCs/>
          <w:sz w:val="24"/>
          <w:szCs w:val="24"/>
        </w:rPr>
      </w:pPr>
      <w:r w:rsidRPr="008B64FF">
        <w:rPr>
          <w:b/>
          <w:bCs/>
          <w:sz w:val="24"/>
          <w:szCs w:val="24"/>
        </w:rPr>
        <w:t xml:space="preserve">2. </w:t>
      </w:r>
      <w:r w:rsidR="008B64FF" w:rsidRPr="008B64FF">
        <w:rPr>
          <w:b/>
          <w:bCs/>
          <w:sz w:val="24"/>
          <w:szCs w:val="24"/>
        </w:rPr>
        <w:t xml:space="preserve">LITERATURE </w:t>
      </w:r>
      <w:r w:rsidR="00D42D88">
        <w:rPr>
          <w:b/>
          <w:bCs/>
          <w:sz w:val="24"/>
          <w:szCs w:val="24"/>
        </w:rPr>
        <w:t>OVER</w:t>
      </w:r>
      <w:r w:rsidR="008B64FF" w:rsidRPr="008B64FF">
        <w:rPr>
          <w:b/>
          <w:bCs/>
          <w:sz w:val="24"/>
          <w:szCs w:val="24"/>
        </w:rPr>
        <w:t>VIEW</w:t>
      </w:r>
      <w:r w:rsidR="00D42D88">
        <w:rPr>
          <w:b/>
          <w:bCs/>
          <w:sz w:val="24"/>
          <w:szCs w:val="24"/>
        </w:rPr>
        <w:t xml:space="preserve"> AND THE CURRENT PAPER</w:t>
      </w:r>
    </w:p>
    <w:p w14:paraId="28EC6109" w14:textId="61C571A1" w:rsidR="002C55E1" w:rsidRDefault="002C55E1" w:rsidP="004247F3">
      <w:pPr>
        <w:pStyle w:val="FootnoteText"/>
        <w:jc w:val="both"/>
        <w:rPr>
          <w:color w:val="000000"/>
          <w:sz w:val="24"/>
          <w:szCs w:val="24"/>
        </w:rPr>
      </w:pPr>
      <w:r w:rsidRPr="005F519A">
        <w:rPr>
          <w:color w:val="000000"/>
          <w:sz w:val="24"/>
          <w:szCs w:val="24"/>
        </w:rPr>
        <w:t>The wide range of barriers to active travel</w:t>
      </w:r>
      <w:r w:rsidR="005F519A" w:rsidRPr="005F519A">
        <w:rPr>
          <w:color w:val="000000"/>
          <w:sz w:val="24"/>
          <w:szCs w:val="24"/>
        </w:rPr>
        <w:t>, as identified in exi</w:t>
      </w:r>
      <w:r w:rsidR="005F519A">
        <w:rPr>
          <w:color w:val="000000"/>
          <w:sz w:val="24"/>
          <w:szCs w:val="24"/>
        </w:rPr>
        <w:t xml:space="preserve">sting research, </w:t>
      </w:r>
      <w:r w:rsidR="0085442A">
        <w:rPr>
          <w:color w:val="000000"/>
          <w:sz w:val="24"/>
          <w:szCs w:val="24"/>
        </w:rPr>
        <w:t>is</w:t>
      </w:r>
      <w:r w:rsidR="005F519A">
        <w:rPr>
          <w:color w:val="000000"/>
          <w:sz w:val="24"/>
          <w:szCs w:val="24"/>
        </w:rPr>
        <w:t xml:space="preserve"> mapped to the four groupings</w:t>
      </w:r>
      <w:r w:rsidR="00E57993">
        <w:rPr>
          <w:color w:val="000000"/>
          <w:sz w:val="24"/>
          <w:szCs w:val="24"/>
        </w:rPr>
        <w:t xml:space="preserve"> </w:t>
      </w:r>
      <w:r w:rsidR="00310FA7">
        <w:rPr>
          <w:color w:val="000000"/>
          <w:sz w:val="24"/>
          <w:szCs w:val="24"/>
        </w:rPr>
        <w:t xml:space="preserve">of barriers as identified in the current study. Within </w:t>
      </w:r>
      <w:r w:rsidR="00F7662E" w:rsidRPr="00203796">
        <w:rPr>
          <w:color w:val="000000"/>
          <w:sz w:val="24"/>
          <w:szCs w:val="24"/>
        </w:rPr>
        <w:t>each category we also discuss how barrier salience varies across socio</w:t>
      </w:r>
      <w:r w:rsidR="0029477E">
        <w:rPr>
          <w:color w:val="000000"/>
          <w:sz w:val="24"/>
          <w:szCs w:val="24"/>
        </w:rPr>
        <w:t>-</w:t>
      </w:r>
      <w:r w:rsidR="00F7662E" w:rsidRPr="00203796">
        <w:rPr>
          <w:color w:val="000000"/>
          <w:sz w:val="24"/>
          <w:szCs w:val="24"/>
        </w:rPr>
        <w:t>economic and demographic characteristics, since the four categories of barriers do not weigh equally across the population. Throughout this review we remain agnostic to trip purpose</w:t>
      </w:r>
      <w:r w:rsidR="00F7662E">
        <w:rPr>
          <w:color w:val="000000"/>
          <w:sz w:val="24"/>
          <w:szCs w:val="24"/>
        </w:rPr>
        <w:t xml:space="preserve">. </w:t>
      </w:r>
      <w:r w:rsidR="00CD79D5" w:rsidRPr="00CD79D5">
        <w:rPr>
          <w:color w:val="000000"/>
          <w:sz w:val="24"/>
          <w:szCs w:val="24"/>
        </w:rPr>
        <w:t>While the relative importance of the barrier factors ha</w:t>
      </w:r>
      <w:r w:rsidR="00407CC5">
        <w:rPr>
          <w:color w:val="000000"/>
          <w:sz w:val="24"/>
          <w:szCs w:val="24"/>
        </w:rPr>
        <w:t>s</w:t>
      </w:r>
      <w:r w:rsidR="00CD79D5" w:rsidRPr="00CD79D5">
        <w:rPr>
          <w:color w:val="000000"/>
          <w:sz w:val="24"/>
          <w:szCs w:val="24"/>
        </w:rPr>
        <w:t xml:space="preserve"> been shown to vary across, for example, recreational and utilitarian active travel, the absolute importance of each of these factors is not in question</w:t>
      </w:r>
      <w:r w:rsidR="00B51DC0">
        <w:rPr>
          <w:color w:val="000000"/>
          <w:sz w:val="24"/>
          <w:szCs w:val="24"/>
        </w:rPr>
        <w:t xml:space="preserve"> </w:t>
      </w:r>
      <w:sdt>
        <w:sdtPr>
          <w:rPr>
            <w:color w:val="000000"/>
            <w:sz w:val="24"/>
            <w:szCs w:val="24"/>
          </w:rPr>
          <w:tag w:val="MENDELEY_CITATION_v3_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"/>
          <w:id w:val="1748072998"/>
          <w:placeholder>
            <w:docPart w:val="DefaultPlaceholder_-1854013440"/>
          </w:placeholder>
        </w:sdtPr>
        <w:sdtEndPr/>
        <w:sdtContent>
          <w:r w:rsidR="000C5DDA" w:rsidRPr="000C5DDA">
            <w:rPr>
              <w:color w:val="000000"/>
              <w:sz w:val="24"/>
              <w:szCs w:val="24"/>
            </w:rPr>
            <w:t>(see Heinen et al., 2010; Porter et al., 2020)</w:t>
          </w:r>
        </w:sdtContent>
      </w:sdt>
      <w:r w:rsidR="002F0F20">
        <w:rPr>
          <w:color w:val="000000"/>
          <w:sz w:val="24"/>
          <w:szCs w:val="24"/>
        </w:rPr>
        <w:t>.</w:t>
      </w:r>
    </w:p>
    <w:p w14:paraId="6EA51377" w14:textId="77777777" w:rsidR="004247F3" w:rsidRDefault="004247F3" w:rsidP="004247F3">
      <w:pPr>
        <w:pStyle w:val="FootnoteText"/>
        <w:jc w:val="both"/>
        <w:rPr>
          <w:color w:val="000000"/>
          <w:sz w:val="24"/>
          <w:szCs w:val="24"/>
        </w:rPr>
      </w:pPr>
    </w:p>
    <w:p w14:paraId="03016B1F" w14:textId="437E0603" w:rsidR="00D87135" w:rsidRPr="00E21CBD" w:rsidRDefault="00D87135" w:rsidP="004247F3">
      <w:pPr>
        <w:jc w:val="both"/>
        <w:rPr>
          <w:b/>
          <w:bCs/>
          <w:color w:val="000000"/>
          <w:sz w:val="26"/>
          <w:szCs w:val="26"/>
        </w:rPr>
      </w:pPr>
      <w:r w:rsidRPr="00055596">
        <w:rPr>
          <w:b/>
          <w:bCs/>
          <w:color w:val="000000"/>
          <w:sz w:val="24"/>
          <w:szCs w:val="24"/>
        </w:rPr>
        <w:t>2.1 Determinants of Active Tr</w:t>
      </w:r>
      <w:r w:rsidR="00E21CBD" w:rsidRPr="00055596">
        <w:rPr>
          <w:b/>
          <w:bCs/>
          <w:color w:val="000000"/>
          <w:sz w:val="24"/>
          <w:szCs w:val="24"/>
        </w:rPr>
        <w:t xml:space="preserve">avel and </w:t>
      </w:r>
      <w:r w:rsidR="0088536E">
        <w:rPr>
          <w:b/>
          <w:bCs/>
          <w:color w:val="000000"/>
          <w:sz w:val="24"/>
          <w:szCs w:val="24"/>
        </w:rPr>
        <w:t>Perceived</w:t>
      </w:r>
      <w:r w:rsidR="00E21CBD" w:rsidRPr="00055596">
        <w:rPr>
          <w:b/>
          <w:bCs/>
          <w:color w:val="000000"/>
          <w:sz w:val="24"/>
          <w:szCs w:val="24"/>
        </w:rPr>
        <w:t xml:space="preserve"> Barriers</w:t>
      </w:r>
    </w:p>
    <w:p w14:paraId="2A59F6B1" w14:textId="501EA61B" w:rsidR="00E21CBD" w:rsidRPr="00E06584" w:rsidRDefault="00E21CBD" w:rsidP="004247F3">
      <w:pPr>
        <w:jc w:val="both"/>
        <w:rPr>
          <w:b/>
          <w:bCs/>
          <w:i/>
          <w:iCs/>
          <w:color w:val="000000"/>
          <w:sz w:val="24"/>
          <w:szCs w:val="24"/>
        </w:rPr>
      </w:pPr>
      <w:r w:rsidRPr="00E06584">
        <w:rPr>
          <w:b/>
          <w:bCs/>
          <w:i/>
          <w:iCs/>
          <w:color w:val="000000"/>
          <w:sz w:val="24"/>
          <w:szCs w:val="24"/>
        </w:rPr>
        <w:t>2.1.1 Perceived Infrastructur</w:t>
      </w:r>
      <w:r w:rsidR="003F3987">
        <w:rPr>
          <w:b/>
          <w:bCs/>
          <w:i/>
          <w:iCs/>
          <w:color w:val="000000"/>
          <w:sz w:val="24"/>
          <w:szCs w:val="24"/>
        </w:rPr>
        <w:t>al</w:t>
      </w:r>
      <w:r w:rsidRPr="00E06584">
        <w:rPr>
          <w:b/>
          <w:bCs/>
          <w:i/>
          <w:iCs/>
          <w:color w:val="000000"/>
          <w:sz w:val="24"/>
          <w:szCs w:val="24"/>
        </w:rPr>
        <w:t xml:space="preserve"> Deficiencies in </w:t>
      </w:r>
      <w:r w:rsidR="00CF5068" w:rsidRPr="00E06584">
        <w:rPr>
          <w:b/>
          <w:bCs/>
          <w:i/>
          <w:iCs/>
          <w:color w:val="000000"/>
          <w:sz w:val="24"/>
          <w:szCs w:val="24"/>
        </w:rPr>
        <w:t xml:space="preserve">Active Travel </w:t>
      </w:r>
      <w:r w:rsidRPr="00E06584">
        <w:rPr>
          <w:b/>
          <w:bCs/>
          <w:i/>
          <w:iCs/>
          <w:color w:val="000000"/>
          <w:sz w:val="24"/>
          <w:szCs w:val="24"/>
        </w:rPr>
        <w:t>Networks</w:t>
      </w:r>
    </w:p>
    <w:p w14:paraId="1BEA1681" w14:textId="7DA6C116" w:rsidR="00C90DFF" w:rsidRDefault="006D4604" w:rsidP="004247F3">
      <w:pPr>
        <w:pStyle w:val="FootnoteText"/>
        <w:jc w:val="both"/>
        <w:rPr>
          <w:color w:val="000000"/>
          <w:sz w:val="24"/>
          <w:szCs w:val="24"/>
        </w:rPr>
      </w:pPr>
      <w:r w:rsidRPr="006D4604">
        <w:rPr>
          <w:color w:val="000000"/>
          <w:sz w:val="24"/>
          <w:szCs w:val="24"/>
        </w:rPr>
        <w:t>Perceptions of the active</w:t>
      </w:r>
      <w:r>
        <w:rPr>
          <w:color w:val="000000"/>
          <w:sz w:val="24"/>
          <w:szCs w:val="24"/>
        </w:rPr>
        <w:t xml:space="preserve"> </w:t>
      </w:r>
      <w:r w:rsidRPr="006D4604">
        <w:rPr>
          <w:color w:val="000000"/>
          <w:sz w:val="24"/>
          <w:szCs w:val="24"/>
        </w:rPr>
        <w:t xml:space="preserve">travel environment do not form in a vacuum. They are shaped by the objective characteristics of the </w:t>
      </w:r>
      <w:r w:rsidR="00425383">
        <w:rPr>
          <w:color w:val="000000"/>
          <w:sz w:val="24"/>
          <w:szCs w:val="24"/>
        </w:rPr>
        <w:t>BE,</w:t>
      </w:r>
      <w:r w:rsidRPr="006D4604">
        <w:rPr>
          <w:color w:val="000000"/>
          <w:sz w:val="24"/>
          <w:szCs w:val="24"/>
        </w:rPr>
        <w:t xml:space="preserve"> which are also typically the more direct levers for policy action. A substantial body of work documents robust associations between active travel behavior and objective </w:t>
      </w:r>
      <w:r w:rsidR="00425383">
        <w:rPr>
          <w:color w:val="000000"/>
          <w:sz w:val="24"/>
          <w:szCs w:val="24"/>
        </w:rPr>
        <w:t>BE</w:t>
      </w:r>
      <w:r w:rsidRPr="006D4604">
        <w:rPr>
          <w:color w:val="000000"/>
          <w:sz w:val="24"/>
          <w:szCs w:val="24"/>
        </w:rPr>
        <w:t xml:space="preserve"> features such as residential density, land-use diversity, street connectivity, pedestrian and bicycle infrastructure, and destination access</w:t>
      </w:r>
      <w:r w:rsidR="00C82E5E">
        <w:rPr>
          <w:color w:val="000000"/>
          <w:sz w:val="24"/>
          <w:szCs w:val="24"/>
        </w:rPr>
        <w:t xml:space="preserve"> </w:t>
      </w:r>
      <w:sdt>
        <w:sdtPr>
          <w:rPr>
            <w:color w:val="000000"/>
            <w:sz w:val="24"/>
            <w:szCs w:val="24"/>
          </w:rPr>
          <w:tag w:val="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"/>
          <w:id w:val="1030073651"/>
          <w:placeholder>
            <w:docPart w:val="DefaultPlaceholder_-1854013440"/>
          </w:placeholder>
        </w:sdtPr>
        <w:sdtEndPr/>
        <w:sdtContent>
          <w:r w:rsidR="000C5DDA" w:rsidRPr="000C5DDA">
            <w:rPr>
              <w:color w:val="000000"/>
              <w:sz w:val="24"/>
            </w:rPr>
            <w:t>(Tao and Cao, 2023; Tao et al., 2023; Ito et al., 2024)</w:t>
          </w:r>
        </w:sdtContent>
      </w:sdt>
      <w:r w:rsidRPr="006D4604">
        <w:rPr>
          <w:color w:val="000000"/>
          <w:sz w:val="24"/>
          <w:szCs w:val="24"/>
        </w:rPr>
        <w:t xml:space="preserve">. This literature, however, has largely treated objective measures as direct determinants of active mode use, leaving underexamined the subjective pathway through which </w:t>
      </w:r>
      <w:r w:rsidR="00AD30D1">
        <w:rPr>
          <w:color w:val="000000"/>
          <w:sz w:val="24"/>
          <w:szCs w:val="24"/>
        </w:rPr>
        <w:t>objective</w:t>
      </w:r>
      <w:r w:rsidRPr="006D4604">
        <w:rPr>
          <w:color w:val="000000"/>
          <w:sz w:val="24"/>
          <w:szCs w:val="24"/>
        </w:rPr>
        <w:t xml:space="preserve"> conditions are perceived and experienced as barriers. Because it is this subjective translation, rather than the objective conditions alone, that shapes </w:t>
      </w:r>
      <w:r w:rsidR="00BB1419">
        <w:rPr>
          <w:color w:val="000000"/>
          <w:sz w:val="24"/>
          <w:szCs w:val="24"/>
        </w:rPr>
        <w:t xml:space="preserve">active </w:t>
      </w:r>
      <w:r w:rsidRPr="006D4604">
        <w:rPr>
          <w:color w:val="000000"/>
          <w:sz w:val="24"/>
          <w:szCs w:val="24"/>
        </w:rPr>
        <w:t>mode</w:t>
      </w:r>
      <w:r w:rsidR="00BB1419">
        <w:rPr>
          <w:color w:val="000000"/>
          <w:sz w:val="24"/>
          <w:szCs w:val="24"/>
        </w:rPr>
        <w:t xml:space="preserve"> </w:t>
      </w:r>
      <w:r w:rsidRPr="006D4604">
        <w:rPr>
          <w:color w:val="000000"/>
          <w:sz w:val="24"/>
          <w:szCs w:val="24"/>
        </w:rPr>
        <w:t>use decisions at the individual level, a smaller but growing body of work</w:t>
      </w:r>
      <w:r w:rsidR="00123CE1">
        <w:rPr>
          <w:color w:val="000000"/>
          <w:sz w:val="24"/>
          <w:szCs w:val="24"/>
        </w:rPr>
        <w:t xml:space="preserve"> (see, for example,</w:t>
      </w:r>
      <w:r w:rsidR="00130CB8">
        <w:rPr>
          <w:color w:val="000000"/>
          <w:sz w:val="24"/>
          <w:szCs w:val="24"/>
        </w:rPr>
        <w:t xml:space="preserve"> </w:t>
      </w:r>
      <w:sdt>
        <w:sdtPr>
          <w:rPr>
            <w:color w:val="000000"/>
            <w:sz w:val="24"/>
            <w:szCs w:val="24"/>
          </w:rPr>
          <w:tag w:val="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"/>
          <w:id w:val="1211077661"/>
          <w:placeholder>
            <w:docPart w:val="DefaultPlaceholder_-1854013440"/>
          </w:placeholder>
        </w:sdtPr>
        <w:sdtEndPr/>
        <w:sdtContent>
          <w:r w:rsidR="000C5DDA" w:rsidRPr="000C5DDA">
            <w:rPr>
              <w:color w:val="000000"/>
              <w:sz w:val="24"/>
            </w:rPr>
            <w:t>Kerr et al., 2016; Ma and Dill, 2017;</w:t>
          </w:r>
          <w:r w:rsidR="00546B0E">
            <w:rPr>
              <w:color w:val="000000"/>
              <w:sz w:val="24"/>
            </w:rPr>
            <w:t xml:space="preserve"> </w:t>
          </w:r>
          <w:r w:rsidR="000C5DDA" w:rsidRPr="000C5DDA">
            <w:rPr>
              <w:color w:val="000000"/>
              <w:sz w:val="24"/>
            </w:rPr>
            <w:t>Brüchert et al., 2022</w:t>
          </w:r>
        </w:sdtContent>
      </w:sdt>
      <w:r w:rsidR="00F12BE6">
        <w:rPr>
          <w:color w:val="000000"/>
          <w:sz w:val="24"/>
          <w:szCs w:val="24"/>
        </w:rPr>
        <w:t>)</w:t>
      </w:r>
      <w:r w:rsidR="00200544">
        <w:rPr>
          <w:color w:val="000000"/>
          <w:sz w:val="24"/>
          <w:szCs w:val="24"/>
        </w:rPr>
        <w:t xml:space="preserve"> </w:t>
      </w:r>
      <w:r w:rsidRPr="006D4604">
        <w:rPr>
          <w:color w:val="000000"/>
          <w:sz w:val="24"/>
          <w:szCs w:val="24"/>
        </w:rPr>
        <w:t xml:space="preserve">has turned to </w:t>
      </w:r>
      <w:r w:rsidR="00D0477D">
        <w:rPr>
          <w:color w:val="000000"/>
          <w:sz w:val="24"/>
          <w:szCs w:val="24"/>
        </w:rPr>
        <w:t xml:space="preserve">investigating </w:t>
      </w:r>
      <w:r w:rsidRPr="006D4604">
        <w:rPr>
          <w:color w:val="000000"/>
          <w:sz w:val="24"/>
          <w:szCs w:val="24"/>
        </w:rPr>
        <w:t>perceived suitability for active travel</w:t>
      </w:r>
      <w:r w:rsidR="00D0477D">
        <w:rPr>
          <w:color w:val="000000"/>
          <w:sz w:val="24"/>
          <w:szCs w:val="24"/>
        </w:rPr>
        <w:t>. This is important for at least two reasons.</w:t>
      </w:r>
      <w:r w:rsidR="002D3440">
        <w:rPr>
          <w:color w:val="000000"/>
          <w:sz w:val="24"/>
          <w:szCs w:val="24"/>
        </w:rPr>
        <w:t xml:space="preserve"> </w:t>
      </w:r>
      <w:r w:rsidRPr="003916F3">
        <w:rPr>
          <w:color w:val="000000"/>
          <w:sz w:val="24"/>
          <w:szCs w:val="24"/>
        </w:rPr>
        <w:t>First</w:t>
      </w:r>
      <w:r w:rsidRPr="006D4604">
        <w:rPr>
          <w:color w:val="000000"/>
          <w:sz w:val="24"/>
          <w:szCs w:val="24"/>
        </w:rPr>
        <w:t xml:space="preserve">, objective and perceived measures are neither redundant </w:t>
      </w:r>
      <w:r w:rsidRPr="006D4604">
        <w:rPr>
          <w:color w:val="000000"/>
          <w:sz w:val="24"/>
          <w:szCs w:val="24"/>
        </w:rPr>
        <w:lastRenderedPageBreak/>
        <w:t xml:space="preserve">nor reliably interchangeable, since perceptions of the same environment vary substantially across individuals. </w:t>
      </w:r>
      <w:r w:rsidR="00D0477D">
        <w:rPr>
          <w:color w:val="000000"/>
          <w:sz w:val="24"/>
          <w:szCs w:val="24"/>
        </w:rPr>
        <w:t>For example, o</w:t>
      </w:r>
      <w:r w:rsidRPr="006D4604">
        <w:rPr>
          <w:color w:val="000000"/>
          <w:sz w:val="24"/>
          <w:szCs w:val="24"/>
        </w:rPr>
        <w:t xml:space="preserve">lder adults, parents of young children, those with less </w:t>
      </w:r>
      <w:r w:rsidR="001E2CFF">
        <w:rPr>
          <w:color w:val="000000"/>
          <w:sz w:val="24"/>
          <w:szCs w:val="24"/>
        </w:rPr>
        <w:t xml:space="preserve">formal </w:t>
      </w:r>
      <w:r w:rsidRPr="006D4604">
        <w:rPr>
          <w:color w:val="000000"/>
          <w:sz w:val="24"/>
          <w:szCs w:val="24"/>
        </w:rPr>
        <w:t xml:space="preserve">education or lower income, and infrequent </w:t>
      </w:r>
      <w:r w:rsidR="00372052">
        <w:rPr>
          <w:color w:val="000000"/>
          <w:sz w:val="24"/>
          <w:szCs w:val="24"/>
        </w:rPr>
        <w:t>bi</w:t>
      </w:r>
      <w:r w:rsidRPr="006D4604">
        <w:rPr>
          <w:color w:val="000000"/>
          <w:sz w:val="24"/>
          <w:szCs w:val="24"/>
        </w:rPr>
        <w:t xml:space="preserve">cyclists tend to perceive the same </w:t>
      </w:r>
      <w:r w:rsidR="00D0477D">
        <w:rPr>
          <w:color w:val="000000"/>
          <w:sz w:val="24"/>
          <w:szCs w:val="24"/>
        </w:rPr>
        <w:t xml:space="preserve">bicycling environment </w:t>
      </w:r>
      <w:r w:rsidRPr="006D4604">
        <w:rPr>
          <w:color w:val="000000"/>
          <w:sz w:val="24"/>
          <w:szCs w:val="24"/>
        </w:rPr>
        <w:t>as less hospitable for bi</w:t>
      </w:r>
      <w:r w:rsidR="00D0477D">
        <w:rPr>
          <w:color w:val="000000"/>
          <w:sz w:val="24"/>
          <w:szCs w:val="24"/>
        </w:rPr>
        <w:t>cycling</w:t>
      </w:r>
      <w:r w:rsidRPr="006D4604">
        <w:rPr>
          <w:color w:val="000000"/>
          <w:sz w:val="24"/>
          <w:szCs w:val="24"/>
        </w:rPr>
        <w:t xml:space="preserve"> than their respective counterparts</w:t>
      </w:r>
      <w:r w:rsidR="00ED6059">
        <w:rPr>
          <w:color w:val="000000"/>
          <w:sz w:val="24"/>
          <w:szCs w:val="24"/>
        </w:rPr>
        <w:t xml:space="preserve"> </w:t>
      </w:r>
      <w:sdt>
        <w:sdtPr>
          <w:rPr>
            <w:color w:val="000000"/>
            <w:sz w:val="24"/>
            <w:szCs w:val="24"/>
          </w:rPr>
          <w:tag w:val="MENDELEY_CITATION_v3_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"/>
          <w:id w:val="-978074538"/>
          <w:placeholder>
            <w:docPart w:val="DefaultPlaceholder_-1854013440"/>
          </w:placeholder>
        </w:sdtPr>
        <w:sdtEndPr/>
        <w:sdtContent>
          <w:r w:rsidR="000C5DDA" w:rsidRPr="000C5DDA">
            <w:rPr>
              <w:color w:val="000000"/>
              <w:sz w:val="24"/>
            </w:rPr>
            <w:t>(Ma and Dill, 2017)</w:t>
          </w:r>
        </w:sdtContent>
      </w:sdt>
      <w:r w:rsidRPr="006D4604">
        <w:rPr>
          <w:color w:val="000000"/>
          <w:sz w:val="24"/>
          <w:szCs w:val="24"/>
        </w:rPr>
        <w:t xml:space="preserve">. At a broader scale, perceived accessibility </w:t>
      </w:r>
      <w:r w:rsidR="00090A0D">
        <w:rPr>
          <w:color w:val="000000"/>
          <w:sz w:val="24"/>
          <w:szCs w:val="24"/>
        </w:rPr>
        <w:t xml:space="preserve">does not </w:t>
      </w:r>
      <w:r w:rsidR="000537DA" w:rsidRPr="006D4604">
        <w:rPr>
          <w:color w:val="000000"/>
          <w:sz w:val="24"/>
          <w:szCs w:val="24"/>
        </w:rPr>
        <w:t>correlate</w:t>
      </w:r>
      <w:r w:rsidRPr="006D4604">
        <w:rPr>
          <w:color w:val="000000"/>
          <w:sz w:val="24"/>
          <w:szCs w:val="24"/>
        </w:rPr>
        <w:t xml:space="preserve"> </w:t>
      </w:r>
      <w:r w:rsidR="00090A0D">
        <w:rPr>
          <w:color w:val="000000"/>
          <w:sz w:val="24"/>
          <w:szCs w:val="24"/>
        </w:rPr>
        <w:t xml:space="preserve">strongly </w:t>
      </w:r>
      <w:r w:rsidRPr="006D4604">
        <w:rPr>
          <w:color w:val="000000"/>
          <w:sz w:val="24"/>
          <w:szCs w:val="24"/>
        </w:rPr>
        <w:t>with objectively measured accessibility, with bicycle users reporting substantially higher perceived accessibility than car or transit users in the same areas, contrary to standard place-based accessibility assumptions</w:t>
      </w:r>
      <w:r w:rsidR="008D7050">
        <w:rPr>
          <w:color w:val="000000"/>
          <w:sz w:val="24"/>
          <w:szCs w:val="24"/>
        </w:rPr>
        <w:t xml:space="preserve"> </w:t>
      </w:r>
      <w:sdt>
        <w:sdtPr>
          <w:rPr>
            <w:color w:val="000000"/>
            <w:sz w:val="24"/>
            <w:szCs w:val="24"/>
          </w:rPr>
          <w:tag w:val="MENDELEY_CITATION_v3_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"/>
          <w:id w:val="-2054679881"/>
          <w:placeholder>
            <w:docPart w:val="DefaultPlaceholder_-1854013440"/>
          </w:placeholder>
        </w:sdtPr>
        <w:sdtEndPr/>
        <w:sdtContent>
          <w:r w:rsidR="000C5DDA" w:rsidRPr="000C5DDA">
            <w:rPr>
              <w:color w:val="000000"/>
              <w:sz w:val="24"/>
              <w:szCs w:val="24"/>
            </w:rPr>
            <w:t>(Lättman et al., 2018)</w:t>
          </w:r>
        </w:sdtContent>
      </w:sdt>
      <w:r w:rsidRPr="006D4604">
        <w:rPr>
          <w:color w:val="000000"/>
          <w:sz w:val="24"/>
          <w:szCs w:val="24"/>
        </w:rPr>
        <w:t>.</w:t>
      </w:r>
      <w:r w:rsidR="00D0477D">
        <w:rPr>
          <w:color w:val="000000"/>
          <w:sz w:val="24"/>
          <w:szCs w:val="24"/>
        </w:rPr>
        <w:t xml:space="preserve"> </w:t>
      </w:r>
      <w:r w:rsidRPr="003916F3">
        <w:rPr>
          <w:color w:val="000000"/>
          <w:sz w:val="24"/>
          <w:szCs w:val="24"/>
        </w:rPr>
        <w:t>Second</w:t>
      </w:r>
      <w:r w:rsidRPr="006D4604">
        <w:rPr>
          <w:color w:val="000000"/>
          <w:sz w:val="24"/>
          <w:szCs w:val="24"/>
        </w:rPr>
        <w:t xml:space="preserve">, </w:t>
      </w:r>
      <w:r w:rsidR="00D0477D">
        <w:rPr>
          <w:color w:val="000000"/>
          <w:sz w:val="24"/>
          <w:szCs w:val="24"/>
        </w:rPr>
        <w:t xml:space="preserve">perceptions related to the active travel environment </w:t>
      </w:r>
      <w:r w:rsidRPr="006D4604">
        <w:rPr>
          <w:color w:val="000000"/>
          <w:sz w:val="24"/>
          <w:szCs w:val="24"/>
        </w:rPr>
        <w:t>connect directly to active mode use.</w:t>
      </w:r>
      <w:r w:rsidR="00DA09E1">
        <w:rPr>
          <w:color w:val="000000"/>
          <w:sz w:val="24"/>
          <w:szCs w:val="24"/>
        </w:rPr>
        <w:t xml:space="preserve"> </w:t>
      </w:r>
      <w:r w:rsidR="00511173">
        <w:rPr>
          <w:color w:val="000000"/>
          <w:sz w:val="24"/>
          <w:szCs w:val="24"/>
        </w:rPr>
        <w:t>Again,</w:t>
      </w:r>
      <w:r w:rsidR="00D0477D">
        <w:rPr>
          <w:color w:val="000000"/>
          <w:sz w:val="24"/>
          <w:szCs w:val="24"/>
        </w:rPr>
        <w:t xml:space="preserve"> taking the bicycling active travel mode</w:t>
      </w:r>
      <w:r w:rsidR="00DA09E1">
        <w:rPr>
          <w:color w:val="000000"/>
          <w:sz w:val="24"/>
          <w:szCs w:val="24"/>
        </w:rPr>
        <w:t>,</w:t>
      </w:r>
      <w:r w:rsidRPr="006D4604">
        <w:rPr>
          <w:color w:val="000000"/>
          <w:sz w:val="24"/>
          <w:szCs w:val="24"/>
        </w:rPr>
        <w:t xml:space="preserve"> </w:t>
      </w:r>
      <w:r w:rsidR="00DA09E1">
        <w:rPr>
          <w:color w:val="000000"/>
          <w:sz w:val="24"/>
          <w:szCs w:val="24"/>
        </w:rPr>
        <w:t>a</w:t>
      </w:r>
      <w:r w:rsidRPr="006D4604">
        <w:rPr>
          <w:color w:val="000000"/>
          <w:sz w:val="24"/>
          <w:szCs w:val="24"/>
        </w:rPr>
        <w:t xml:space="preserve">cross </w:t>
      </w:r>
      <w:r w:rsidR="00D0477D">
        <w:rPr>
          <w:color w:val="000000"/>
          <w:sz w:val="24"/>
          <w:szCs w:val="24"/>
        </w:rPr>
        <w:t xml:space="preserve">the </w:t>
      </w:r>
      <w:r w:rsidRPr="006D4604">
        <w:rPr>
          <w:color w:val="000000"/>
          <w:sz w:val="24"/>
          <w:szCs w:val="24"/>
        </w:rPr>
        <w:t xml:space="preserve">literature, perceived safety </w:t>
      </w:r>
      <w:r w:rsidR="00D0477D">
        <w:rPr>
          <w:color w:val="000000"/>
          <w:sz w:val="24"/>
          <w:szCs w:val="24"/>
        </w:rPr>
        <w:t>has been established as</w:t>
      </w:r>
      <w:r w:rsidRPr="006D4604">
        <w:rPr>
          <w:color w:val="000000"/>
          <w:sz w:val="24"/>
          <w:szCs w:val="24"/>
        </w:rPr>
        <w:t xml:space="preserve"> a key determinant of </w:t>
      </w:r>
      <w:r w:rsidR="00372052">
        <w:rPr>
          <w:color w:val="000000"/>
          <w:sz w:val="24"/>
          <w:szCs w:val="24"/>
        </w:rPr>
        <w:t>bi</w:t>
      </w:r>
      <w:r w:rsidRPr="006D4604">
        <w:rPr>
          <w:color w:val="000000"/>
          <w:sz w:val="24"/>
          <w:szCs w:val="24"/>
        </w:rPr>
        <w:t xml:space="preserve">cycling behavior, </w:t>
      </w:r>
      <w:r w:rsidR="00D0477D">
        <w:rPr>
          <w:color w:val="000000"/>
          <w:sz w:val="24"/>
          <w:szCs w:val="24"/>
        </w:rPr>
        <w:t xml:space="preserve">even </w:t>
      </w:r>
      <w:r w:rsidRPr="006D4604">
        <w:rPr>
          <w:color w:val="000000"/>
          <w:sz w:val="24"/>
          <w:szCs w:val="24"/>
        </w:rPr>
        <w:t xml:space="preserve">outweighing objective measures of </w:t>
      </w:r>
      <w:r w:rsidR="00D0477D">
        <w:rPr>
          <w:color w:val="000000"/>
          <w:sz w:val="24"/>
          <w:szCs w:val="24"/>
        </w:rPr>
        <w:t>safety</w:t>
      </w:r>
      <w:r w:rsidR="00C34273">
        <w:rPr>
          <w:color w:val="000000"/>
          <w:sz w:val="24"/>
          <w:szCs w:val="24"/>
        </w:rPr>
        <w:t xml:space="preserve"> </w:t>
      </w:r>
      <w:sdt>
        <w:sdtPr>
          <w:rPr>
            <w:color w:val="000000"/>
            <w:sz w:val="24"/>
            <w:szCs w:val="24"/>
          </w:rPr>
          <w:tag w:val="MENDELEY_CITATION_v3_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"/>
          <w:id w:val="1815682199"/>
          <w:placeholder>
            <w:docPart w:val="DefaultPlaceholder_-1854013440"/>
          </w:placeholder>
        </w:sdtPr>
        <w:sdtEndPr/>
        <w:sdtContent>
          <w:r w:rsidR="000C5DDA" w:rsidRPr="000C5DDA">
            <w:rPr>
              <w:color w:val="000000"/>
              <w:sz w:val="24"/>
            </w:rPr>
            <w:t>(Dill and McNeil, 2016; Biehl et al., 2018; Gössling and McRae, 2022)</w:t>
          </w:r>
        </w:sdtContent>
      </w:sdt>
      <w:r w:rsidRPr="006D4604">
        <w:rPr>
          <w:color w:val="000000"/>
          <w:sz w:val="24"/>
          <w:szCs w:val="24"/>
        </w:rPr>
        <w:t xml:space="preserve">. </w:t>
      </w:r>
      <w:r w:rsidR="003C5663">
        <w:rPr>
          <w:color w:val="000000"/>
          <w:sz w:val="24"/>
          <w:szCs w:val="24"/>
        </w:rPr>
        <w:t>This pattern is not unique to bicycling</w:t>
      </w:r>
      <w:r w:rsidRPr="006D4604">
        <w:rPr>
          <w:color w:val="000000"/>
          <w:sz w:val="24"/>
          <w:szCs w:val="24"/>
        </w:rPr>
        <w:t>. Walking shows a parallel pattern, with perceived walking accessibility</w:t>
      </w:r>
      <w:r w:rsidR="00BC6326">
        <w:rPr>
          <w:color w:val="000000"/>
          <w:sz w:val="24"/>
          <w:szCs w:val="24"/>
        </w:rPr>
        <w:t xml:space="preserve"> directly</w:t>
      </w:r>
      <w:r w:rsidRPr="006D4604">
        <w:rPr>
          <w:color w:val="000000"/>
          <w:sz w:val="24"/>
          <w:szCs w:val="24"/>
        </w:rPr>
        <w:t xml:space="preserve"> predicting behavior</w:t>
      </w:r>
      <w:r w:rsidR="00CF5068">
        <w:rPr>
          <w:color w:val="000000"/>
          <w:sz w:val="24"/>
          <w:szCs w:val="24"/>
        </w:rPr>
        <w:t>,</w:t>
      </w:r>
      <w:r w:rsidRPr="006D4604">
        <w:rPr>
          <w:color w:val="000000"/>
          <w:sz w:val="24"/>
          <w:szCs w:val="24"/>
        </w:rPr>
        <w:t xml:space="preserve"> while objectively measured accessibility exert</w:t>
      </w:r>
      <w:r w:rsidR="00283A32">
        <w:rPr>
          <w:color w:val="000000"/>
          <w:sz w:val="24"/>
          <w:szCs w:val="24"/>
        </w:rPr>
        <w:t>s</w:t>
      </w:r>
      <w:r w:rsidRPr="006D4604">
        <w:rPr>
          <w:color w:val="000000"/>
          <w:sz w:val="24"/>
          <w:szCs w:val="24"/>
        </w:rPr>
        <w:t xml:space="preserve"> only </w:t>
      </w:r>
      <w:r w:rsidR="00D42D88">
        <w:rPr>
          <w:color w:val="000000"/>
          <w:sz w:val="24"/>
          <w:szCs w:val="24"/>
        </w:rPr>
        <w:t xml:space="preserve">relatively </w:t>
      </w:r>
      <w:r w:rsidRPr="006D4604">
        <w:rPr>
          <w:color w:val="000000"/>
          <w:sz w:val="24"/>
          <w:szCs w:val="24"/>
        </w:rPr>
        <w:t>weak</w:t>
      </w:r>
      <w:r w:rsidR="00D42D88">
        <w:rPr>
          <w:color w:val="000000"/>
          <w:sz w:val="24"/>
          <w:szCs w:val="24"/>
        </w:rPr>
        <w:t xml:space="preserve"> </w:t>
      </w:r>
      <w:r w:rsidRPr="006D4604">
        <w:rPr>
          <w:color w:val="000000"/>
          <w:sz w:val="24"/>
          <w:szCs w:val="24"/>
        </w:rPr>
        <w:t xml:space="preserve">direct effects once perceptions </w:t>
      </w:r>
      <w:r w:rsidR="00CF5068">
        <w:rPr>
          <w:color w:val="000000"/>
          <w:sz w:val="24"/>
          <w:szCs w:val="24"/>
        </w:rPr>
        <w:t xml:space="preserve">are included as determinants </w:t>
      </w:r>
      <w:sdt>
        <w:sdtPr>
          <w:rPr>
            <w:color w:val="000000"/>
            <w:sz w:val="24"/>
            <w:szCs w:val="24"/>
          </w:rPr>
          <w:tag w:val="MENDELEY_CITATION_v3_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"/>
          <w:id w:val="-1962715089"/>
          <w:placeholder>
            <w:docPart w:val="DefaultPlaceholder_-1854013440"/>
          </w:placeholder>
        </w:sdtPr>
        <w:sdtEndPr/>
        <w:sdtContent>
          <w:r w:rsidR="000C5DDA" w:rsidRPr="000C5DDA">
            <w:rPr>
              <w:color w:val="000000"/>
              <w:sz w:val="24"/>
              <w:szCs w:val="24"/>
            </w:rPr>
            <w:t>(van der Vlugt et al., 2022)</w:t>
          </w:r>
        </w:sdtContent>
      </w:sdt>
      <w:r w:rsidRPr="006D4604">
        <w:rPr>
          <w:color w:val="000000"/>
          <w:sz w:val="24"/>
          <w:szCs w:val="24"/>
        </w:rPr>
        <w:t xml:space="preserve">. </w:t>
      </w:r>
      <w:r w:rsidR="00CF5068">
        <w:rPr>
          <w:color w:val="000000"/>
          <w:sz w:val="24"/>
          <w:szCs w:val="24"/>
        </w:rPr>
        <w:t>Overall</w:t>
      </w:r>
      <w:r w:rsidR="00C90DFF" w:rsidRPr="00C90DFF">
        <w:rPr>
          <w:color w:val="000000"/>
          <w:sz w:val="24"/>
          <w:szCs w:val="24"/>
        </w:rPr>
        <w:t xml:space="preserve">, while there is a growing </w:t>
      </w:r>
      <w:r w:rsidR="00CF5068">
        <w:rPr>
          <w:color w:val="000000"/>
          <w:sz w:val="24"/>
          <w:szCs w:val="24"/>
        </w:rPr>
        <w:t xml:space="preserve">recognition </w:t>
      </w:r>
      <w:r w:rsidR="00C90DFF" w:rsidRPr="00C90DFF">
        <w:rPr>
          <w:color w:val="000000"/>
          <w:sz w:val="24"/>
          <w:szCs w:val="24"/>
        </w:rPr>
        <w:t>of the importance of accounting for perceived infrastructur</w:t>
      </w:r>
      <w:r w:rsidR="00372052">
        <w:rPr>
          <w:color w:val="000000"/>
          <w:sz w:val="24"/>
          <w:szCs w:val="24"/>
        </w:rPr>
        <w:t>al</w:t>
      </w:r>
      <w:r w:rsidR="00C90DFF" w:rsidRPr="00C90DFF">
        <w:rPr>
          <w:color w:val="000000"/>
          <w:sz w:val="24"/>
          <w:szCs w:val="24"/>
        </w:rPr>
        <w:t xml:space="preserve"> deficiencies, rather than just objective conditions, the subjective pathway through which objective environment characteristics are translated into actual perceived barriers to active travel warrants further investigation.</w:t>
      </w:r>
    </w:p>
    <w:p w14:paraId="014A6035" w14:textId="77777777" w:rsidR="004247F3" w:rsidRDefault="004247F3" w:rsidP="004247F3">
      <w:pPr>
        <w:pStyle w:val="FootnoteText"/>
        <w:jc w:val="both"/>
        <w:rPr>
          <w:color w:val="000000"/>
          <w:sz w:val="24"/>
          <w:szCs w:val="24"/>
        </w:rPr>
      </w:pPr>
    </w:p>
    <w:p w14:paraId="3517ABA7" w14:textId="3450D437" w:rsidR="00406F42" w:rsidRPr="00E06584" w:rsidRDefault="00406F42" w:rsidP="004247F3">
      <w:pPr>
        <w:jc w:val="both"/>
        <w:rPr>
          <w:b/>
          <w:bCs/>
          <w:i/>
          <w:iCs/>
          <w:color w:val="000000"/>
          <w:sz w:val="24"/>
          <w:szCs w:val="24"/>
        </w:rPr>
      </w:pPr>
      <w:r w:rsidRPr="00E06584">
        <w:rPr>
          <w:b/>
          <w:bCs/>
          <w:i/>
          <w:iCs/>
          <w:color w:val="000000"/>
          <w:sz w:val="24"/>
          <w:szCs w:val="24"/>
        </w:rPr>
        <w:t>2.1.2</w:t>
      </w:r>
      <w:r w:rsidR="00733C86" w:rsidRPr="00E06584">
        <w:rPr>
          <w:b/>
          <w:bCs/>
          <w:i/>
          <w:iCs/>
          <w:color w:val="000000"/>
          <w:sz w:val="24"/>
          <w:szCs w:val="24"/>
        </w:rPr>
        <w:t xml:space="preserve"> Perceived</w:t>
      </w:r>
      <w:r w:rsidRPr="00E06584">
        <w:rPr>
          <w:b/>
          <w:bCs/>
          <w:i/>
          <w:iCs/>
          <w:color w:val="000000"/>
          <w:sz w:val="24"/>
          <w:szCs w:val="24"/>
        </w:rPr>
        <w:t xml:space="preserve"> Traffic-Safety Concerns</w:t>
      </w:r>
    </w:p>
    <w:p w14:paraId="2F8F4F1B" w14:textId="472FAA54" w:rsidR="00D431C5" w:rsidRDefault="00A032E9" w:rsidP="004247F3">
      <w:pPr>
        <w:pStyle w:val="FootnoteText"/>
        <w:jc w:val="both"/>
        <w:rPr>
          <w:color w:val="000000"/>
          <w:sz w:val="24"/>
          <w:szCs w:val="24"/>
        </w:rPr>
      </w:pPr>
      <w:r w:rsidRPr="00B247EC">
        <w:rPr>
          <w:color w:val="000000"/>
          <w:sz w:val="24"/>
          <w:szCs w:val="24"/>
        </w:rPr>
        <w:t xml:space="preserve">Beyond </w:t>
      </w:r>
      <w:r w:rsidR="009418FC">
        <w:rPr>
          <w:color w:val="000000"/>
          <w:sz w:val="24"/>
          <w:szCs w:val="24"/>
        </w:rPr>
        <w:t>concerns relating to the actual infrastructure environment</w:t>
      </w:r>
      <w:r w:rsidRPr="00B247EC">
        <w:rPr>
          <w:color w:val="000000"/>
          <w:sz w:val="24"/>
          <w:szCs w:val="24"/>
        </w:rPr>
        <w:t xml:space="preserve">, the perceived risk of interacting with motor-vehicle traffic is a central determinant of </w:t>
      </w:r>
      <w:r w:rsidR="00A204E8">
        <w:rPr>
          <w:color w:val="000000"/>
          <w:sz w:val="24"/>
          <w:szCs w:val="24"/>
        </w:rPr>
        <w:t>active travel</w:t>
      </w:r>
      <w:r w:rsidRPr="00B247EC">
        <w:rPr>
          <w:color w:val="000000"/>
          <w:sz w:val="24"/>
          <w:szCs w:val="24"/>
        </w:rPr>
        <w:t xml:space="preserve"> behavior.</w:t>
      </w:r>
      <w:r w:rsidR="006F4BE9">
        <w:rPr>
          <w:color w:val="000000"/>
          <w:sz w:val="24"/>
          <w:szCs w:val="24"/>
        </w:rPr>
        <w:t xml:space="preserve"> Again, </w:t>
      </w:r>
      <w:r w:rsidR="008A1154">
        <w:rPr>
          <w:color w:val="000000"/>
          <w:sz w:val="24"/>
          <w:szCs w:val="24"/>
        </w:rPr>
        <w:t>these perceptions are clearly shaped by objective conditions, but s</w:t>
      </w:r>
      <w:r w:rsidRPr="00B247EC">
        <w:rPr>
          <w:color w:val="000000"/>
          <w:sz w:val="24"/>
          <w:szCs w:val="24"/>
        </w:rPr>
        <w:t xml:space="preserve">ubjective and perceptual factors play a </w:t>
      </w:r>
      <w:r w:rsidR="008A1154">
        <w:rPr>
          <w:color w:val="000000"/>
          <w:sz w:val="24"/>
          <w:szCs w:val="24"/>
        </w:rPr>
        <w:t>large</w:t>
      </w:r>
      <w:r w:rsidR="008A1154" w:rsidRPr="00B247EC">
        <w:rPr>
          <w:color w:val="000000"/>
          <w:sz w:val="24"/>
          <w:szCs w:val="24"/>
        </w:rPr>
        <w:t xml:space="preserve"> </w:t>
      </w:r>
      <w:r w:rsidRPr="00B247EC">
        <w:rPr>
          <w:color w:val="000000"/>
          <w:sz w:val="24"/>
          <w:szCs w:val="24"/>
        </w:rPr>
        <w:t>role in shaping how individuals respond to a given physical environment</w:t>
      </w:r>
      <w:r>
        <w:rPr>
          <w:color w:val="000000"/>
          <w:sz w:val="24"/>
          <w:szCs w:val="24"/>
        </w:rPr>
        <w:t xml:space="preserve"> </w:t>
      </w:r>
      <w:sdt>
        <w:sdtPr>
          <w:rPr>
            <w:color w:val="000000"/>
            <w:sz w:val="24"/>
            <w:szCs w:val="24"/>
          </w:rPr>
          <w:tag w:val="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"/>
          <w:id w:val="-1185125130"/>
          <w:placeholder>
            <w:docPart w:val="DefaultPlaceholder_-1854013440"/>
          </w:placeholder>
        </w:sdtPr>
        <w:sdtEndPr/>
        <w:sdtContent>
          <w:r w:rsidR="000C5DDA" w:rsidRPr="000C5DDA">
            <w:rPr>
              <w:color w:val="000000"/>
              <w:sz w:val="24"/>
              <w:szCs w:val="24"/>
            </w:rPr>
            <w:t>(Winters et al., 2011; Sanders, 2015; Soto et al., 2022)</w:t>
          </w:r>
        </w:sdtContent>
      </w:sdt>
      <w:r w:rsidR="00784EEA">
        <w:rPr>
          <w:color w:val="000000"/>
          <w:sz w:val="24"/>
          <w:szCs w:val="24"/>
        </w:rPr>
        <w:t xml:space="preserve">. </w:t>
      </w:r>
      <w:r w:rsidR="004A382D" w:rsidRPr="00B247EC">
        <w:rPr>
          <w:color w:val="000000"/>
          <w:sz w:val="24"/>
          <w:szCs w:val="24"/>
        </w:rPr>
        <w:t xml:space="preserve">Perceived traffic safety, in particular, has been shown to be an </w:t>
      </w:r>
      <w:r w:rsidR="007F08F0">
        <w:rPr>
          <w:color w:val="000000"/>
          <w:sz w:val="24"/>
          <w:szCs w:val="24"/>
        </w:rPr>
        <w:t xml:space="preserve">important determinant of active travel adoption and usage, with </w:t>
      </w:r>
      <w:r w:rsidR="004A382D" w:rsidRPr="00B247EC">
        <w:rPr>
          <w:color w:val="000000"/>
          <w:sz w:val="24"/>
          <w:szCs w:val="24"/>
        </w:rPr>
        <w:t xml:space="preserve">even objectively favorable features (including green spaces and </w:t>
      </w:r>
      <w:r w:rsidR="00A204E8">
        <w:rPr>
          <w:color w:val="000000"/>
          <w:sz w:val="24"/>
          <w:szCs w:val="24"/>
        </w:rPr>
        <w:t>active travel</w:t>
      </w:r>
      <w:r w:rsidR="004A382D" w:rsidRPr="00B247EC">
        <w:rPr>
          <w:color w:val="000000"/>
          <w:sz w:val="24"/>
          <w:szCs w:val="24"/>
        </w:rPr>
        <w:t xml:space="preserve"> infrastructure) los</w:t>
      </w:r>
      <w:r w:rsidR="007F08F0">
        <w:rPr>
          <w:color w:val="000000"/>
          <w:sz w:val="24"/>
          <w:szCs w:val="24"/>
        </w:rPr>
        <w:t>ing</w:t>
      </w:r>
      <w:r w:rsidR="004A382D" w:rsidRPr="00B247EC">
        <w:rPr>
          <w:color w:val="000000"/>
          <w:sz w:val="24"/>
          <w:szCs w:val="24"/>
        </w:rPr>
        <w:t xml:space="preserve"> much of their beneficial effect when the </w:t>
      </w:r>
      <w:r w:rsidR="00A204E8">
        <w:rPr>
          <w:color w:val="000000"/>
          <w:sz w:val="24"/>
          <w:szCs w:val="24"/>
        </w:rPr>
        <w:t>active travel</w:t>
      </w:r>
      <w:r w:rsidR="004A382D" w:rsidRPr="00B247EC">
        <w:rPr>
          <w:color w:val="000000"/>
          <w:sz w:val="24"/>
          <w:szCs w:val="24"/>
        </w:rPr>
        <w:t xml:space="preserve"> environment is perceived as unsafe in the presence of motor traffic</w:t>
      </w:r>
      <w:r w:rsidR="004A382D">
        <w:rPr>
          <w:color w:val="000000"/>
          <w:sz w:val="24"/>
          <w:szCs w:val="24"/>
        </w:rPr>
        <w:t xml:space="preserve"> </w:t>
      </w:r>
      <w:sdt>
        <w:sdtPr>
          <w:rPr>
            <w:color w:val="000000"/>
            <w:sz w:val="24"/>
            <w:szCs w:val="24"/>
          </w:rPr>
          <w:tag w:val="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"/>
          <w:id w:val="1510637240"/>
          <w:placeholder>
            <w:docPart w:val="DefaultPlaceholder_-1854013440"/>
          </w:placeholder>
        </w:sdtPr>
        <w:sdtEndPr/>
        <w:sdtContent>
          <w:r w:rsidR="000C5DDA" w:rsidRPr="000C5DDA">
            <w:rPr>
              <w:color w:val="000000"/>
              <w:sz w:val="24"/>
            </w:rPr>
            <w:t>(Ogilvie et al., 2010; Sundling and Jakobsson, 2023)</w:t>
          </w:r>
        </w:sdtContent>
      </w:sdt>
      <w:r w:rsidR="002C13C6">
        <w:rPr>
          <w:color w:val="000000"/>
          <w:sz w:val="24"/>
          <w:szCs w:val="24"/>
        </w:rPr>
        <w:t>.</w:t>
      </w:r>
      <w:r w:rsidR="007F08F0">
        <w:rPr>
          <w:color w:val="000000"/>
          <w:sz w:val="24"/>
          <w:szCs w:val="24"/>
        </w:rPr>
        <w:t xml:space="preserve"> In this context,</w:t>
      </w:r>
      <w:r w:rsidR="003A0209" w:rsidRPr="00B247EC">
        <w:rPr>
          <w:color w:val="000000"/>
          <w:sz w:val="24"/>
          <w:szCs w:val="24"/>
        </w:rPr>
        <w:t xml:space="preserve"> fear and perceived risk can directly constrain active</w:t>
      </w:r>
      <w:r w:rsidR="006B0147">
        <w:rPr>
          <w:color w:val="000000"/>
          <w:sz w:val="24"/>
          <w:szCs w:val="24"/>
        </w:rPr>
        <w:t xml:space="preserve"> </w:t>
      </w:r>
      <w:r w:rsidR="003A0209" w:rsidRPr="00B247EC">
        <w:rPr>
          <w:color w:val="000000"/>
          <w:sz w:val="24"/>
          <w:szCs w:val="24"/>
        </w:rPr>
        <w:t xml:space="preserve">travel behavior even when objective danger is limited, with individuals reporting multiple distinct sources of traffic-related fear (including aggressive driving behavior, distracted drivers, </w:t>
      </w:r>
      <w:r w:rsidR="009859C2">
        <w:rPr>
          <w:color w:val="000000"/>
          <w:sz w:val="24"/>
          <w:szCs w:val="24"/>
        </w:rPr>
        <w:t xml:space="preserve">high </w:t>
      </w:r>
      <w:r w:rsidR="003A0209" w:rsidRPr="00B247EC">
        <w:rPr>
          <w:color w:val="000000"/>
          <w:sz w:val="24"/>
          <w:szCs w:val="24"/>
        </w:rPr>
        <w:t xml:space="preserve">vehicle speeds, and </w:t>
      </w:r>
      <w:r w:rsidR="009859C2">
        <w:rPr>
          <w:color w:val="000000"/>
          <w:sz w:val="24"/>
          <w:szCs w:val="24"/>
        </w:rPr>
        <w:t>vehic</w:t>
      </w:r>
      <w:r w:rsidR="0059299D">
        <w:rPr>
          <w:color w:val="000000"/>
          <w:sz w:val="24"/>
          <w:szCs w:val="24"/>
        </w:rPr>
        <w:t xml:space="preserve">le interactions caused by </w:t>
      </w:r>
      <w:r w:rsidR="003A0209" w:rsidRPr="00B247EC">
        <w:rPr>
          <w:color w:val="000000"/>
          <w:sz w:val="24"/>
          <w:szCs w:val="24"/>
        </w:rPr>
        <w:t>poor roadway infrastructure), each of which may discourage active travel for different reasons and through different mechanisms</w:t>
      </w:r>
      <w:r w:rsidR="00CD126A">
        <w:rPr>
          <w:color w:val="000000"/>
          <w:sz w:val="24"/>
          <w:szCs w:val="24"/>
        </w:rPr>
        <w:t xml:space="preserve"> </w:t>
      </w:r>
      <w:sdt>
        <w:sdtPr>
          <w:rPr>
            <w:color w:val="000000"/>
            <w:sz w:val="24"/>
            <w:szCs w:val="24"/>
          </w:rPr>
          <w:tag w:val="MENDELEY_CITATION_v3_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"/>
          <w:id w:val="-641652099"/>
          <w:placeholder>
            <w:docPart w:val="DefaultPlaceholder_-1854013440"/>
          </w:placeholder>
        </w:sdtPr>
        <w:sdtEndPr/>
        <w:sdtContent>
          <w:r w:rsidR="000C5DDA" w:rsidRPr="000C5DDA">
            <w:rPr>
              <w:color w:val="000000"/>
              <w:sz w:val="24"/>
              <w:szCs w:val="24"/>
            </w:rPr>
            <w:t>(Schneider et al., 2022; Duren et al., 2023)</w:t>
          </w:r>
        </w:sdtContent>
      </w:sdt>
      <w:r w:rsidR="002B0C60">
        <w:rPr>
          <w:color w:val="000000"/>
          <w:sz w:val="24"/>
          <w:szCs w:val="24"/>
        </w:rPr>
        <w:t xml:space="preserve">. </w:t>
      </w:r>
      <w:r w:rsidR="007F08F0">
        <w:rPr>
          <w:color w:val="000000"/>
          <w:sz w:val="24"/>
          <w:szCs w:val="24"/>
        </w:rPr>
        <w:t>B</w:t>
      </w:r>
      <w:r w:rsidR="007F08F0" w:rsidRPr="00B247EC">
        <w:rPr>
          <w:color w:val="000000"/>
          <w:sz w:val="24"/>
          <w:szCs w:val="24"/>
        </w:rPr>
        <w:t xml:space="preserve">ut the underlying pattern of perceived danger from motor traffic as a primary </w:t>
      </w:r>
      <w:r w:rsidR="007F08F0">
        <w:rPr>
          <w:color w:val="000000"/>
          <w:sz w:val="24"/>
          <w:szCs w:val="24"/>
        </w:rPr>
        <w:t>barrier</w:t>
      </w:r>
      <w:r w:rsidR="007F08F0" w:rsidRPr="00B247EC">
        <w:rPr>
          <w:color w:val="000000"/>
          <w:sz w:val="24"/>
          <w:szCs w:val="24"/>
        </w:rPr>
        <w:t xml:space="preserve"> to activ</w:t>
      </w:r>
      <w:r w:rsidR="007F08F0">
        <w:rPr>
          <w:color w:val="000000"/>
          <w:sz w:val="24"/>
          <w:szCs w:val="24"/>
        </w:rPr>
        <w:t xml:space="preserve">e </w:t>
      </w:r>
      <w:r w:rsidR="007F08F0" w:rsidRPr="00B247EC">
        <w:rPr>
          <w:color w:val="000000"/>
          <w:sz w:val="24"/>
          <w:szCs w:val="24"/>
        </w:rPr>
        <w:t xml:space="preserve">mode use is robust </w:t>
      </w:r>
      <w:r w:rsidR="007F08F0">
        <w:rPr>
          <w:color w:val="000000"/>
          <w:sz w:val="24"/>
          <w:szCs w:val="24"/>
        </w:rPr>
        <w:t xml:space="preserve">across many studies </w:t>
      </w:r>
      <w:r w:rsidR="00E04C9F">
        <w:rPr>
          <w:color w:val="000000"/>
          <w:sz w:val="24"/>
          <w:szCs w:val="24"/>
        </w:rPr>
        <w:t xml:space="preserve">(for example, </w:t>
      </w:r>
      <w:sdt>
        <w:sdtPr>
          <w:rPr>
            <w:color w:val="000000"/>
            <w:sz w:val="24"/>
            <w:szCs w:val="24"/>
          </w:rPr>
          <w:tag w:val="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"/>
          <w:id w:val="-1994869134"/>
          <w:placeholder>
            <w:docPart w:val="6A31DD834A334B029E6C6E527380D6C5"/>
          </w:placeholder>
        </w:sdtPr>
        <w:sdtEndPr/>
        <w:sdtContent>
          <w:r w:rsidR="000C5DDA" w:rsidRPr="000C5DDA">
            <w:rPr>
              <w:color w:val="000000"/>
              <w:sz w:val="24"/>
            </w:rPr>
            <w:t>Heinen et al., 2010; Sanders et al., 2020; Soto et al., 2022; Badia and Jenelius, 2023</w:t>
          </w:r>
        </w:sdtContent>
      </w:sdt>
      <w:r w:rsidR="00E04C9F">
        <w:rPr>
          <w:color w:val="000000"/>
          <w:sz w:val="24"/>
          <w:szCs w:val="24"/>
        </w:rPr>
        <w:t>)</w:t>
      </w:r>
      <w:r w:rsidR="007F08F0">
        <w:rPr>
          <w:color w:val="000000"/>
          <w:sz w:val="24"/>
          <w:szCs w:val="24"/>
        </w:rPr>
        <w:t xml:space="preserve">, even as the intensity of </w:t>
      </w:r>
      <w:r w:rsidR="00E913A4" w:rsidRPr="00B247EC">
        <w:rPr>
          <w:color w:val="000000"/>
          <w:sz w:val="24"/>
          <w:szCs w:val="24"/>
        </w:rPr>
        <w:t>traffic-safety concerns</w:t>
      </w:r>
      <w:r w:rsidR="007F08F0">
        <w:rPr>
          <w:color w:val="000000"/>
          <w:sz w:val="24"/>
          <w:szCs w:val="24"/>
        </w:rPr>
        <w:t xml:space="preserve"> var</w:t>
      </w:r>
      <w:r w:rsidR="00B11A97">
        <w:rPr>
          <w:color w:val="000000"/>
          <w:sz w:val="24"/>
          <w:szCs w:val="24"/>
        </w:rPr>
        <w:t>ies</w:t>
      </w:r>
      <w:r w:rsidR="007F08F0">
        <w:rPr>
          <w:color w:val="000000"/>
          <w:sz w:val="24"/>
          <w:szCs w:val="24"/>
        </w:rPr>
        <w:t xml:space="preserve"> </w:t>
      </w:r>
      <w:r w:rsidR="00EC3AD6">
        <w:rPr>
          <w:color w:val="000000"/>
          <w:sz w:val="24"/>
          <w:szCs w:val="24"/>
        </w:rPr>
        <w:t>across demographic groups</w:t>
      </w:r>
      <w:r w:rsidR="007F08F0">
        <w:rPr>
          <w:color w:val="000000"/>
          <w:sz w:val="24"/>
          <w:szCs w:val="24"/>
        </w:rPr>
        <w:t xml:space="preserve">. </w:t>
      </w:r>
      <w:r w:rsidR="00B17A8D">
        <w:rPr>
          <w:color w:val="000000"/>
          <w:sz w:val="24"/>
          <w:szCs w:val="24"/>
        </w:rPr>
        <w:t>Thus, t</w:t>
      </w:r>
      <w:r w:rsidR="00BA123F" w:rsidRPr="00BA123F">
        <w:rPr>
          <w:color w:val="000000"/>
          <w:sz w:val="24"/>
          <w:szCs w:val="24"/>
        </w:rPr>
        <w:t xml:space="preserve">raffic-safety </w:t>
      </w:r>
      <w:r w:rsidR="00B17A8D">
        <w:rPr>
          <w:color w:val="000000"/>
          <w:sz w:val="24"/>
          <w:szCs w:val="24"/>
        </w:rPr>
        <w:t>risks</w:t>
      </w:r>
      <w:r w:rsidR="00BA123F" w:rsidRPr="00BA123F">
        <w:rPr>
          <w:color w:val="000000"/>
          <w:sz w:val="24"/>
          <w:szCs w:val="24"/>
        </w:rPr>
        <w:t xml:space="preserve"> weigh especially heavily on women, suppressing bicycling</w:t>
      </w:r>
      <w:r w:rsidR="00BA123F">
        <w:rPr>
          <w:color w:val="000000"/>
          <w:sz w:val="24"/>
          <w:szCs w:val="24"/>
        </w:rPr>
        <w:t xml:space="preserve"> </w:t>
      </w:r>
      <w:r w:rsidR="00B17A8D">
        <w:rPr>
          <w:color w:val="000000"/>
          <w:sz w:val="24"/>
          <w:szCs w:val="24"/>
        </w:rPr>
        <w:t xml:space="preserve">tendency </w:t>
      </w:r>
      <w:sdt>
        <w:sdtPr>
          <w:rPr>
            <w:color w:val="000000"/>
            <w:sz w:val="24"/>
            <w:szCs w:val="24"/>
          </w:rPr>
          <w:tag w:val="MENDELEY_CITATION_v3_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"/>
          <w:id w:val="1896629076"/>
          <w:placeholder>
            <w:docPart w:val="8F3F689738FC412397646AB21D9331DF"/>
          </w:placeholder>
        </w:sdtPr>
        <w:sdtEndPr/>
        <w:sdtContent>
          <w:r w:rsidR="000C5DDA" w:rsidRPr="000C5DDA">
            <w:rPr>
              <w:color w:val="000000"/>
              <w:sz w:val="24"/>
              <w:szCs w:val="24"/>
            </w:rPr>
            <w:t>(Garrard et al., 2008; Prati et al., 2019)</w:t>
          </w:r>
        </w:sdtContent>
      </w:sdt>
      <w:r w:rsidR="00BA123F" w:rsidRPr="00BA123F">
        <w:rPr>
          <w:color w:val="000000"/>
          <w:sz w:val="24"/>
          <w:szCs w:val="24"/>
        </w:rPr>
        <w:t xml:space="preserve">. </w:t>
      </w:r>
      <w:r w:rsidR="00B17A8D">
        <w:rPr>
          <w:color w:val="000000"/>
          <w:sz w:val="24"/>
          <w:szCs w:val="24"/>
        </w:rPr>
        <w:t>Such safety</w:t>
      </w:r>
      <w:r w:rsidR="00BA123F" w:rsidRPr="00BA123F">
        <w:rPr>
          <w:color w:val="000000"/>
          <w:sz w:val="24"/>
          <w:szCs w:val="24"/>
        </w:rPr>
        <w:t xml:space="preserve"> concerns, along with comfort and physical accessibility, also become more salient with age</w:t>
      </w:r>
      <w:r w:rsidR="00BF3D04">
        <w:rPr>
          <w:color w:val="000000"/>
          <w:sz w:val="24"/>
          <w:szCs w:val="24"/>
        </w:rPr>
        <w:t xml:space="preserve"> </w:t>
      </w:r>
      <w:sdt>
        <w:sdtPr>
          <w:rPr>
            <w:color w:val="000000"/>
            <w:sz w:val="24"/>
            <w:szCs w:val="24"/>
          </w:rPr>
          <w:tag w:val="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"/>
          <w:id w:val="1548724062"/>
          <w:placeholder>
            <w:docPart w:val="DefaultPlaceholder_-1854013440"/>
          </w:placeholder>
        </w:sdtPr>
        <w:sdtEndPr/>
        <w:sdtContent>
          <w:r w:rsidR="000C5DDA" w:rsidRPr="000C5DDA">
            <w:rPr>
              <w:color w:val="000000"/>
              <w:sz w:val="24"/>
              <w:szCs w:val="24"/>
            </w:rPr>
            <w:t>(Van Cauwenberg et al., 2012; Brüchert et al., 2022)</w:t>
          </w:r>
        </w:sdtContent>
      </w:sdt>
      <w:r w:rsidR="00B17A8D">
        <w:rPr>
          <w:color w:val="000000"/>
          <w:sz w:val="24"/>
          <w:szCs w:val="24"/>
        </w:rPr>
        <w:t>. Further,</w:t>
      </w:r>
      <w:r w:rsidR="00BA123F" w:rsidRPr="00BA123F">
        <w:rPr>
          <w:color w:val="000000"/>
          <w:sz w:val="24"/>
          <w:szCs w:val="24"/>
        </w:rPr>
        <w:t xml:space="preserve"> parental traffic-safety concerns are a documented barrier to children walking to school</w:t>
      </w:r>
      <w:r w:rsidR="009F18A4">
        <w:rPr>
          <w:color w:val="000000"/>
          <w:sz w:val="24"/>
          <w:szCs w:val="24"/>
        </w:rPr>
        <w:t xml:space="preserve"> </w:t>
      </w:r>
      <w:sdt>
        <w:sdtPr>
          <w:rPr>
            <w:color w:val="000000"/>
            <w:sz w:val="24"/>
            <w:szCs w:val="24"/>
          </w:rPr>
          <w:tag w:val="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"/>
          <w:id w:val="1687716414"/>
          <w:placeholder>
            <w:docPart w:val="DefaultPlaceholder_-1854013440"/>
          </w:placeholder>
        </w:sdtPr>
        <w:sdtEndPr/>
        <w:sdtContent>
          <w:r w:rsidR="000C5DDA" w:rsidRPr="000C5DDA">
            <w:rPr>
              <w:color w:val="000000"/>
              <w:sz w:val="24"/>
              <w:szCs w:val="24"/>
            </w:rPr>
            <w:t>(Oluyomi et al., 2014; Bruner et al., 2023)</w:t>
          </w:r>
        </w:sdtContent>
      </w:sdt>
      <w:r w:rsidR="00BA123F" w:rsidRPr="00BA123F">
        <w:rPr>
          <w:color w:val="000000"/>
          <w:sz w:val="24"/>
          <w:szCs w:val="24"/>
        </w:rPr>
        <w:t>.</w:t>
      </w:r>
    </w:p>
    <w:p w14:paraId="0AA63A87" w14:textId="77777777" w:rsidR="004247F3" w:rsidRDefault="004247F3" w:rsidP="004247F3">
      <w:pPr>
        <w:pStyle w:val="FootnoteText"/>
        <w:jc w:val="both"/>
        <w:rPr>
          <w:color w:val="000000"/>
          <w:sz w:val="24"/>
          <w:szCs w:val="24"/>
        </w:rPr>
      </w:pPr>
    </w:p>
    <w:p w14:paraId="636118C9" w14:textId="3E104F00" w:rsidR="00754DD3" w:rsidRPr="00E06584" w:rsidRDefault="00754DD3" w:rsidP="004247F3">
      <w:pPr>
        <w:rPr>
          <w:i/>
          <w:iCs/>
        </w:rPr>
      </w:pPr>
      <w:r w:rsidRPr="00E06584">
        <w:rPr>
          <w:b/>
          <w:bCs/>
          <w:i/>
          <w:iCs/>
          <w:sz w:val="24"/>
          <w:szCs w:val="24"/>
        </w:rPr>
        <w:t>2.1.3 Perceived Personal-Security Concerns</w:t>
      </w:r>
    </w:p>
    <w:p w14:paraId="770E5ACC" w14:textId="7C536007" w:rsidR="00022F47" w:rsidRDefault="006F1F60" w:rsidP="004247F3">
      <w:pPr>
        <w:pStyle w:val="FootnoteText"/>
        <w:jc w:val="both"/>
        <w:rPr>
          <w:color w:val="000000"/>
          <w:sz w:val="24"/>
          <w:szCs w:val="24"/>
        </w:rPr>
      </w:pPr>
      <w:r w:rsidRPr="00B247EC">
        <w:rPr>
          <w:color w:val="000000"/>
          <w:sz w:val="24"/>
          <w:szCs w:val="24"/>
        </w:rPr>
        <w:t>Personal-security concerns refer to the perceived risk of harassment, intimidation, or harm from other people in the active</w:t>
      </w:r>
      <w:r w:rsidR="00A3784D">
        <w:rPr>
          <w:color w:val="000000"/>
          <w:sz w:val="24"/>
          <w:szCs w:val="24"/>
        </w:rPr>
        <w:t xml:space="preserve"> </w:t>
      </w:r>
      <w:r w:rsidRPr="00B247EC">
        <w:rPr>
          <w:color w:val="000000"/>
          <w:sz w:val="24"/>
          <w:szCs w:val="24"/>
        </w:rPr>
        <w:t xml:space="preserve">travel environment. These concerns are conceptually distinct from </w:t>
      </w:r>
      <w:r w:rsidRPr="00B247EC">
        <w:rPr>
          <w:color w:val="000000"/>
          <w:sz w:val="24"/>
          <w:szCs w:val="24"/>
        </w:rPr>
        <w:lastRenderedPageBreak/>
        <w:t>traffic-safety concerns and</w:t>
      </w:r>
      <w:r w:rsidR="00505567">
        <w:rPr>
          <w:color w:val="000000"/>
          <w:sz w:val="24"/>
          <w:szCs w:val="24"/>
        </w:rPr>
        <w:t>, albeit not as extensively studied as the safety considerations,</w:t>
      </w:r>
      <w:r w:rsidRPr="00B247EC">
        <w:rPr>
          <w:color w:val="000000"/>
          <w:sz w:val="24"/>
          <w:szCs w:val="24"/>
        </w:rPr>
        <w:t xml:space="preserve"> have been shown to operate through their own pathways. Perceived neighborhood safety from crime, social disorder, and threatening encounters is associated with higher rates of walking and bicycling, </w:t>
      </w:r>
      <w:r w:rsidR="00D42D88">
        <w:rPr>
          <w:color w:val="000000"/>
          <w:sz w:val="24"/>
          <w:szCs w:val="24"/>
        </w:rPr>
        <w:t>while</w:t>
      </w:r>
      <w:r w:rsidRPr="00B247EC">
        <w:rPr>
          <w:color w:val="000000"/>
          <w:sz w:val="24"/>
          <w:szCs w:val="24"/>
        </w:rPr>
        <w:t xml:space="preserve"> individuals who feel less secure in their neighborhood are significantly less likely to walk than those who report feeling more secure</w:t>
      </w:r>
      <w:r w:rsidR="00170909">
        <w:rPr>
          <w:color w:val="000000"/>
          <w:sz w:val="24"/>
          <w:szCs w:val="24"/>
        </w:rPr>
        <w:t xml:space="preserve"> </w:t>
      </w:r>
      <w:sdt>
        <w:sdtPr>
          <w:rPr>
            <w:color w:val="000000"/>
            <w:sz w:val="24"/>
            <w:szCs w:val="24"/>
          </w:rPr>
          <w:tag w:val="MENDELEY_CITATION_v3_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"/>
          <w:id w:val="-2035412695"/>
          <w:placeholder>
            <w:docPart w:val="DefaultPlaceholder_-1854013440"/>
          </w:placeholder>
        </w:sdtPr>
        <w:sdtEndPr/>
        <w:sdtContent>
          <w:r w:rsidR="000C5DDA" w:rsidRPr="000C5DDA">
            <w:rPr>
              <w:color w:val="000000"/>
              <w:sz w:val="24"/>
              <w:szCs w:val="24"/>
            </w:rPr>
            <w:t>(Evenson et al., 2012; Foster et al., 2021)</w:t>
          </w:r>
        </w:sdtContent>
      </w:sdt>
      <w:r>
        <w:rPr>
          <w:color w:val="000000"/>
          <w:sz w:val="24"/>
          <w:szCs w:val="24"/>
        </w:rPr>
        <w:t xml:space="preserve">. </w:t>
      </w:r>
      <w:r w:rsidR="00265BCD" w:rsidRPr="00265BCD">
        <w:rPr>
          <w:color w:val="000000"/>
          <w:sz w:val="24"/>
          <w:szCs w:val="24"/>
        </w:rPr>
        <w:t>Antisocial behaviors and personal-security concerns along active</w:t>
      </w:r>
      <w:r w:rsidR="00393AAF">
        <w:rPr>
          <w:color w:val="000000"/>
          <w:sz w:val="24"/>
          <w:szCs w:val="24"/>
        </w:rPr>
        <w:t xml:space="preserve"> </w:t>
      </w:r>
      <w:r w:rsidR="00265BCD" w:rsidRPr="00265BCD">
        <w:rPr>
          <w:color w:val="000000"/>
          <w:sz w:val="24"/>
          <w:szCs w:val="24"/>
        </w:rPr>
        <w:t xml:space="preserve">travel routes have </w:t>
      </w:r>
      <w:r w:rsidR="00505567">
        <w:rPr>
          <w:color w:val="000000"/>
          <w:sz w:val="24"/>
          <w:szCs w:val="24"/>
        </w:rPr>
        <w:t xml:space="preserve">also </w:t>
      </w:r>
      <w:r w:rsidR="00265BCD" w:rsidRPr="00265BCD">
        <w:rPr>
          <w:color w:val="000000"/>
          <w:sz w:val="24"/>
          <w:szCs w:val="24"/>
        </w:rPr>
        <w:t xml:space="preserve">been identified as </w:t>
      </w:r>
      <w:r w:rsidR="009D2B0E">
        <w:rPr>
          <w:color w:val="000000"/>
          <w:sz w:val="24"/>
          <w:szCs w:val="24"/>
        </w:rPr>
        <w:t>barrier</w:t>
      </w:r>
      <w:r w:rsidR="00265BCD" w:rsidRPr="00265BCD">
        <w:rPr>
          <w:color w:val="000000"/>
          <w:sz w:val="24"/>
          <w:szCs w:val="24"/>
        </w:rPr>
        <w:t>s to walking and bicycling</w:t>
      </w:r>
      <w:r w:rsidR="00170909">
        <w:rPr>
          <w:color w:val="000000"/>
          <w:sz w:val="24"/>
          <w:szCs w:val="24"/>
        </w:rPr>
        <w:t xml:space="preserve"> </w:t>
      </w:r>
      <w:sdt>
        <w:sdtPr>
          <w:rPr>
            <w:color w:val="000000"/>
            <w:sz w:val="24"/>
            <w:szCs w:val="24"/>
          </w:rPr>
          <w:tag w:val="MENDELEY_CITATION_v3_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"/>
          <w:id w:val="-1615360197"/>
          <w:placeholder>
            <w:docPart w:val="DefaultPlaceholder_-1854013440"/>
          </w:placeholder>
        </w:sdtPr>
        <w:sdtEndPr/>
        <w:sdtContent>
          <w:r w:rsidR="000C5DDA" w:rsidRPr="000C5DDA">
            <w:rPr>
              <w:color w:val="000000"/>
              <w:sz w:val="24"/>
            </w:rPr>
            <w:t>(Mason et al., 2013; Ravensbergen et al., 2020a)</w:t>
          </w:r>
        </w:sdtContent>
      </w:sdt>
      <w:r w:rsidR="006C3511">
        <w:rPr>
          <w:color w:val="000000"/>
          <w:sz w:val="24"/>
          <w:szCs w:val="24"/>
        </w:rPr>
        <w:t xml:space="preserve">. </w:t>
      </w:r>
      <w:r w:rsidR="008C55AF" w:rsidRPr="000C1B01">
        <w:rPr>
          <w:color w:val="000000"/>
          <w:sz w:val="24"/>
          <w:szCs w:val="24"/>
        </w:rPr>
        <w:t>These concerns are not experienced uniformly across the population. Women consistently report substantially higher personal-security concerns than men in active</w:t>
      </w:r>
      <w:r w:rsidR="00E00A31">
        <w:rPr>
          <w:color w:val="000000"/>
          <w:sz w:val="24"/>
          <w:szCs w:val="24"/>
        </w:rPr>
        <w:t xml:space="preserve"> </w:t>
      </w:r>
      <w:r w:rsidR="008C55AF" w:rsidRPr="000C1B01">
        <w:rPr>
          <w:color w:val="000000"/>
          <w:sz w:val="24"/>
          <w:szCs w:val="24"/>
        </w:rPr>
        <w:t xml:space="preserve">travel contexts, </w:t>
      </w:r>
      <w:r w:rsidR="00505567">
        <w:rPr>
          <w:color w:val="000000"/>
          <w:sz w:val="24"/>
          <w:szCs w:val="24"/>
        </w:rPr>
        <w:t xml:space="preserve">which </w:t>
      </w:r>
      <w:r w:rsidR="00026472">
        <w:rPr>
          <w:color w:val="000000"/>
          <w:sz w:val="24"/>
          <w:szCs w:val="24"/>
        </w:rPr>
        <w:t xml:space="preserve">directly influence their intended and </w:t>
      </w:r>
      <w:r w:rsidR="00505567">
        <w:rPr>
          <w:color w:val="000000"/>
          <w:sz w:val="24"/>
          <w:szCs w:val="24"/>
        </w:rPr>
        <w:t>manifested</w:t>
      </w:r>
      <w:r w:rsidR="00026472">
        <w:rPr>
          <w:color w:val="000000"/>
          <w:sz w:val="24"/>
          <w:szCs w:val="24"/>
        </w:rPr>
        <w:t xml:space="preserve"> active travel behaviors</w:t>
      </w:r>
      <w:r w:rsidR="006507C4">
        <w:rPr>
          <w:color w:val="000000"/>
          <w:sz w:val="24"/>
          <w:szCs w:val="24"/>
        </w:rPr>
        <w:t xml:space="preserve"> </w:t>
      </w:r>
      <w:sdt>
        <w:sdtPr>
          <w:rPr>
            <w:color w:val="000000"/>
            <w:sz w:val="24"/>
            <w:szCs w:val="24"/>
          </w:rPr>
          <w:tag w:val="MENDELEY_CITATION_v3_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"/>
          <w:id w:val="455374214"/>
          <w:placeholder>
            <w:docPart w:val="DefaultPlaceholder_-1854013440"/>
          </w:placeholder>
        </w:sdtPr>
        <w:sdtEndPr/>
        <w:sdtContent>
          <w:r w:rsidR="000C5DDA" w:rsidRPr="000C5DDA">
            <w:rPr>
              <w:color w:val="000000"/>
              <w:sz w:val="24"/>
            </w:rPr>
            <w:t>(Stark and Meschik, 2018; Graystone et al., 2022)</w:t>
          </w:r>
        </w:sdtContent>
      </w:sdt>
      <w:r w:rsidR="00E92D6B">
        <w:rPr>
          <w:color w:val="000000"/>
          <w:sz w:val="24"/>
          <w:szCs w:val="24"/>
        </w:rPr>
        <w:t>.</w:t>
      </w:r>
    </w:p>
    <w:p w14:paraId="2597FA16" w14:textId="77777777" w:rsidR="004247F3" w:rsidRPr="00B247EC" w:rsidRDefault="004247F3" w:rsidP="004247F3">
      <w:pPr>
        <w:pStyle w:val="FootnoteText"/>
        <w:jc w:val="both"/>
        <w:rPr>
          <w:color w:val="000000"/>
          <w:sz w:val="24"/>
          <w:szCs w:val="24"/>
        </w:rPr>
      </w:pPr>
    </w:p>
    <w:p w14:paraId="5D321AAF" w14:textId="77777777" w:rsidR="00BE2AC1" w:rsidRPr="00E06584" w:rsidRDefault="00BE2AC1" w:rsidP="004247F3">
      <w:pPr>
        <w:rPr>
          <w:i/>
          <w:iCs/>
        </w:rPr>
      </w:pPr>
      <w:r w:rsidRPr="00E06584">
        <w:rPr>
          <w:b/>
          <w:bCs/>
          <w:i/>
          <w:iCs/>
          <w:sz w:val="24"/>
          <w:szCs w:val="24"/>
        </w:rPr>
        <w:t>2.1.4 Practical and Situational Constraints</w:t>
      </w:r>
    </w:p>
    <w:p w14:paraId="15997DE9" w14:textId="4078F554" w:rsidR="00F44A7A" w:rsidRDefault="00C16ECF" w:rsidP="004247F3">
      <w:pPr>
        <w:pStyle w:val="FootnoteText"/>
        <w:jc w:val="both"/>
        <w:rPr>
          <w:color w:val="000000"/>
          <w:sz w:val="24"/>
          <w:szCs w:val="24"/>
        </w:rPr>
      </w:pPr>
      <w:r w:rsidRPr="00C16ECF">
        <w:rPr>
          <w:color w:val="000000"/>
          <w:sz w:val="24"/>
          <w:szCs w:val="24"/>
        </w:rPr>
        <w:t xml:space="preserve">Beyond infrastructure quality and safety perceptions, a range of practical and situational factors determines whether active travel is even a feasible option for a given individual in a </w:t>
      </w:r>
      <w:r w:rsidR="00B612B5">
        <w:rPr>
          <w:color w:val="000000"/>
          <w:sz w:val="24"/>
          <w:szCs w:val="24"/>
        </w:rPr>
        <w:t>particular</w:t>
      </w:r>
      <w:r w:rsidRPr="00C16ECF">
        <w:rPr>
          <w:color w:val="000000"/>
          <w:sz w:val="24"/>
          <w:szCs w:val="24"/>
        </w:rPr>
        <w:t xml:space="preserve"> context. Mobility limitations, time constraints, daily responsibilities, weather, and the need to carry goods or accompany others </w:t>
      </w:r>
      <w:r w:rsidR="007C0292">
        <w:rPr>
          <w:color w:val="000000"/>
          <w:sz w:val="24"/>
          <w:szCs w:val="24"/>
        </w:rPr>
        <w:t>may</w:t>
      </w:r>
      <w:r w:rsidR="007C0292" w:rsidRPr="00C16ECF">
        <w:rPr>
          <w:color w:val="000000"/>
          <w:sz w:val="24"/>
          <w:szCs w:val="24"/>
        </w:rPr>
        <w:t xml:space="preserve"> </w:t>
      </w:r>
      <w:r w:rsidRPr="00C16ECF">
        <w:rPr>
          <w:color w:val="000000"/>
          <w:sz w:val="24"/>
          <w:szCs w:val="24"/>
        </w:rPr>
        <w:t xml:space="preserve">all </w:t>
      </w:r>
      <w:r w:rsidR="00F27599">
        <w:rPr>
          <w:color w:val="000000"/>
          <w:sz w:val="24"/>
          <w:szCs w:val="24"/>
        </w:rPr>
        <w:t>cause</w:t>
      </w:r>
      <w:r w:rsidRPr="00C16ECF">
        <w:rPr>
          <w:color w:val="000000"/>
          <w:sz w:val="24"/>
          <w:szCs w:val="24"/>
        </w:rPr>
        <w:t xml:space="preserve"> walking, bi</w:t>
      </w:r>
      <w:r w:rsidR="00216282">
        <w:rPr>
          <w:color w:val="000000"/>
          <w:sz w:val="24"/>
          <w:szCs w:val="24"/>
        </w:rPr>
        <w:t>cycling</w:t>
      </w:r>
      <w:r w:rsidRPr="00C16ECF">
        <w:rPr>
          <w:color w:val="000000"/>
          <w:sz w:val="24"/>
          <w:szCs w:val="24"/>
        </w:rPr>
        <w:t>, or using e-scooters</w:t>
      </w:r>
      <w:r w:rsidR="00E27A60">
        <w:rPr>
          <w:color w:val="000000"/>
          <w:sz w:val="24"/>
          <w:szCs w:val="24"/>
        </w:rPr>
        <w:t xml:space="preserve"> to</w:t>
      </w:r>
      <w:r w:rsidRPr="00C16ECF">
        <w:rPr>
          <w:color w:val="000000"/>
          <w:sz w:val="24"/>
          <w:szCs w:val="24"/>
        </w:rPr>
        <w:t xml:space="preserve"> </w:t>
      </w:r>
      <w:r w:rsidR="007C0292">
        <w:rPr>
          <w:color w:val="000000"/>
          <w:sz w:val="24"/>
          <w:szCs w:val="24"/>
        </w:rPr>
        <w:t>be perceived as less practical</w:t>
      </w:r>
      <w:r w:rsidR="000D778B">
        <w:rPr>
          <w:color w:val="000000"/>
          <w:sz w:val="24"/>
          <w:szCs w:val="24"/>
        </w:rPr>
        <w:t xml:space="preserve"> </w:t>
      </w:r>
      <w:sdt>
        <w:sdtPr>
          <w:rPr>
            <w:color w:val="000000"/>
            <w:sz w:val="24"/>
            <w:szCs w:val="24"/>
          </w:rPr>
          <w:tag w:val="MENDELEY_CITATION_v3_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"/>
          <w:id w:val="971404511"/>
          <w:placeholder>
            <w:docPart w:val="DefaultPlaceholder_-1854013440"/>
          </w:placeholder>
        </w:sdtPr>
        <w:sdtEndPr/>
        <w:sdtContent>
          <w:r w:rsidR="000C5DDA" w:rsidRPr="000C5DDA">
            <w:rPr>
              <w:color w:val="000000"/>
              <w:sz w:val="24"/>
              <w:szCs w:val="24"/>
            </w:rPr>
            <w:t>(Heinen et al., 2010; Belloc et al., 2025)</w:t>
          </w:r>
        </w:sdtContent>
      </w:sdt>
      <w:r w:rsidRPr="00C16ECF">
        <w:rPr>
          <w:color w:val="000000"/>
          <w:sz w:val="24"/>
          <w:szCs w:val="24"/>
        </w:rPr>
        <w:t xml:space="preserve">. </w:t>
      </w:r>
      <w:r w:rsidR="009B36DD">
        <w:rPr>
          <w:color w:val="000000"/>
          <w:sz w:val="24"/>
          <w:szCs w:val="24"/>
        </w:rPr>
        <w:t>Among</w:t>
      </w:r>
      <w:r w:rsidRPr="00C16ECF">
        <w:rPr>
          <w:color w:val="000000"/>
          <w:sz w:val="24"/>
          <w:szCs w:val="24"/>
        </w:rPr>
        <w:t xml:space="preserve"> these</w:t>
      </w:r>
      <w:r w:rsidR="009B36DD">
        <w:rPr>
          <w:color w:val="000000"/>
          <w:sz w:val="24"/>
          <w:szCs w:val="24"/>
        </w:rPr>
        <w:t xml:space="preserve"> factors</w:t>
      </w:r>
      <w:r w:rsidRPr="00C16ECF">
        <w:rPr>
          <w:color w:val="000000"/>
          <w:sz w:val="24"/>
          <w:szCs w:val="24"/>
        </w:rPr>
        <w:t xml:space="preserve">, </w:t>
      </w:r>
      <w:r w:rsidR="009B36DD">
        <w:rPr>
          <w:color w:val="000000"/>
          <w:sz w:val="24"/>
          <w:szCs w:val="24"/>
        </w:rPr>
        <w:t xml:space="preserve">inclement </w:t>
      </w:r>
      <w:r w:rsidRPr="00C16ECF">
        <w:rPr>
          <w:color w:val="000000"/>
          <w:sz w:val="24"/>
          <w:szCs w:val="24"/>
        </w:rPr>
        <w:t xml:space="preserve">weather </w:t>
      </w:r>
      <w:r w:rsidR="009B36DD">
        <w:rPr>
          <w:color w:val="000000"/>
          <w:sz w:val="24"/>
          <w:szCs w:val="24"/>
        </w:rPr>
        <w:t xml:space="preserve">conditions </w:t>
      </w:r>
      <w:r w:rsidRPr="00C16ECF">
        <w:rPr>
          <w:color w:val="000000"/>
          <w:sz w:val="24"/>
          <w:szCs w:val="24"/>
        </w:rPr>
        <w:t xml:space="preserve">and trip-purpose complexity have </w:t>
      </w:r>
      <w:r w:rsidR="009B36DD">
        <w:rPr>
          <w:color w:val="000000"/>
          <w:sz w:val="24"/>
          <w:szCs w:val="24"/>
        </w:rPr>
        <w:t xml:space="preserve">been found to be </w:t>
      </w:r>
      <w:r w:rsidRPr="00C16ECF">
        <w:rPr>
          <w:color w:val="000000"/>
          <w:sz w:val="24"/>
          <w:szCs w:val="24"/>
        </w:rPr>
        <w:t xml:space="preserve">particularly </w:t>
      </w:r>
      <w:r w:rsidR="009B36DD">
        <w:rPr>
          <w:color w:val="000000"/>
          <w:sz w:val="24"/>
          <w:szCs w:val="24"/>
        </w:rPr>
        <w:t>limiting factors for active travel adoption and use</w:t>
      </w:r>
      <w:r w:rsidRPr="00C16ECF">
        <w:rPr>
          <w:color w:val="000000"/>
          <w:sz w:val="24"/>
          <w:szCs w:val="24"/>
        </w:rPr>
        <w:t xml:space="preserve">. </w:t>
      </w:r>
      <w:r w:rsidR="008C3869">
        <w:rPr>
          <w:color w:val="000000"/>
          <w:sz w:val="24"/>
          <w:szCs w:val="24"/>
        </w:rPr>
        <w:t xml:space="preserve">For instance, </w:t>
      </w:r>
      <w:r w:rsidR="00DD140C">
        <w:rPr>
          <w:color w:val="000000"/>
          <w:sz w:val="24"/>
          <w:szCs w:val="24"/>
        </w:rPr>
        <w:t>bi</w:t>
      </w:r>
      <w:r w:rsidR="008C3869">
        <w:rPr>
          <w:color w:val="000000"/>
          <w:sz w:val="24"/>
          <w:szCs w:val="24"/>
        </w:rPr>
        <w:t>c</w:t>
      </w:r>
      <w:r w:rsidRPr="00C16ECF">
        <w:rPr>
          <w:color w:val="000000"/>
          <w:sz w:val="24"/>
          <w:szCs w:val="24"/>
        </w:rPr>
        <w:t xml:space="preserve">ycling </w:t>
      </w:r>
      <w:r w:rsidR="009B36DD">
        <w:rPr>
          <w:color w:val="000000"/>
          <w:sz w:val="24"/>
          <w:szCs w:val="24"/>
        </w:rPr>
        <w:t xml:space="preserve">intensity is </w:t>
      </w:r>
      <w:r w:rsidRPr="00C16ECF">
        <w:rPr>
          <w:color w:val="000000"/>
          <w:sz w:val="24"/>
          <w:szCs w:val="24"/>
        </w:rPr>
        <w:t xml:space="preserve">substantially suppressed by precipitation, adverse temperatures, and high wind speeds, with weather sensitivity varying across facility types and being more pronounced for recreational than for utilitarian </w:t>
      </w:r>
      <w:r w:rsidR="00DD140C">
        <w:rPr>
          <w:color w:val="000000"/>
          <w:sz w:val="24"/>
          <w:szCs w:val="24"/>
        </w:rPr>
        <w:t>bi</w:t>
      </w:r>
      <w:r w:rsidRPr="00C16ECF">
        <w:rPr>
          <w:color w:val="000000"/>
          <w:sz w:val="24"/>
          <w:szCs w:val="24"/>
        </w:rPr>
        <w:t>cycling</w:t>
      </w:r>
      <w:r w:rsidR="00DA5E15">
        <w:rPr>
          <w:color w:val="000000"/>
          <w:sz w:val="24"/>
          <w:szCs w:val="24"/>
        </w:rPr>
        <w:t xml:space="preserve"> </w:t>
      </w:r>
      <w:sdt>
        <w:sdtPr>
          <w:rPr>
            <w:color w:val="000000"/>
            <w:sz w:val="24"/>
            <w:szCs w:val="24"/>
          </w:rPr>
          <w:tag w:val="MENDELEY_CITATION_v3_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"/>
          <w:id w:val="728116115"/>
          <w:placeholder>
            <w:docPart w:val="DefaultPlaceholder_-1854013440"/>
          </w:placeholder>
        </w:sdtPr>
        <w:sdtEndPr/>
        <w:sdtContent>
          <w:r w:rsidR="000C5DDA" w:rsidRPr="000C5DDA">
            <w:rPr>
              <w:color w:val="000000"/>
              <w:sz w:val="24"/>
            </w:rPr>
            <w:t>(Nosal and Miranda-Moreno, 2014; Böcker and Thorsson, 2014)</w:t>
          </w:r>
        </w:sdtContent>
      </w:sdt>
      <w:r w:rsidRPr="00C16ECF">
        <w:rPr>
          <w:color w:val="000000"/>
          <w:sz w:val="24"/>
          <w:szCs w:val="24"/>
        </w:rPr>
        <w:t xml:space="preserve">. </w:t>
      </w:r>
      <w:r w:rsidR="005E5F2E" w:rsidRPr="005E5F2E">
        <w:rPr>
          <w:color w:val="000000"/>
          <w:sz w:val="24"/>
          <w:szCs w:val="24"/>
        </w:rPr>
        <w:t xml:space="preserve">Trip-purpose complexity poses a </w:t>
      </w:r>
      <w:r w:rsidR="009B36DD">
        <w:rPr>
          <w:color w:val="000000"/>
          <w:sz w:val="24"/>
          <w:szCs w:val="24"/>
        </w:rPr>
        <w:t>similar</w:t>
      </w:r>
      <w:r w:rsidR="005E5F2E" w:rsidRPr="005E5F2E">
        <w:rPr>
          <w:color w:val="000000"/>
          <w:sz w:val="24"/>
          <w:szCs w:val="24"/>
        </w:rPr>
        <w:t xml:space="preserve"> constraint, since daily trip chains that combine work commutes with childcare drop-offs, household errands, and other obligations into single multi-stop tours are particularly difficult to accomplish on foot or by bicycle, even when individual travel-leg distances are short</w:t>
      </w:r>
      <w:r w:rsidR="00436981">
        <w:rPr>
          <w:color w:val="000000"/>
          <w:sz w:val="24"/>
          <w:szCs w:val="24"/>
        </w:rPr>
        <w:t xml:space="preserve"> </w:t>
      </w:r>
      <w:sdt>
        <w:sdtPr>
          <w:rPr>
            <w:color w:val="000000"/>
            <w:sz w:val="24"/>
            <w:szCs w:val="24"/>
          </w:rPr>
          <w:tag w:val="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"/>
          <w:id w:val="133145916"/>
          <w:placeholder>
            <w:docPart w:val="ED384934DADF465496D942625B67F846"/>
          </w:placeholder>
        </w:sdtPr>
        <w:sdtEndPr/>
        <w:sdtContent>
          <w:r w:rsidR="000C5DDA" w:rsidRPr="000C5DDA">
            <w:rPr>
              <w:color w:val="000000"/>
              <w:sz w:val="24"/>
            </w:rPr>
            <w:t>(McGuckin and Murakami, 1999; McGuckin et al., 2005; Habib et al., 2021)</w:t>
          </w:r>
        </w:sdtContent>
      </w:sdt>
      <w:r w:rsidR="005E5F2E" w:rsidRPr="005E5F2E">
        <w:rPr>
          <w:color w:val="000000"/>
          <w:sz w:val="24"/>
          <w:szCs w:val="24"/>
        </w:rPr>
        <w:t>.</w:t>
      </w:r>
    </w:p>
    <w:p w14:paraId="0DB0D80B" w14:textId="73F36669" w:rsidR="00D80ED7" w:rsidRDefault="00436981" w:rsidP="004247F3">
      <w:pPr>
        <w:pStyle w:val="FootnoteText"/>
        <w:ind w:firstLine="720"/>
        <w:jc w:val="both"/>
        <w:rPr>
          <w:color w:val="000000"/>
          <w:sz w:val="24"/>
          <w:szCs w:val="24"/>
        </w:rPr>
      </w:pPr>
      <w:r>
        <w:rPr>
          <w:color w:val="000000"/>
          <w:sz w:val="24"/>
          <w:szCs w:val="24"/>
        </w:rPr>
        <w:t xml:space="preserve">Other </w:t>
      </w:r>
      <w:r w:rsidR="007E23E2">
        <w:rPr>
          <w:color w:val="000000"/>
          <w:sz w:val="24"/>
          <w:szCs w:val="24"/>
        </w:rPr>
        <w:t xml:space="preserve">individual-specific factors </w:t>
      </w:r>
      <w:r>
        <w:rPr>
          <w:color w:val="000000"/>
          <w:sz w:val="24"/>
          <w:szCs w:val="24"/>
        </w:rPr>
        <w:t xml:space="preserve">also affect active travel adoption and use. </w:t>
      </w:r>
      <w:r w:rsidR="007E23E2">
        <w:rPr>
          <w:color w:val="000000"/>
          <w:sz w:val="24"/>
          <w:szCs w:val="24"/>
        </w:rPr>
        <w:t>For instance,</w:t>
      </w:r>
      <w:r w:rsidR="004E699E">
        <w:rPr>
          <w:color w:val="000000"/>
          <w:sz w:val="24"/>
          <w:szCs w:val="24"/>
        </w:rPr>
        <w:t xml:space="preserve"> </w:t>
      </w:r>
      <w:r w:rsidR="00C16ECF" w:rsidRPr="00C16ECF">
        <w:rPr>
          <w:color w:val="000000"/>
          <w:sz w:val="24"/>
          <w:szCs w:val="24"/>
        </w:rPr>
        <w:t>having a driver</w:t>
      </w:r>
      <w:r w:rsidR="000D7001">
        <w:rPr>
          <w:color w:val="000000"/>
          <w:sz w:val="24"/>
          <w:szCs w:val="24"/>
        </w:rPr>
        <w:t>’</w:t>
      </w:r>
      <w:r w:rsidR="00C16ECF" w:rsidRPr="00C16ECF">
        <w:rPr>
          <w:color w:val="000000"/>
          <w:sz w:val="24"/>
          <w:szCs w:val="24"/>
        </w:rPr>
        <w:t>s license and</w:t>
      </w:r>
      <w:r>
        <w:rPr>
          <w:color w:val="000000"/>
          <w:sz w:val="24"/>
          <w:szCs w:val="24"/>
        </w:rPr>
        <w:t xml:space="preserve"> </w:t>
      </w:r>
      <w:r w:rsidR="00C16ECF" w:rsidRPr="00C16ECF">
        <w:rPr>
          <w:color w:val="000000"/>
          <w:sz w:val="24"/>
          <w:szCs w:val="24"/>
        </w:rPr>
        <w:t>high levels of car ownership are strongly associated with lower rates of walking and bicycling</w:t>
      </w:r>
      <w:r w:rsidR="00BE48F5">
        <w:rPr>
          <w:color w:val="000000"/>
          <w:sz w:val="24"/>
          <w:szCs w:val="24"/>
        </w:rPr>
        <w:t xml:space="preserve"> </w:t>
      </w:r>
      <w:sdt>
        <w:sdtPr>
          <w:rPr>
            <w:color w:val="000000"/>
            <w:sz w:val="24"/>
            <w:szCs w:val="24"/>
          </w:rPr>
          <w:tag w:val="MENDELEY_CITATION_v3_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"/>
          <w:id w:val="-1886240612"/>
          <w:placeholder>
            <w:docPart w:val="DefaultPlaceholder_-1854013440"/>
          </w:placeholder>
        </w:sdtPr>
        <w:sdtEndPr/>
        <w:sdtContent>
          <w:r w:rsidR="000C5DDA" w:rsidRPr="000C5DDA">
            <w:rPr>
              <w:color w:val="000000"/>
              <w:sz w:val="24"/>
            </w:rPr>
            <w:t>(Buehler, 2011; Buehler and Pucher, 2024)</w:t>
          </w:r>
        </w:sdtContent>
      </w:sdt>
      <w:r w:rsidR="00C16ECF" w:rsidRPr="00C16ECF">
        <w:rPr>
          <w:color w:val="000000"/>
          <w:sz w:val="24"/>
          <w:szCs w:val="24"/>
        </w:rPr>
        <w:t xml:space="preserve">. </w:t>
      </w:r>
      <w:r w:rsidR="004322EC">
        <w:rPr>
          <w:color w:val="000000"/>
          <w:sz w:val="24"/>
          <w:szCs w:val="24"/>
        </w:rPr>
        <w:t xml:space="preserve">This relates back to individual travel needs and context, as some trips are much more easily </w:t>
      </w:r>
      <w:r>
        <w:rPr>
          <w:color w:val="000000"/>
          <w:sz w:val="24"/>
          <w:szCs w:val="24"/>
        </w:rPr>
        <w:t>undertaken</w:t>
      </w:r>
      <w:r w:rsidR="004322EC">
        <w:rPr>
          <w:color w:val="000000"/>
          <w:sz w:val="24"/>
          <w:szCs w:val="24"/>
        </w:rPr>
        <w:t xml:space="preserve"> with motorized alternatives, particularly over longer distances. </w:t>
      </w:r>
      <w:r w:rsidR="00C16ECF" w:rsidRPr="00C16ECF">
        <w:rPr>
          <w:color w:val="000000"/>
          <w:sz w:val="24"/>
          <w:szCs w:val="24"/>
        </w:rPr>
        <w:t>At the systemic level, bicycling in the U</w:t>
      </w:r>
      <w:r w:rsidR="009C5DD7">
        <w:rPr>
          <w:color w:val="000000"/>
          <w:sz w:val="24"/>
          <w:szCs w:val="24"/>
        </w:rPr>
        <w:t>.S.</w:t>
      </w:r>
      <w:r w:rsidR="00C16ECF" w:rsidRPr="00C16ECF">
        <w:rPr>
          <w:color w:val="000000"/>
          <w:sz w:val="24"/>
          <w:szCs w:val="24"/>
        </w:rPr>
        <w:t xml:space="preserve"> has been concentrated </w:t>
      </w:r>
      <w:r w:rsidR="00F40A87">
        <w:rPr>
          <w:color w:val="000000"/>
          <w:sz w:val="24"/>
          <w:szCs w:val="24"/>
        </w:rPr>
        <w:t>in</w:t>
      </w:r>
      <w:r w:rsidR="00C16ECF" w:rsidRPr="00C16ECF">
        <w:rPr>
          <w:color w:val="000000"/>
          <w:sz w:val="24"/>
          <w:szCs w:val="24"/>
        </w:rPr>
        <w:t xml:space="preserve"> the central neighborhoods of a few metropolitan areas, with very low levels in the South and in suburbs</w:t>
      </w:r>
      <w:r w:rsidR="009A1E25" w:rsidRPr="003916F3">
        <w:rPr>
          <w:color w:val="000000"/>
          <w:sz w:val="24"/>
          <w:szCs w:val="24"/>
        </w:rPr>
        <w:t xml:space="preserve"> </w:t>
      </w:r>
      <w:sdt>
        <w:sdtPr>
          <w:rPr>
            <w:color w:val="000000"/>
            <w:sz w:val="24"/>
            <w:szCs w:val="24"/>
          </w:rPr>
          <w:tag w:val="MENDELEY_CITATION_v3_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"/>
          <w:id w:val="-287745386"/>
          <w:placeholder>
            <w:docPart w:val="DefaultPlaceholder_-1854013440"/>
          </w:placeholder>
        </w:sdtPr>
        <w:sdtEndPr/>
        <w:sdtContent>
          <w:r w:rsidR="000C5DDA" w:rsidRPr="000C5DDA">
            <w:rPr>
              <w:color w:val="000000"/>
              <w:sz w:val="24"/>
              <w:szCs w:val="24"/>
            </w:rPr>
            <w:t>(Pucher et al., 2011)</w:t>
          </w:r>
        </w:sdtContent>
      </w:sdt>
      <w:r w:rsidR="00C16ECF" w:rsidRPr="00C16ECF">
        <w:rPr>
          <w:color w:val="000000"/>
          <w:sz w:val="24"/>
          <w:szCs w:val="24"/>
        </w:rPr>
        <w:t>, and e-scooter use exhibits a parallel within-city pattern, clustering heavily in downtowns and university districts</w:t>
      </w:r>
      <w:r w:rsidR="005D471D">
        <w:rPr>
          <w:color w:val="000000"/>
          <w:sz w:val="24"/>
          <w:szCs w:val="24"/>
        </w:rPr>
        <w:t xml:space="preserve"> </w:t>
      </w:r>
      <w:sdt>
        <w:sdtPr>
          <w:rPr>
            <w:color w:val="000000"/>
            <w:sz w:val="24"/>
            <w:szCs w:val="24"/>
          </w:rPr>
          <w:tag w:val="MENDELEY_CITATION_v3_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"/>
          <w:id w:val="1275294752"/>
          <w:placeholder>
            <w:docPart w:val="DefaultPlaceholder_-1854013440"/>
          </w:placeholder>
        </w:sdtPr>
        <w:sdtEndPr/>
        <w:sdtContent>
          <w:r w:rsidR="000C5DDA" w:rsidRPr="000C5DDA">
            <w:rPr>
              <w:color w:val="000000"/>
              <w:sz w:val="24"/>
              <w:szCs w:val="24"/>
            </w:rPr>
            <w:t>(Caspi et al., 2020)</w:t>
          </w:r>
        </w:sdtContent>
      </w:sdt>
      <w:r w:rsidR="005D471D">
        <w:rPr>
          <w:color w:val="000000"/>
          <w:sz w:val="24"/>
          <w:szCs w:val="24"/>
        </w:rPr>
        <w:t>.</w:t>
      </w:r>
      <w:r w:rsidR="00C16ECF" w:rsidRPr="00C16ECF">
        <w:rPr>
          <w:color w:val="000000"/>
          <w:sz w:val="24"/>
          <w:szCs w:val="24"/>
        </w:rPr>
        <w:t xml:space="preserve"> </w:t>
      </w:r>
      <w:r w:rsidR="002B3268">
        <w:rPr>
          <w:color w:val="000000"/>
          <w:sz w:val="24"/>
          <w:szCs w:val="24"/>
        </w:rPr>
        <w:t xml:space="preserve">These aggregate patterns highlight the </w:t>
      </w:r>
      <w:r w:rsidR="004D0C59">
        <w:rPr>
          <w:color w:val="000000"/>
          <w:sz w:val="24"/>
          <w:szCs w:val="24"/>
        </w:rPr>
        <w:t xml:space="preserve">importance of compactness of activity destinations for promoting </w:t>
      </w:r>
      <w:r w:rsidR="00B646DA">
        <w:rPr>
          <w:color w:val="000000"/>
          <w:sz w:val="24"/>
          <w:szCs w:val="24"/>
        </w:rPr>
        <w:t>active travel</w:t>
      </w:r>
      <w:r w:rsidR="00B86853">
        <w:rPr>
          <w:color w:val="000000"/>
          <w:sz w:val="24"/>
          <w:szCs w:val="24"/>
        </w:rPr>
        <w:t xml:space="preserve"> </w:t>
      </w:r>
      <w:sdt>
        <w:sdtPr>
          <w:rPr>
            <w:color w:val="000000"/>
            <w:sz w:val="24"/>
            <w:szCs w:val="24"/>
          </w:rPr>
          <w:tag w:val="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"/>
          <w:id w:val="-1074265999"/>
          <w:placeholder>
            <w:docPart w:val="DefaultPlaceholder_-1854013440"/>
          </w:placeholder>
        </w:sdtPr>
        <w:sdtEndPr/>
        <w:sdtContent>
          <w:r w:rsidR="000C5DDA" w:rsidRPr="000C5DDA">
            <w:rPr>
              <w:color w:val="000000"/>
              <w:sz w:val="24"/>
              <w:szCs w:val="24"/>
            </w:rPr>
            <w:t>(Kärmeniemi et al., 2019; Fang et al., 2022)</w:t>
          </w:r>
        </w:sdtContent>
      </w:sdt>
      <w:r w:rsidR="00B86853">
        <w:rPr>
          <w:color w:val="000000"/>
          <w:sz w:val="24"/>
          <w:szCs w:val="24"/>
        </w:rPr>
        <w:t>.</w:t>
      </w:r>
    </w:p>
    <w:p w14:paraId="5BACAF5F" w14:textId="77777777" w:rsidR="004247F3" w:rsidRPr="003916F3" w:rsidRDefault="004247F3" w:rsidP="004247F3">
      <w:pPr>
        <w:pStyle w:val="FootnoteText"/>
        <w:ind w:firstLine="720"/>
        <w:jc w:val="both"/>
        <w:rPr>
          <w:color w:val="000000"/>
          <w:sz w:val="24"/>
          <w:szCs w:val="24"/>
        </w:rPr>
      </w:pPr>
    </w:p>
    <w:p w14:paraId="2AA26095" w14:textId="43E6F0CE" w:rsidR="00725838" w:rsidRPr="003916F3" w:rsidRDefault="00725838" w:rsidP="004247F3">
      <w:pPr>
        <w:rPr>
          <w:b/>
          <w:bCs/>
          <w:sz w:val="24"/>
          <w:szCs w:val="24"/>
        </w:rPr>
      </w:pPr>
      <w:r w:rsidRPr="003916F3">
        <w:rPr>
          <w:b/>
          <w:bCs/>
          <w:sz w:val="24"/>
          <w:szCs w:val="24"/>
        </w:rPr>
        <w:t>2.2 Study in Context</w:t>
      </w:r>
    </w:p>
    <w:p w14:paraId="29F90183" w14:textId="6C0D0EE0" w:rsidR="004A2343" w:rsidRDefault="00D4172A" w:rsidP="004247F3">
      <w:pPr>
        <w:pStyle w:val="FootnoteText"/>
        <w:jc w:val="both"/>
        <w:rPr>
          <w:color w:val="000000"/>
          <w:sz w:val="24"/>
          <w:szCs w:val="24"/>
        </w:rPr>
      </w:pPr>
      <w:r w:rsidRPr="00D4172A">
        <w:rPr>
          <w:color w:val="000000"/>
          <w:sz w:val="24"/>
          <w:szCs w:val="24"/>
        </w:rPr>
        <w:t>Our study contributes to the existing literature on active</w:t>
      </w:r>
      <w:r w:rsidR="007F0CFB">
        <w:rPr>
          <w:color w:val="000000"/>
          <w:sz w:val="24"/>
          <w:szCs w:val="24"/>
        </w:rPr>
        <w:t xml:space="preserve"> </w:t>
      </w:r>
      <w:r w:rsidRPr="00D4172A">
        <w:rPr>
          <w:color w:val="000000"/>
          <w:sz w:val="24"/>
          <w:szCs w:val="24"/>
        </w:rPr>
        <w:t xml:space="preserve">travel </w:t>
      </w:r>
      <w:r w:rsidR="009D2B0E">
        <w:rPr>
          <w:color w:val="000000"/>
          <w:sz w:val="24"/>
          <w:szCs w:val="24"/>
        </w:rPr>
        <w:t>barrier</w:t>
      </w:r>
      <w:r w:rsidRPr="00D4172A">
        <w:rPr>
          <w:color w:val="000000"/>
          <w:sz w:val="24"/>
          <w:szCs w:val="24"/>
        </w:rPr>
        <w:t>s</w:t>
      </w:r>
      <w:r w:rsidR="00D42D88">
        <w:rPr>
          <w:color w:val="000000"/>
          <w:sz w:val="24"/>
          <w:szCs w:val="24"/>
        </w:rPr>
        <w:t>, as discussed above,</w:t>
      </w:r>
      <w:r w:rsidRPr="00D4172A">
        <w:rPr>
          <w:color w:val="000000"/>
          <w:sz w:val="24"/>
          <w:szCs w:val="24"/>
        </w:rPr>
        <w:t xml:space="preserve"> in </w:t>
      </w:r>
      <w:r w:rsidR="00DB76CC">
        <w:rPr>
          <w:color w:val="000000"/>
          <w:sz w:val="24"/>
          <w:szCs w:val="24"/>
        </w:rPr>
        <w:t>five</w:t>
      </w:r>
      <w:r w:rsidRPr="00D4172A">
        <w:rPr>
          <w:color w:val="000000"/>
          <w:sz w:val="24"/>
          <w:szCs w:val="24"/>
        </w:rPr>
        <w:t xml:space="preserve"> important ways. </w:t>
      </w:r>
      <w:r w:rsidRPr="003916F3">
        <w:rPr>
          <w:color w:val="000000"/>
          <w:sz w:val="24"/>
          <w:szCs w:val="24"/>
          <w:u w:val="single"/>
        </w:rPr>
        <w:t>First</w:t>
      </w:r>
      <w:r w:rsidRPr="00D4172A">
        <w:rPr>
          <w:color w:val="000000"/>
          <w:sz w:val="24"/>
          <w:szCs w:val="24"/>
        </w:rPr>
        <w:t>, we examine the factors that deter active</w:t>
      </w:r>
      <w:r w:rsidR="00A204E8">
        <w:rPr>
          <w:color w:val="000000"/>
          <w:sz w:val="24"/>
          <w:szCs w:val="24"/>
        </w:rPr>
        <w:t xml:space="preserve"> </w:t>
      </w:r>
      <w:r w:rsidRPr="00D4172A">
        <w:rPr>
          <w:color w:val="000000"/>
          <w:sz w:val="24"/>
          <w:szCs w:val="24"/>
        </w:rPr>
        <w:t xml:space="preserve">travel behavior using individual-level survey data in which respondents directly report the specific concerns behind their </w:t>
      </w:r>
      <w:r w:rsidR="00B05A58">
        <w:rPr>
          <w:color w:val="000000"/>
          <w:sz w:val="24"/>
          <w:szCs w:val="24"/>
        </w:rPr>
        <w:t>non-use or rare use of active travel modes</w:t>
      </w:r>
      <w:r w:rsidRPr="00D4172A">
        <w:rPr>
          <w:color w:val="000000"/>
          <w:sz w:val="24"/>
          <w:szCs w:val="24"/>
        </w:rPr>
        <w:t xml:space="preserve">. </w:t>
      </w:r>
      <w:r w:rsidRPr="004F013F">
        <w:rPr>
          <w:color w:val="000000"/>
          <w:sz w:val="24"/>
          <w:szCs w:val="24"/>
        </w:rPr>
        <w:t xml:space="preserve">While a rich body of literature has examined the </w:t>
      </w:r>
      <w:r w:rsidR="00425383">
        <w:rPr>
          <w:color w:val="000000"/>
          <w:sz w:val="24"/>
          <w:szCs w:val="24"/>
        </w:rPr>
        <w:t>BE</w:t>
      </w:r>
      <w:r w:rsidRPr="004F013F">
        <w:rPr>
          <w:color w:val="000000"/>
          <w:sz w:val="24"/>
          <w:szCs w:val="24"/>
        </w:rPr>
        <w:t xml:space="preserve"> correlates of </w:t>
      </w:r>
      <w:r w:rsidR="00962807" w:rsidRPr="004F013F">
        <w:rPr>
          <w:color w:val="000000"/>
          <w:sz w:val="24"/>
          <w:szCs w:val="24"/>
        </w:rPr>
        <w:t>active travel</w:t>
      </w:r>
      <w:r w:rsidRPr="004F013F">
        <w:rPr>
          <w:color w:val="000000"/>
          <w:sz w:val="24"/>
          <w:szCs w:val="24"/>
        </w:rPr>
        <w:t xml:space="preserve"> behavior at an aggregate level (e.g., </w:t>
      </w:r>
      <w:sdt>
        <w:sdtPr>
          <w:rPr>
            <w:color w:val="000000"/>
            <w:sz w:val="24"/>
            <w:szCs w:val="24"/>
          </w:rPr>
          <w:tag w:val="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"/>
          <w:id w:val="-1147579805"/>
          <w:placeholder>
            <w:docPart w:val="DefaultPlaceholder_-1854013440"/>
          </w:placeholder>
        </w:sdtPr>
        <w:sdtEndPr/>
        <w:sdtContent>
          <w:r w:rsidR="000C5DDA" w:rsidRPr="000C5DDA">
            <w:rPr>
              <w:color w:val="000000"/>
              <w:sz w:val="24"/>
              <w:szCs w:val="24"/>
            </w:rPr>
            <w:t>Caspi et al., 2020; Ghaffar et al., 2023; Millard-Ball et al., 2025)</w:t>
          </w:r>
        </w:sdtContent>
      </w:sdt>
      <w:r w:rsidR="00A11DA4" w:rsidRPr="004F013F">
        <w:rPr>
          <w:color w:val="000000"/>
          <w:sz w:val="24"/>
          <w:szCs w:val="24"/>
        </w:rPr>
        <w:t xml:space="preserve">, the existing literature </w:t>
      </w:r>
      <w:r w:rsidR="00B05A58" w:rsidRPr="004F013F">
        <w:rPr>
          <w:color w:val="000000"/>
          <w:sz w:val="24"/>
          <w:szCs w:val="24"/>
        </w:rPr>
        <w:t xml:space="preserve">on individual-level perceived barriers </w:t>
      </w:r>
      <w:r w:rsidR="00A11DA4" w:rsidRPr="004F013F">
        <w:rPr>
          <w:color w:val="000000"/>
          <w:sz w:val="24"/>
          <w:szCs w:val="24"/>
        </w:rPr>
        <w:t xml:space="preserve">has been </w:t>
      </w:r>
      <w:r w:rsidR="00B05A58" w:rsidRPr="004F013F">
        <w:rPr>
          <w:color w:val="000000"/>
          <w:sz w:val="24"/>
          <w:szCs w:val="24"/>
        </w:rPr>
        <w:t xml:space="preserve">sparse and, even when </w:t>
      </w:r>
      <w:r w:rsidR="0075351F" w:rsidRPr="004F013F">
        <w:rPr>
          <w:color w:val="000000"/>
          <w:sz w:val="24"/>
          <w:szCs w:val="24"/>
        </w:rPr>
        <w:t>studied</w:t>
      </w:r>
      <w:r w:rsidR="00B05A58" w:rsidRPr="004F013F">
        <w:rPr>
          <w:color w:val="000000"/>
          <w:sz w:val="24"/>
          <w:szCs w:val="24"/>
        </w:rPr>
        <w:t xml:space="preserve">, is </w:t>
      </w:r>
      <w:r w:rsidR="00A11DA4" w:rsidRPr="004F013F">
        <w:rPr>
          <w:color w:val="000000"/>
          <w:sz w:val="24"/>
          <w:szCs w:val="24"/>
        </w:rPr>
        <w:t>largely descriptive</w:t>
      </w:r>
      <w:r w:rsidR="004D0C59" w:rsidRPr="004F013F">
        <w:rPr>
          <w:color w:val="000000"/>
          <w:sz w:val="24"/>
          <w:szCs w:val="24"/>
        </w:rPr>
        <w:t xml:space="preserve">, considering the influence of </w:t>
      </w:r>
      <w:r w:rsidR="00802901" w:rsidRPr="004F013F">
        <w:rPr>
          <w:color w:val="000000"/>
          <w:sz w:val="24"/>
          <w:szCs w:val="24"/>
        </w:rPr>
        <w:t>one</w:t>
      </w:r>
      <w:r w:rsidR="004D0C59" w:rsidRPr="004F013F">
        <w:rPr>
          <w:color w:val="000000"/>
          <w:sz w:val="24"/>
          <w:szCs w:val="24"/>
        </w:rPr>
        <w:t xml:space="preserve"> exogenous variable</w:t>
      </w:r>
      <w:r w:rsidR="00802901" w:rsidRPr="004F013F">
        <w:rPr>
          <w:color w:val="000000"/>
          <w:sz w:val="24"/>
          <w:szCs w:val="24"/>
        </w:rPr>
        <w:t xml:space="preserve"> at a time </w:t>
      </w:r>
      <w:r w:rsidR="00DC03E4" w:rsidRPr="004F013F">
        <w:rPr>
          <w:color w:val="000000"/>
          <w:sz w:val="24"/>
          <w:szCs w:val="24"/>
        </w:rPr>
        <w:t>without simultaneously controlling for others</w:t>
      </w:r>
      <w:r w:rsidR="00352E2F" w:rsidRPr="004F013F">
        <w:rPr>
          <w:color w:val="000000"/>
          <w:sz w:val="24"/>
          <w:szCs w:val="24"/>
        </w:rPr>
        <w:t xml:space="preserve"> (</w:t>
      </w:r>
      <w:r w:rsidR="00766FD3">
        <w:rPr>
          <w:color w:val="000000"/>
          <w:sz w:val="24"/>
          <w:szCs w:val="24"/>
        </w:rPr>
        <w:t xml:space="preserve">e.g., </w:t>
      </w:r>
      <w:sdt>
        <w:sdtPr>
          <w:rPr>
            <w:color w:val="000000"/>
            <w:sz w:val="24"/>
            <w:szCs w:val="24"/>
          </w:rPr>
          <w:tag w:val="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"/>
          <w:id w:val="1572851745"/>
          <w:placeholder>
            <w:docPart w:val="DefaultPlaceholder_-1854013440"/>
          </w:placeholder>
        </w:sdtPr>
        <w:sdtEndPr/>
        <w:sdtContent>
          <w:r w:rsidR="000C5DDA" w:rsidRPr="000C5DDA">
            <w:rPr>
              <w:color w:val="000000"/>
              <w:sz w:val="24"/>
              <w:szCs w:val="24"/>
            </w:rPr>
            <w:t xml:space="preserve">Porter et al., 2020; Sanders et al., 2020; </w:t>
          </w:r>
          <w:r w:rsidR="000C5DDA" w:rsidRPr="000C5DDA">
            <w:rPr>
              <w:color w:val="000000"/>
              <w:sz w:val="24"/>
              <w:szCs w:val="24"/>
            </w:rPr>
            <w:lastRenderedPageBreak/>
            <w:t>Soto et al., 2022; Zaganjor et al., 2025)</w:t>
          </w:r>
        </w:sdtContent>
      </w:sdt>
      <w:r w:rsidR="004D0C59" w:rsidRPr="004F013F">
        <w:rPr>
          <w:color w:val="000000"/>
          <w:sz w:val="24"/>
          <w:szCs w:val="24"/>
        </w:rPr>
        <w:t>.</w:t>
      </w:r>
      <w:r w:rsidR="004D0C59">
        <w:rPr>
          <w:color w:val="000000"/>
          <w:sz w:val="24"/>
          <w:szCs w:val="24"/>
        </w:rPr>
        <w:t xml:space="preserve"> </w:t>
      </w:r>
      <w:r w:rsidR="00B05A58" w:rsidRPr="004F013F">
        <w:rPr>
          <w:color w:val="000000"/>
          <w:sz w:val="24"/>
          <w:szCs w:val="24"/>
        </w:rPr>
        <w:t xml:space="preserve">To our knowledge, this is the first </w:t>
      </w:r>
      <w:r w:rsidR="004F013F">
        <w:rPr>
          <w:color w:val="000000"/>
          <w:sz w:val="24"/>
          <w:szCs w:val="24"/>
        </w:rPr>
        <w:t xml:space="preserve">study to </w:t>
      </w:r>
      <w:r w:rsidR="00044F87" w:rsidRPr="00044F87">
        <w:rPr>
          <w:color w:val="000000"/>
          <w:sz w:val="24"/>
          <w:szCs w:val="24"/>
        </w:rPr>
        <w:t>jointly model an individual</w:t>
      </w:r>
      <w:r w:rsidR="000D7001">
        <w:rPr>
          <w:color w:val="000000"/>
          <w:sz w:val="24"/>
          <w:szCs w:val="24"/>
        </w:rPr>
        <w:t>’</w:t>
      </w:r>
      <w:r w:rsidR="00044F87" w:rsidRPr="00044F87">
        <w:rPr>
          <w:color w:val="000000"/>
          <w:sz w:val="24"/>
          <w:szCs w:val="24"/>
        </w:rPr>
        <w:t>s propensity to be an NRAT together with the specific perceived barriers underlying that limited use.</w:t>
      </w:r>
      <w:r w:rsidR="00095E77">
        <w:rPr>
          <w:color w:val="000000"/>
          <w:sz w:val="24"/>
          <w:szCs w:val="24"/>
        </w:rPr>
        <w:t xml:space="preserve"> </w:t>
      </w:r>
      <w:r w:rsidR="009E206A" w:rsidRPr="003916F3">
        <w:rPr>
          <w:color w:val="000000"/>
          <w:sz w:val="24"/>
          <w:szCs w:val="24"/>
          <w:u w:val="single"/>
        </w:rPr>
        <w:t>Second</w:t>
      </w:r>
      <w:r w:rsidR="009E206A" w:rsidRPr="009E206A">
        <w:rPr>
          <w:color w:val="000000"/>
          <w:sz w:val="24"/>
          <w:szCs w:val="24"/>
        </w:rPr>
        <w:t>, we incorporate a comprehensive set of socio-</w:t>
      </w:r>
      <w:r w:rsidR="00E31054">
        <w:rPr>
          <w:color w:val="000000"/>
          <w:sz w:val="24"/>
          <w:szCs w:val="24"/>
        </w:rPr>
        <w:t xml:space="preserve">economic and </w:t>
      </w:r>
      <w:r w:rsidR="009E206A" w:rsidRPr="009E206A">
        <w:rPr>
          <w:color w:val="000000"/>
          <w:sz w:val="24"/>
          <w:szCs w:val="24"/>
        </w:rPr>
        <w:t>demographic characteristics, enabling us to characterize how the salience of each perceived barrier varies across population subgroups. This specification moves beyond aggregate prevalence to identify which segments of the population</w:t>
      </w:r>
      <w:r w:rsidR="00095E77">
        <w:rPr>
          <w:color w:val="000000"/>
          <w:sz w:val="24"/>
          <w:szCs w:val="24"/>
        </w:rPr>
        <w:t xml:space="preserve">, </w:t>
      </w:r>
      <w:r w:rsidR="009E206A" w:rsidRPr="009E206A">
        <w:rPr>
          <w:color w:val="000000"/>
          <w:sz w:val="24"/>
          <w:szCs w:val="24"/>
        </w:rPr>
        <w:t>defined by attributes such as gender, age, educational attainment, income, household structure, and vehicle access</w:t>
      </w:r>
      <w:r w:rsidR="00095E77">
        <w:rPr>
          <w:color w:val="000000"/>
          <w:sz w:val="24"/>
          <w:szCs w:val="24"/>
        </w:rPr>
        <w:t xml:space="preserve">, </w:t>
      </w:r>
      <w:r w:rsidR="009E206A" w:rsidRPr="009E206A">
        <w:rPr>
          <w:color w:val="000000"/>
          <w:sz w:val="24"/>
          <w:szCs w:val="24"/>
        </w:rPr>
        <w:t xml:space="preserve">are most likely to experience each specific barrier, and how the relative importance of the barriers </w:t>
      </w:r>
      <w:r w:rsidR="004F7B1C">
        <w:rPr>
          <w:color w:val="000000"/>
          <w:sz w:val="24"/>
          <w:szCs w:val="24"/>
        </w:rPr>
        <w:t>differs</w:t>
      </w:r>
      <w:r w:rsidR="004F7B1C" w:rsidRPr="009E206A">
        <w:rPr>
          <w:color w:val="000000"/>
          <w:sz w:val="24"/>
          <w:szCs w:val="24"/>
        </w:rPr>
        <w:t xml:space="preserve"> </w:t>
      </w:r>
      <w:r w:rsidR="009E206A" w:rsidRPr="009E206A">
        <w:rPr>
          <w:color w:val="000000"/>
          <w:sz w:val="24"/>
          <w:szCs w:val="24"/>
        </w:rPr>
        <w:t>across these groups.</w:t>
      </w:r>
      <w:r w:rsidR="003916F3">
        <w:rPr>
          <w:color w:val="000000"/>
          <w:sz w:val="24"/>
          <w:szCs w:val="24"/>
        </w:rPr>
        <w:t xml:space="preserve"> </w:t>
      </w:r>
      <w:r w:rsidR="009E206A" w:rsidRPr="003916F3">
        <w:rPr>
          <w:color w:val="000000"/>
          <w:sz w:val="24"/>
          <w:szCs w:val="24"/>
          <w:u w:val="single"/>
        </w:rPr>
        <w:t>Third</w:t>
      </w:r>
      <w:r w:rsidR="009E206A" w:rsidRPr="009E206A">
        <w:rPr>
          <w:color w:val="000000"/>
          <w:sz w:val="24"/>
          <w:szCs w:val="24"/>
        </w:rPr>
        <w:t>, we append objective residential BE measures to each respondent</w:t>
      </w:r>
      <w:r w:rsidR="000D7001">
        <w:rPr>
          <w:color w:val="000000"/>
          <w:sz w:val="24"/>
          <w:szCs w:val="24"/>
        </w:rPr>
        <w:t>’</w:t>
      </w:r>
      <w:r w:rsidR="009E206A" w:rsidRPr="009E206A">
        <w:rPr>
          <w:color w:val="000000"/>
          <w:sz w:val="24"/>
          <w:szCs w:val="24"/>
        </w:rPr>
        <w:t xml:space="preserve">s record, enabling us to examine how objective environmental conditions are translated into subjectively perceived barriers. </w:t>
      </w:r>
      <w:r w:rsidR="006979DF" w:rsidRPr="006979DF">
        <w:rPr>
          <w:color w:val="000000"/>
          <w:sz w:val="24"/>
          <w:szCs w:val="24"/>
        </w:rPr>
        <w:t xml:space="preserve">Linking measured BE exposure to </w:t>
      </w:r>
      <w:r w:rsidR="00134B32">
        <w:rPr>
          <w:color w:val="000000"/>
          <w:sz w:val="24"/>
          <w:szCs w:val="24"/>
        </w:rPr>
        <w:t>perceived</w:t>
      </w:r>
      <w:r w:rsidR="006979DF" w:rsidRPr="006979DF">
        <w:rPr>
          <w:color w:val="000000"/>
          <w:sz w:val="24"/>
          <w:szCs w:val="24"/>
        </w:rPr>
        <w:t xml:space="preserve"> barriers allows us to identify which types of infrastructure improvements are most likely to reduce specific perceived barriers</w:t>
      </w:r>
      <w:r w:rsidR="006979DF">
        <w:rPr>
          <w:color w:val="000000"/>
          <w:sz w:val="24"/>
          <w:szCs w:val="24"/>
        </w:rPr>
        <w:t xml:space="preserve">. </w:t>
      </w:r>
      <w:r w:rsidR="00D42D88" w:rsidRPr="006979DF">
        <w:rPr>
          <w:color w:val="000000"/>
          <w:sz w:val="24"/>
          <w:szCs w:val="24"/>
        </w:rPr>
        <w:t>This provides a direct mapping from perceived barriers back to actionable infrastructure levers and supports the geographic customization of active transportation infrastructure investments</w:t>
      </w:r>
      <w:r w:rsidR="00CA270F" w:rsidRPr="009D5C80">
        <w:rPr>
          <w:color w:val="000000"/>
          <w:sz w:val="24"/>
          <w:szCs w:val="24"/>
        </w:rPr>
        <w:t xml:space="preserve">. </w:t>
      </w:r>
      <w:r w:rsidR="00D42D88" w:rsidRPr="009D5C80">
        <w:rPr>
          <w:color w:val="000000"/>
          <w:sz w:val="24"/>
          <w:szCs w:val="24"/>
        </w:rPr>
        <w:t>For example, in our empirical findings later, we note that personal</w:t>
      </w:r>
      <w:r w:rsidR="009B0467">
        <w:rPr>
          <w:color w:val="000000"/>
          <w:sz w:val="24"/>
          <w:szCs w:val="24"/>
        </w:rPr>
        <w:t>-</w:t>
      </w:r>
      <w:r w:rsidR="00D42D88" w:rsidRPr="009D5C80">
        <w:rPr>
          <w:color w:val="000000"/>
          <w:sz w:val="24"/>
          <w:szCs w:val="24"/>
        </w:rPr>
        <w:t>security concern (</w:t>
      </w:r>
      <w:r w:rsidR="001E3931" w:rsidRPr="009D5C80">
        <w:rPr>
          <w:color w:val="000000"/>
          <w:sz w:val="24"/>
          <w:szCs w:val="24"/>
        </w:rPr>
        <w:t xml:space="preserve">perception of loitering or threatening behavior from others) </w:t>
      </w:r>
      <w:r w:rsidR="00022C87" w:rsidRPr="00022C87">
        <w:rPr>
          <w:color w:val="000000"/>
          <w:sz w:val="24"/>
          <w:szCs w:val="24"/>
        </w:rPr>
        <w:t>is the barrier most sharply intensified in high-population-density areas</w:t>
      </w:r>
      <w:r w:rsidR="001E3931" w:rsidRPr="009D5C80">
        <w:rPr>
          <w:color w:val="000000"/>
          <w:sz w:val="24"/>
          <w:szCs w:val="24"/>
        </w:rPr>
        <w:t>, suggesting the use of crime-prevention-through-environmental</w:t>
      </w:r>
      <w:r w:rsidR="004B7299">
        <w:rPr>
          <w:color w:val="000000"/>
          <w:sz w:val="24"/>
          <w:szCs w:val="24"/>
        </w:rPr>
        <w:t>-</w:t>
      </w:r>
      <w:r w:rsidR="001E3931" w:rsidRPr="009D5C80">
        <w:rPr>
          <w:color w:val="000000"/>
          <w:sz w:val="24"/>
          <w:szCs w:val="24"/>
        </w:rPr>
        <w:t>design principles (see,</w:t>
      </w:r>
      <w:r w:rsidR="00B4344F">
        <w:rPr>
          <w:color w:val="000000"/>
          <w:sz w:val="24"/>
          <w:szCs w:val="24"/>
        </w:rPr>
        <w:t xml:space="preserve"> </w:t>
      </w:r>
      <w:r w:rsidR="001E3931" w:rsidRPr="009D5C80">
        <w:rPr>
          <w:color w:val="000000"/>
          <w:sz w:val="24"/>
          <w:szCs w:val="24"/>
        </w:rPr>
        <w:t>for example</w:t>
      </w:r>
      <w:r w:rsidR="00DD1BF7">
        <w:rPr>
          <w:color w:val="000000"/>
          <w:sz w:val="24"/>
          <w:szCs w:val="24"/>
        </w:rPr>
        <w:t xml:space="preserve">, </w:t>
      </w:r>
      <w:sdt>
        <w:sdtPr>
          <w:rPr>
            <w:color w:val="000000"/>
            <w:sz w:val="24"/>
            <w:szCs w:val="24"/>
          </w:rPr>
          <w:tag w:val="MENDELEY_CITATION_v3_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"/>
          <w:id w:val="-146661462"/>
          <w:placeholder>
            <w:docPart w:val="DefaultPlaceholder_-1854013440"/>
          </w:placeholder>
        </w:sdtPr>
        <w:sdtEndPr/>
        <w:sdtContent>
          <w:r w:rsidR="000C5DDA" w:rsidRPr="000C5DDA">
            <w:rPr>
              <w:color w:val="000000"/>
              <w:sz w:val="24"/>
              <w:szCs w:val="24"/>
            </w:rPr>
            <w:t>Lee et al., 2023</w:t>
          </w:r>
        </w:sdtContent>
      </w:sdt>
      <w:r w:rsidR="001E3931" w:rsidRPr="009D5C80">
        <w:rPr>
          <w:color w:val="000000"/>
          <w:sz w:val="24"/>
          <w:szCs w:val="24"/>
        </w:rPr>
        <w:t>) as a potentially effective intervention strategy to increase active travel in high</w:t>
      </w:r>
      <w:r w:rsidR="00767CF2">
        <w:rPr>
          <w:color w:val="000000"/>
          <w:sz w:val="24"/>
          <w:szCs w:val="24"/>
        </w:rPr>
        <w:t>-</w:t>
      </w:r>
      <w:r w:rsidR="001E3931" w:rsidRPr="009D5C80">
        <w:rPr>
          <w:color w:val="000000"/>
          <w:sz w:val="24"/>
          <w:szCs w:val="24"/>
        </w:rPr>
        <w:t xml:space="preserve">density residential </w:t>
      </w:r>
      <w:r w:rsidR="001E3931" w:rsidRPr="007227DA">
        <w:rPr>
          <w:color w:val="000000"/>
          <w:sz w:val="24"/>
          <w:szCs w:val="24"/>
        </w:rPr>
        <w:t xml:space="preserve">areas. </w:t>
      </w:r>
      <w:r w:rsidR="009E206A" w:rsidRPr="007227DA">
        <w:rPr>
          <w:color w:val="000000"/>
          <w:sz w:val="24"/>
          <w:szCs w:val="24"/>
          <w:u w:val="single"/>
        </w:rPr>
        <w:t>Fourth</w:t>
      </w:r>
      <w:r w:rsidR="00257216" w:rsidRPr="00B247EC">
        <w:rPr>
          <w:color w:val="000000"/>
          <w:sz w:val="24"/>
          <w:szCs w:val="24"/>
        </w:rPr>
        <w:t xml:space="preserve">, we model </w:t>
      </w:r>
      <w:r w:rsidR="006B72F5">
        <w:rPr>
          <w:color w:val="000000"/>
          <w:sz w:val="24"/>
          <w:szCs w:val="24"/>
        </w:rPr>
        <w:t xml:space="preserve">whether an individual is an NRAT or not and the barriers to active travel </w:t>
      </w:r>
      <w:r w:rsidR="00257216" w:rsidRPr="00B247EC">
        <w:rPr>
          <w:color w:val="000000"/>
          <w:sz w:val="24"/>
          <w:szCs w:val="24"/>
        </w:rPr>
        <w:t>jointly within a multivariate binary probit framework that accounts for unobserved correlatio</w:t>
      </w:r>
      <w:r w:rsidR="006B72F5">
        <w:rPr>
          <w:color w:val="000000"/>
          <w:sz w:val="24"/>
          <w:szCs w:val="24"/>
        </w:rPr>
        <w:t>ns</w:t>
      </w:r>
      <w:r w:rsidR="00257216" w:rsidRPr="00B247EC">
        <w:rPr>
          <w:color w:val="000000"/>
          <w:sz w:val="24"/>
          <w:szCs w:val="24"/>
        </w:rPr>
        <w:t xml:space="preserve">. This is methodologically important because </w:t>
      </w:r>
      <w:r w:rsidR="006B72F5">
        <w:rPr>
          <w:color w:val="000000"/>
          <w:sz w:val="24"/>
          <w:szCs w:val="24"/>
        </w:rPr>
        <w:t xml:space="preserve">NRATs </w:t>
      </w:r>
      <w:r w:rsidR="00257216" w:rsidRPr="00B247EC">
        <w:rPr>
          <w:color w:val="000000"/>
          <w:sz w:val="24"/>
          <w:szCs w:val="24"/>
        </w:rPr>
        <w:t xml:space="preserve">may be different in unobserved ways from </w:t>
      </w:r>
      <w:r w:rsidR="006B72F5">
        <w:rPr>
          <w:color w:val="000000"/>
          <w:sz w:val="24"/>
          <w:szCs w:val="24"/>
        </w:rPr>
        <w:t>non-NRATs</w:t>
      </w:r>
      <w:r w:rsidR="00257216" w:rsidRPr="00B247EC">
        <w:rPr>
          <w:color w:val="000000"/>
          <w:sz w:val="24"/>
          <w:szCs w:val="24"/>
        </w:rPr>
        <w:t xml:space="preserve">, and these same unobserved differences may also shape </w:t>
      </w:r>
      <w:r w:rsidR="006B72F5">
        <w:rPr>
          <w:color w:val="000000"/>
          <w:sz w:val="24"/>
          <w:szCs w:val="24"/>
        </w:rPr>
        <w:t xml:space="preserve">the </w:t>
      </w:r>
      <w:r w:rsidR="009D2B0E">
        <w:rPr>
          <w:color w:val="000000"/>
          <w:sz w:val="24"/>
          <w:szCs w:val="24"/>
        </w:rPr>
        <w:t>barrier</w:t>
      </w:r>
      <w:r w:rsidR="00257216" w:rsidRPr="00B247EC">
        <w:rPr>
          <w:color w:val="000000"/>
          <w:sz w:val="24"/>
          <w:szCs w:val="24"/>
        </w:rPr>
        <w:t xml:space="preserve">s they identify. For instance, an individual with a heightened sensitivity to personal-security concerns </w:t>
      </w:r>
      <w:r w:rsidR="0053658F">
        <w:rPr>
          <w:color w:val="000000"/>
          <w:sz w:val="24"/>
          <w:szCs w:val="24"/>
        </w:rPr>
        <w:t>due to an unobserved characteristic (such as</w:t>
      </w:r>
      <w:r w:rsidR="004B7299">
        <w:rPr>
          <w:color w:val="000000"/>
          <w:sz w:val="24"/>
          <w:szCs w:val="24"/>
        </w:rPr>
        <w:t>,</w:t>
      </w:r>
      <w:r w:rsidR="0053658F">
        <w:rPr>
          <w:color w:val="000000"/>
          <w:sz w:val="24"/>
          <w:szCs w:val="24"/>
        </w:rPr>
        <w:t xml:space="preserve"> say</w:t>
      </w:r>
      <w:r w:rsidR="004B7299">
        <w:rPr>
          <w:color w:val="000000"/>
          <w:sz w:val="24"/>
          <w:szCs w:val="24"/>
        </w:rPr>
        <w:t>,</w:t>
      </w:r>
      <w:r w:rsidR="0053658F">
        <w:rPr>
          <w:color w:val="000000"/>
          <w:sz w:val="24"/>
          <w:szCs w:val="24"/>
        </w:rPr>
        <w:t xml:space="preserve"> past assault experiences) </w:t>
      </w:r>
      <w:r w:rsidR="00257216">
        <w:rPr>
          <w:color w:val="000000"/>
          <w:sz w:val="24"/>
          <w:szCs w:val="24"/>
        </w:rPr>
        <w:t>may</w:t>
      </w:r>
      <w:r w:rsidR="00257216" w:rsidRPr="00B247EC">
        <w:rPr>
          <w:color w:val="000000"/>
          <w:sz w:val="24"/>
          <w:szCs w:val="24"/>
        </w:rPr>
        <w:t xml:space="preserve"> be more likely to be an </w:t>
      </w:r>
      <w:r w:rsidR="00B2614E">
        <w:rPr>
          <w:color w:val="000000"/>
          <w:sz w:val="24"/>
          <w:szCs w:val="24"/>
        </w:rPr>
        <w:t xml:space="preserve">NRAT </w:t>
      </w:r>
      <w:r w:rsidR="00257216" w:rsidRPr="00B247EC">
        <w:rPr>
          <w:color w:val="000000"/>
          <w:sz w:val="24"/>
          <w:szCs w:val="24"/>
        </w:rPr>
        <w:t xml:space="preserve">and more likely to identify loitering or insufficient lighting as </w:t>
      </w:r>
      <w:r w:rsidR="009D2B0E">
        <w:rPr>
          <w:color w:val="000000"/>
          <w:sz w:val="24"/>
          <w:szCs w:val="24"/>
        </w:rPr>
        <w:t>barrier</w:t>
      </w:r>
      <w:r w:rsidR="00257216" w:rsidRPr="00B247EC">
        <w:rPr>
          <w:color w:val="000000"/>
          <w:sz w:val="24"/>
          <w:szCs w:val="24"/>
        </w:rPr>
        <w:t>s</w:t>
      </w:r>
      <w:r w:rsidR="00257216">
        <w:rPr>
          <w:color w:val="000000"/>
          <w:sz w:val="24"/>
          <w:szCs w:val="24"/>
        </w:rPr>
        <w:t xml:space="preserve"> </w:t>
      </w:r>
      <w:r w:rsidR="00723BA7">
        <w:rPr>
          <w:color w:val="000000"/>
          <w:sz w:val="24"/>
          <w:szCs w:val="24"/>
        </w:rPr>
        <w:t xml:space="preserve">to </w:t>
      </w:r>
      <w:r w:rsidR="00257216">
        <w:rPr>
          <w:color w:val="000000"/>
          <w:sz w:val="24"/>
          <w:szCs w:val="24"/>
        </w:rPr>
        <w:t>active travel</w:t>
      </w:r>
      <w:r w:rsidR="00257216" w:rsidRPr="00B247EC">
        <w:rPr>
          <w:color w:val="000000"/>
          <w:sz w:val="24"/>
          <w:szCs w:val="24"/>
        </w:rPr>
        <w:t xml:space="preserve">. </w:t>
      </w:r>
      <w:r w:rsidR="0053658F">
        <w:rPr>
          <w:color w:val="000000"/>
          <w:sz w:val="24"/>
          <w:szCs w:val="24"/>
        </w:rPr>
        <w:t xml:space="preserve">Ignoring this common unobserved factor (as would be the case if the NRAT outcome and the stated barriers to being an NRAT are modeled independently) would lead to an overestimation of </w:t>
      </w:r>
      <w:r w:rsidR="00257216" w:rsidRPr="00B247EC">
        <w:rPr>
          <w:color w:val="000000"/>
          <w:sz w:val="24"/>
          <w:szCs w:val="24"/>
        </w:rPr>
        <w:t xml:space="preserve">the importance of security-related </w:t>
      </w:r>
      <w:r w:rsidR="009D2B0E">
        <w:rPr>
          <w:color w:val="000000"/>
          <w:sz w:val="24"/>
          <w:szCs w:val="24"/>
        </w:rPr>
        <w:t>barrier</w:t>
      </w:r>
      <w:r w:rsidR="00257216" w:rsidRPr="00B247EC">
        <w:rPr>
          <w:color w:val="000000"/>
          <w:sz w:val="24"/>
          <w:szCs w:val="24"/>
        </w:rPr>
        <w:t xml:space="preserve">s for a randomly selected individual from the general population. </w:t>
      </w:r>
      <w:r w:rsidR="0053658F">
        <w:rPr>
          <w:color w:val="000000"/>
          <w:sz w:val="24"/>
          <w:szCs w:val="24"/>
        </w:rPr>
        <w:t>But, b</w:t>
      </w:r>
      <w:r w:rsidR="00257216" w:rsidRPr="00B247EC">
        <w:rPr>
          <w:color w:val="000000"/>
          <w:sz w:val="24"/>
          <w:szCs w:val="24"/>
        </w:rPr>
        <w:t>y estimating th</w:t>
      </w:r>
      <w:r w:rsidR="0053658F">
        <w:rPr>
          <w:color w:val="000000"/>
          <w:sz w:val="24"/>
          <w:szCs w:val="24"/>
        </w:rPr>
        <w:t>e NRAT and barrier</w:t>
      </w:r>
      <w:r w:rsidR="00257216" w:rsidRPr="00B247EC">
        <w:rPr>
          <w:color w:val="000000"/>
          <w:sz w:val="24"/>
          <w:szCs w:val="24"/>
        </w:rPr>
        <w:t xml:space="preserve"> outcomes jointly, we </w:t>
      </w:r>
      <w:r w:rsidR="0053658F">
        <w:rPr>
          <w:color w:val="000000"/>
          <w:sz w:val="24"/>
          <w:szCs w:val="24"/>
        </w:rPr>
        <w:t>are able to</w:t>
      </w:r>
      <w:r w:rsidR="00257216" w:rsidRPr="00B247EC">
        <w:rPr>
          <w:color w:val="000000"/>
          <w:sz w:val="24"/>
          <w:szCs w:val="24"/>
        </w:rPr>
        <w:t xml:space="preserve"> generalize our estimates to the broader population, rather than </w:t>
      </w:r>
      <w:r w:rsidR="0053658F">
        <w:rPr>
          <w:color w:val="000000"/>
          <w:sz w:val="24"/>
          <w:szCs w:val="24"/>
        </w:rPr>
        <w:t xml:space="preserve">being applicable </w:t>
      </w:r>
      <w:r w:rsidR="00257216" w:rsidRPr="00B247EC">
        <w:rPr>
          <w:color w:val="000000"/>
          <w:sz w:val="24"/>
          <w:szCs w:val="24"/>
        </w:rPr>
        <w:t xml:space="preserve">only </w:t>
      </w:r>
      <w:r w:rsidR="0053658F">
        <w:rPr>
          <w:color w:val="000000"/>
          <w:sz w:val="24"/>
          <w:szCs w:val="24"/>
        </w:rPr>
        <w:t xml:space="preserve">to </w:t>
      </w:r>
      <w:r w:rsidR="00257216" w:rsidRPr="00B247EC">
        <w:rPr>
          <w:color w:val="000000"/>
          <w:sz w:val="24"/>
          <w:szCs w:val="24"/>
        </w:rPr>
        <w:t xml:space="preserve">the </w:t>
      </w:r>
      <w:r w:rsidR="00B2614E">
        <w:rPr>
          <w:color w:val="000000"/>
          <w:sz w:val="24"/>
          <w:szCs w:val="24"/>
        </w:rPr>
        <w:t xml:space="preserve">NRAT </w:t>
      </w:r>
      <w:r w:rsidR="00257216" w:rsidRPr="00B247EC">
        <w:rPr>
          <w:color w:val="000000"/>
          <w:sz w:val="24"/>
          <w:szCs w:val="24"/>
        </w:rPr>
        <w:t>sam</w:t>
      </w:r>
      <w:r w:rsidR="00B2614E">
        <w:rPr>
          <w:color w:val="000000"/>
          <w:sz w:val="24"/>
          <w:szCs w:val="24"/>
        </w:rPr>
        <w:t>ple</w:t>
      </w:r>
      <w:r w:rsidR="0053658F">
        <w:rPr>
          <w:color w:val="000000"/>
          <w:sz w:val="24"/>
          <w:szCs w:val="24"/>
        </w:rPr>
        <w:t xml:space="preserve"> from whom the stated barriers are elicited in the survey</w:t>
      </w:r>
      <w:r w:rsidR="00901E43">
        <w:rPr>
          <w:color w:val="000000"/>
          <w:sz w:val="24"/>
          <w:szCs w:val="24"/>
        </w:rPr>
        <w:t>.</w:t>
      </w:r>
      <w:r w:rsidR="00B05A58">
        <w:rPr>
          <w:color w:val="000000"/>
          <w:sz w:val="24"/>
          <w:szCs w:val="24"/>
        </w:rPr>
        <w:t xml:space="preserve"> </w:t>
      </w:r>
      <w:r w:rsidR="00866E21" w:rsidRPr="003916F3">
        <w:rPr>
          <w:color w:val="000000"/>
          <w:sz w:val="24"/>
          <w:szCs w:val="24"/>
          <w:u w:val="single"/>
        </w:rPr>
        <w:t>Finally</w:t>
      </w:r>
      <w:r w:rsidR="00866E21" w:rsidRPr="00866E21">
        <w:rPr>
          <w:color w:val="000000"/>
          <w:sz w:val="24"/>
          <w:szCs w:val="24"/>
        </w:rPr>
        <w:t>, we translate the estimated model into average treatment effects (ATEs) that quantify, in directly interpretable</w:t>
      </w:r>
      <w:r w:rsidR="0053658F">
        <w:rPr>
          <w:color w:val="000000"/>
          <w:sz w:val="24"/>
          <w:szCs w:val="24"/>
        </w:rPr>
        <w:t xml:space="preserve"> </w:t>
      </w:r>
      <w:r w:rsidR="00866E21" w:rsidRPr="00866E21">
        <w:rPr>
          <w:color w:val="000000"/>
          <w:sz w:val="24"/>
          <w:szCs w:val="24"/>
        </w:rPr>
        <w:t>terms, how shifting a given characteristic changes the prevalence of low active</w:t>
      </w:r>
      <w:r w:rsidR="004D2D48">
        <w:rPr>
          <w:color w:val="000000"/>
          <w:sz w:val="24"/>
          <w:szCs w:val="24"/>
        </w:rPr>
        <w:t xml:space="preserve"> </w:t>
      </w:r>
      <w:r w:rsidR="00866E21" w:rsidRPr="00866E21">
        <w:rPr>
          <w:color w:val="000000"/>
          <w:sz w:val="24"/>
          <w:szCs w:val="24"/>
        </w:rPr>
        <w:t xml:space="preserve">travel use and of each perceived barrier. </w:t>
      </w:r>
      <w:r w:rsidR="00AA1891" w:rsidRPr="00AA1891">
        <w:rPr>
          <w:color w:val="000000"/>
          <w:sz w:val="24"/>
          <w:szCs w:val="24"/>
        </w:rPr>
        <w:t xml:space="preserve">Because these effects are recovered for specific population subgroups and </w:t>
      </w:r>
      <w:r w:rsidR="00425383">
        <w:rPr>
          <w:color w:val="000000"/>
          <w:sz w:val="24"/>
          <w:szCs w:val="24"/>
        </w:rPr>
        <w:t>BE</w:t>
      </w:r>
      <w:r w:rsidR="00AA1891" w:rsidRPr="00AA1891">
        <w:rPr>
          <w:color w:val="000000"/>
          <w:sz w:val="24"/>
          <w:szCs w:val="24"/>
        </w:rPr>
        <w:t xml:space="preserve"> contexts, they convert the estimated relationships into concrete, subgroup-specific evidence that pinpoints which barriers weigh most heavily on which populations and in which settings. This, in turn, supports the design of customized infrastructure and policy interventions tailored to the groups and contexts they are most likely to benefit.</w:t>
      </w:r>
    </w:p>
    <w:p w14:paraId="4C008E40" w14:textId="77777777" w:rsidR="004247F3" w:rsidRDefault="004247F3" w:rsidP="004247F3">
      <w:pPr>
        <w:pStyle w:val="FootnoteText"/>
        <w:jc w:val="both"/>
        <w:rPr>
          <w:color w:val="000000"/>
          <w:sz w:val="24"/>
          <w:szCs w:val="24"/>
        </w:rPr>
      </w:pPr>
    </w:p>
    <w:p w14:paraId="74EA8650" w14:textId="69CD3831" w:rsidR="00987E7A" w:rsidRPr="003916F3" w:rsidRDefault="00987E7A" w:rsidP="004247F3">
      <w:pPr>
        <w:rPr>
          <w:b/>
          <w:bCs/>
          <w:sz w:val="24"/>
          <w:szCs w:val="24"/>
        </w:rPr>
      </w:pPr>
      <w:r w:rsidRPr="003916F3">
        <w:rPr>
          <w:b/>
          <w:bCs/>
          <w:sz w:val="24"/>
          <w:szCs w:val="24"/>
        </w:rPr>
        <w:t>3. M</w:t>
      </w:r>
      <w:r w:rsidR="003916F3">
        <w:rPr>
          <w:b/>
          <w:bCs/>
          <w:sz w:val="24"/>
          <w:szCs w:val="24"/>
        </w:rPr>
        <w:t>ETHODOLOGY</w:t>
      </w:r>
    </w:p>
    <w:p w14:paraId="642FAF29" w14:textId="77777777" w:rsidR="00987E7A" w:rsidRPr="003A1F2B" w:rsidRDefault="00987E7A" w:rsidP="004247F3">
      <w:pPr>
        <w:rPr>
          <w:sz w:val="20"/>
          <w:szCs w:val="20"/>
        </w:rPr>
      </w:pPr>
      <w:r w:rsidRPr="003A1F2B">
        <w:rPr>
          <w:b/>
          <w:bCs/>
          <w:sz w:val="24"/>
          <w:szCs w:val="24"/>
        </w:rPr>
        <w:t>3.1 Data Description</w:t>
      </w:r>
    </w:p>
    <w:p w14:paraId="42444D9F" w14:textId="54FA740B" w:rsidR="00257216" w:rsidRDefault="00C94F19" w:rsidP="004247F3">
      <w:pPr>
        <w:pStyle w:val="FootnoteText"/>
        <w:jc w:val="both"/>
        <w:rPr>
          <w:color w:val="000000"/>
          <w:sz w:val="24"/>
          <w:szCs w:val="24"/>
        </w:rPr>
      </w:pPr>
      <w:r w:rsidRPr="00B247EC">
        <w:rPr>
          <w:color w:val="000000"/>
          <w:sz w:val="24"/>
          <w:szCs w:val="24"/>
        </w:rPr>
        <w:t>The data analyzed in this paper</w:t>
      </w:r>
      <w:r>
        <w:rPr>
          <w:color w:val="000000"/>
          <w:sz w:val="24"/>
          <w:szCs w:val="24"/>
        </w:rPr>
        <w:t xml:space="preserve"> originate from </w:t>
      </w:r>
      <w:r w:rsidR="00181387" w:rsidRPr="00B247EC">
        <w:rPr>
          <w:color w:val="000000"/>
          <w:sz w:val="24"/>
          <w:szCs w:val="24"/>
        </w:rPr>
        <w:t>the second wave of the THA Survey, fielded across the U</w:t>
      </w:r>
      <w:r w:rsidR="009C5DD7">
        <w:rPr>
          <w:color w:val="000000"/>
          <w:sz w:val="24"/>
          <w:szCs w:val="24"/>
        </w:rPr>
        <w:t>.S.</w:t>
      </w:r>
      <w:r w:rsidR="00181387" w:rsidRPr="00B247EC">
        <w:rPr>
          <w:color w:val="000000"/>
          <w:sz w:val="24"/>
          <w:szCs w:val="24"/>
        </w:rPr>
        <w:t xml:space="preserve"> between February and March 2026. </w:t>
      </w:r>
      <w:r w:rsidR="0053658F">
        <w:rPr>
          <w:color w:val="000000"/>
          <w:sz w:val="24"/>
          <w:szCs w:val="24"/>
        </w:rPr>
        <w:t xml:space="preserve">The sampling frame </w:t>
      </w:r>
      <w:r w:rsidR="00181387" w:rsidRPr="00B247EC">
        <w:rPr>
          <w:color w:val="000000"/>
          <w:sz w:val="24"/>
          <w:szCs w:val="24"/>
        </w:rPr>
        <w:t xml:space="preserve">relied on </w:t>
      </w:r>
      <w:r w:rsidR="00A221A9">
        <w:rPr>
          <w:color w:val="000000"/>
          <w:sz w:val="24"/>
          <w:szCs w:val="24"/>
        </w:rPr>
        <w:t xml:space="preserve">a long-standing address </w:t>
      </w:r>
      <w:r w:rsidR="001F278A">
        <w:rPr>
          <w:color w:val="000000"/>
          <w:sz w:val="24"/>
          <w:szCs w:val="24"/>
        </w:rPr>
        <w:t xml:space="preserve">panel </w:t>
      </w:r>
      <w:r w:rsidR="00A221A9">
        <w:rPr>
          <w:color w:val="000000"/>
          <w:sz w:val="24"/>
          <w:szCs w:val="24"/>
        </w:rPr>
        <w:t xml:space="preserve">maintained by </w:t>
      </w:r>
      <w:r w:rsidR="00F70EF4">
        <w:rPr>
          <w:color w:val="000000"/>
          <w:sz w:val="24"/>
          <w:szCs w:val="24"/>
        </w:rPr>
        <w:t>the Qualtrics survey platform</w:t>
      </w:r>
      <w:r w:rsidR="00A221A9">
        <w:rPr>
          <w:color w:val="000000"/>
          <w:sz w:val="24"/>
          <w:szCs w:val="24"/>
        </w:rPr>
        <w:t xml:space="preserve">. A </w:t>
      </w:r>
      <w:r w:rsidR="00181387">
        <w:rPr>
          <w:color w:val="000000"/>
          <w:sz w:val="24"/>
          <w:szCs w:val="24"/>
        </w:rPr>
        <w:t>survey administration procedure was structured to facilitate the collection of a</w:t>
      </w:r>
      <w:r w:rsidR="00F70EF4">
        <w:rPr>
          <w:color w:val="000000"/>
          <w:sz w:val="24"/>
          <w:szCs w:val="24"/>
        </w:rPr>
        <w:t xml:space="preserve"> </w:t>
      </w:r>
      <w:r w:rsidR="00181387">
        <w:rPr>
          <w:color w:val="000000"/>
          <w:sz w:val="24"/>
          <w:szCs w:val="24"/>
        </w:rPr>
        <w:t>nationally representative sample of the U.S. adult population</w:t>
      </w:r>
      <w:r w:rsidR="007C0D32">
        <w:rPr>
          <w:color w:val="000000"/>
          <w:sz w:val="24"/>
          <w:szCs w:val="24"/>
        </w:rPr>
        <w:t xml:space="preserve"> </w:t>
      </w:r>
      <w:r w:rsidR="00A221A9">
        <w:rPr>
          <w:color w:val="000000"/>
          <w:sz w:val="24"/>
          <w:szCs w:val="24"/>
        </w:rPr>
        <w:t xml:space="preserve">using this sampling frame </w:t>
      </w:r>
      <w:r w:rsidR="00FA0125">
        <w:rPr>
          <w:color w:val="000000"/>
          <w:sz w:val="24"/>
          <w:szCs w:val="24"/>
        </w:rPr>
        <w:t>(see</w:t>
      </w:r>
      <w:r w:rsidR="005C021E">
        <w:rPr>
          <w:color w:val="000000"/>
          <w:sz w:val="24"/>
          <w:szCs w:val="24"/>
        </w:rPr>
        <w:t xml:space="preserve"> </w:t>
      </w:r>
      <w:sdt>
        <w:sdtPr>
          <w:rPr>
            <w:color w:val="000000"/>
            <w:sz w:val="24"/>
            <w:szCs w:val="24"/>
          </w:rPr>
          <w:tag w:val="MENDELEY_CITATION_v3_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"/>
          <w:id w:val="-1002884452"/>
          <w:placeholder>
            <w:docPart w:val="DefaultPlaceholder_-1854013440"/>
          </w:placeholder>
        </w:sdtPr>
        <w:sdtEndPr/>
        <w:sdtContent>
          <w:r w:rsidR="000C5DDA" w:rsidRPr="000C5DDA">
            <w:rPr>
              <w:color w:val="000000"/>
              <w:sz w:val="24"/>
              <w:szCs w:val="24"/>
            </w:rPr>
            <w:t>Robbennolt et al., 2025</w:t>
          </w:r>
        </w:sdtContent>
      </w:sdt>
      <w:r w:rsidR="00FA0125">
        <w:rPr>
          <w:color w:val="000000"/>
          <w:sz w:val="24"/>
          <w:szCs w:val="24"/>
        </w:rPr>
        <w:t xml:space="preserve">, for a detailed discussion of the </w:t>
      </w:r>
      <w:r w:rsidR="00FA0125">
        <w:rPr>
          <w:color w:val="000000"/>
          <w:sz w:val="24"/>
          <w:szCs w:val="24"/>
        </w:rPr>
        <w:lastRenderedPageBreak/>
        <w:t>THA Survey design and administration procedures)</w:t>
      </w:r>
      <w:r w:rsidR="00181387">
        <w:rPr>
          <w:color w:val="000000"/>
          <w:sz w:val="24"/>
          <w:szCs w:val="24"/>
        </w:rPr>
        <w:t>. In particular,</w:t>
      </w:r>
      <w:r w:rsidR="00313C51">
        <w:rPr>
          <w:color w:val="000000"/>
          <w:sz w:val="24"/>
          <w:szCs w:val="24"/>
        </w:rPr>
        <w:t xml:space="preserve"> the </w:t>
      </w:r>
      <w:r w:rsidR="00BA045E" w:rsidRPr="00B247EC">
        <w:rPr>
          <w:color w:val="000000"/>
          <w:sz w:val="24"/>
          <w:szCs w:val="24"/>
        </w:rPr>
        <w:t xml:space="preserve">recruitment process applied quota controls on a comprehensive set of socio-economic and demographic </w:t>
      </w:r>
      <w:r w:rsidR="00753748">
        <w:rPr>
          <w:color w:val="000000"/>
          <w:sz w:val="24"/>
          <w:szCs w:val="24"/>
        </w:rPr>
        <w:t>characteristics</w:t>
      </w:r>
      <w:r w:rsidR="00BA045E" w:rsidRPr="00B247EC">
        <w:rPr>
          <w:color w:val="000000"/>
          <w:sz w:val="24"/>
          <w:szCs w:val="24"/>
        </w:rPr>
        <w:t xml:space="preserve"> (race, ethnicity, age, gender, educational attainment, household income,</w:t>
      </w:r>
      <w:r w:rsidR="00CE0557">
        <w:rPr>
          <w:color w:val="000000"/>
          <w:sz w:val="24"/>
          <w:szCs w:val="24"/>
        </w:rPr>
        <w:t xml:space="preserve"> area type of residence</w:t>
      </w:r>
      <w:r w:rsidR="00D5715C">
        <w:rPr>
          <w:color w:val="000000"/>
          <w:sz w:val="24"/>
          <w:szCs w:val="24"/>
        </w:rPr>
        <w:t>,</w:t>
      </w:r>
      <w:r w:rsidR="00BA045E" w:rsidRPr="00B247EC">
        <w:rPr>
          <w:color w:val="000000"/>
          <w:sz w:val="24"/>
          <w:szCs w:val="24"/>
        </w:rPr>
        <w:t xml:space="preserve"> and </w:t>
      </w:r>
      <w:r w:rsidR="005A5F22">
        <w:rPr>
          <w:color w:val="000000"/>
          <w:sz w:val="24"/>
          <w:szCs w:val="24"/>
        </w:rPr>
        <w:t>c</w:t>
      </w:r>
      <w:r w:rsidR="00BA045E" w:rsidRPr="00B247EC">
        <w:rPr>
          <w:color w:val="000000"/>
          <w:sz w:val="24"/>
          <w:szCs w:val="24"/>
        </w:rPr>
        <w:t>ensus division of residence)</w:t>
      </w:r>
      <w:r w:rsidR="00610ACA">
        <w:rPr>
          <w:color w:val="000000"/>
          <w:sz w:val="24"/>
          <w:szCs w:val="24"/>
        </w:rPr>
        <w:t xml:space="preserve"> </w:t>
      </w:r>
      <w:r w:rsidR="003C44AD" w:rsidRPr="003C44AD">
        <w:rPr>
          <w:color w:val="000000"/>
          <w:sz w:val="24"/>
          <w:szCs w:val="24"/>
        </w:rPr>
        <w:t>intended to approximate the distributions observed along each of these dimensions in the general U.S. adult population</w:t>
      </w:r>
      <w:r w:rsidR="003C44AD">
        <w:rPr>
          <w:color w:val="000000"/>
          <w:sz w:val="24"/>
          <w:szCs w:val="24"/>
        </w:rPr>
        <w:t xml:space="preserve">. </w:t>
      </w:r>
      <w:r w:rsidR="00BA045E" w:rsidRPr="00B247EC">
        <w:rPr>
          <w:color w:val="000000"/>
          <w:sz w:val="24"/>
          <w:szCs w:val="24"/>
        </w:rPr>
        <w:t>Eligibility was restricted to adults aged 18 or older residing in the U.S., and a series of attention checks and timing-based quality filters were embedded throughout the instrument to safeguard response quality. The dataset capture</w:t>
      </w:r>
      <w:r w:rsidR="00FE2875">
        <w:rPr>
          <w:color w:val="000000"/>
          <w:sz w:val="24"/>
          <w:szCs w:val="24"/>
        </w:rPr>
        <w:t>d</w:t>
      </w:r>
      <w:r w:rsidR="00BA045E" w:rsidRPr="00B247EC">
        <w:rPr>
          <w:color w:val="000000"/>
          <w:sz w:val="24"/>
          <w:szCs w:val="24"/>
        </w:rPr>
        <w:t xml:space="preserve"> detailed coverage of attitudes regarding transportation, mobility, and urban living; current activity-travel behaviors and mode use; safety experiences across travel modes; commuting patterns and telework arrangements; online shopping and delivery behaviors; and knowledge and opinions about emerging transportation technologies and infrastructure investments. Additional residential</w:t>
      </w:r>
      <w:r w:rsidR="00425383">
        <w:rPr>
          <w:color w:val="000000"/>
          <w:sz w:val="24"/>
          <w:szCs w:val="24"/>
        </w:rPr>
        <w:t xml:space="preserve"> </w:t>
      </w:r>
      <w:r w:rsidR="008F3D99">
        <w:rPr>
          <w:color w:val="000000"/>
          <w:sz w:val="24"/>
          <w:szCs w:val="24"/>
        </w:rPr>
        <w:t xml:space="preserve">BE </w:t>
      </w:r>
      <w:r w:rsidR="00BA045E" w:rsidRPr="00B247EC">
        <w:rPr>
          <w:color w:val="000000"/>
          <w:sz w:val="24"/>
          <w:szCs w:val="24"/>
        </w:rPr>
        <w:t xml:space="preserve">attributes were appended to the survey records based on </w:t>
      </w:r>
      <w:r w:rsidR="00FE2875">
        <w:rPr>
          <w:color w:val="000000"/>
          <w:sz w:val="24"/>
          <w:szCs w:val="24"/>
        </w:rPr>
        <w:t>the respondent</w:t>
      </w:r>
      <w:r w:rsidR="000D7001">
        <w:rPr>
          <w:color w:val="000000"/>
          <w:sz w:val="24"/>
          <w:szCs w:val="24"/>
        </w:rPr>
        <w:t>’</w:t>
      </w:r>
      <w:r w:rsidR="00FE2875">
        <w:rPr>
          <w:color w:val="000000"/>
          <w:sz w:val="24"/>
          <w:szCs w:val="24"/>
        </w:rPr>
        <w:t xml:space="preserve">s </w:t>
      </w:r>
      <w:r w:rsidR="00BA045E" w:rsidRPr="00B247EC">
        <w:rPr>
          <w:color w:val="000000"/>
          <w:sz w:val="24"/>
          <w:szCs w:val="24"/>
        </w:rPr>
        <w:t>residential zip code using the Environmental Protection Agency (EPA) Smart Location Database</w:t>
      </w:r>
      <w:r w:rsidR="00BA045E">
        <w:rPr>
          <w:color w:val="000000"/>
          <w:sz w:val="24"/>
          <w:szCs w:val="24"/>
        </w:rPr>
        <w:t xml:space="preserve"> </w:t>
      </w:r>
      <w:sdt>
        <w:sdtPr>
          <w:rPr>
            <w:color w:val="000000"/>
            <w:sz w:val="24"/>
            <w:szCs w:val="24"/>
          </w:rPr>
          <w:tag w:val="MENDELEY_CITATION_v3_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"/>
          <w:id w:val="1686861252"/>
          <w:placeholder>
            <w:docPart w:val="DefaultPlaceholder_-1854013440"/>
          </w:placeholder>
        </w:sdtPr>
        <w:sdtEndPr/>
        <w:sdtContent>
          <w:r w:rsidR="000C5DDA" w:rsidRPr="000C5DDA">
            <w:rPr>
              <w:color w:val="000000"/>
              <w:sz w:val="24"/>
              <w:szCs w:val="24"/>
            </w:rPr>
            <w:t>(Chapman et al., 2021)</w:t>
          </w:r>
        </w:sdtContent>
      </w:sdt>
      <w:r w:rsidR="00A3455C">
        <w:rPr>
          <w:color w:val="000000"/>
          <w:sz w:val="24"/>
          <w:szCs w:val="24"/>
        </w:rPr>
        <w:t xml:space="preserve">. </w:t>
      </w:r>
      <w:r w:rsidR="00751C42" w:rsidRPr="00751C42">
        <w:rPr>
          <w:color w:val="000000"/>
          <w:sz w:val="24"/>
          <w:szCs w:val="24"/>
        </w:rPr>
        <w:t xml:space="preserve">This database compiles its measures at the </w:t>
      </w:r>
      <w:r w:rsidR="005A5F22">
        <w:rPr>
          <w:color w:val="000000"/>
          <w:sz w:val="24"/>
          <w:szCs w:val="24"/>
        </w:rPr>
        <w:t>c</w:t>
      </w:r>
      <w:r w:rsidR="00751C42" w:rsidRPr="00751C42">
        <w:rPr>
          <w:color w:val="000000"/>
          <w:sz w:val="24"/>
          <w:szCs w:val="24"/>
        </w:rPr>
        <w:t>ensus block-group (CBG) level. To assign these measures to respondents, whose residential location is identified by zip code, the CBG-level values were aggregated to the zip-code level. Specifically, each zip code was assigned a weighted average of the values of all block groups overlapping it, with each block group weighted in proportion to the land area it contributes to the zip code. The specific BE measures appended to the survey records are described in Section 3.1.2. After basic cleaning and screening, and dropping observations that could not be matched, the final estimation sample comprised 8,273 respondents (from the original sample of 8,567 respondents).</w:t>
      </w:r>
    </w:p>
    <w:p w14:paraId="2742A88F" w14:textId="77777777" w:rsidR="004247F3" w:rsidRDefault="004247F3" w:rsidP="004247F3">
      <w:pPr>
        <w:pStyle w:val="FootnoteText"/>
        <w:jc w:val="both"/>
        <w:rPr>
          <w:color w:val="000000"/>
          <w:sz w:val="24"/>
          <w:szCs w:val="24"/>
        </w:rPr>
      </w:pPr>
    </w:p>
    <w:p w14:paraId="75C40A55" w14:textId="77777777" w:rsidR="00F26752" w:rsidRPr="00390142" w:rsidRDefault="00F26752" w:rsidP="004247F3">
      <w:pPr>
        <w:rPr>
          <w:b/>
          <w:bCs/>
          <w:i/>
          <w:iCs/>
          <w:sz w:val="24"/>
          <w:szCs w:val="24"/>
        </w:rPr>
      </w:pPr>
      <w:r w:rsidRPr="00390142">
        <w:rPr>
          <w:b/>
          <w:bCs/>
          <w:i/>
          <w:iCs/>
          <w:sz w:val="24"/>
          <w:szCs w:val="24"/>
        </w:rPr>
        <w:t>3.1.1 Endogenous Outcomes</w:t>
      </w:r>
    </w:p>
    <w:p w14:paraId="6E280061" w14:textId="5C766522" w:rsidR="008405E1" w:rsidRDefault="00C32262" w:rsidP="004247F3">
      <w:pPr>
        <w:pStyle w:val="FootnoteText"/>
        <w:jc w:val="both"/>
        <w:rPr>
          <w:color w:val="000000"/>
          <w:sz w:val="24"/>
          <w:szCs w:val="24"/>
        </w:rPr>
      </w:pPr>
      <w:r w:rsidRPr="00F4614A">
        <w:rPr>
          <w:color w:val="000000"/>
          <w:sz w:val="24"/>
          <w:szCs w:val="24"/>
        </w:rPr>
        <w:t>The distribution of the eight endogenous outcomes is presented in Table</w:t>
      </w:r>
      <w:r>
        <w:rPr>
          <w:color w:val="000000"/>
          <w:sz w:val="24"/>
          <w:szCs w:val="24"/>
        </w:rPr>
        <w:t xml:space="preserve"> 1. </w:t>
      </w:r>
      <w:r w:rsidR="00274AF1">
        <w:rPr>
          <w:color w:val="000000"/>
          <w:sz w:val="24"/>
          <w:szCs w:val="24"/>
        </w:rPr>
        <w:t xml:space="preserve">The first outcome is a binary variable indicating whether an </w:t>
      </w:r>
      <w:r w:rsidR="00135E6E">
        <w:rPr>
          <w:color w:val="000000"/>
          <w:sz w:val="24"/>
          <w:szCs w:val="24"/>
        </w:rPr>
        <w:t>individual is a</w:t>
      </w:r>
      <w:r w:rsidR="00580C77">
        <w:rPr>
          <w:color w:val="000000"/>
          <w:sz w:val="24"/>
          <w:szCs w:val="24"/>
        </w:rPr>
        <w:t xml:space="preserve">n NRAT </w:t>
      </w:r>
      <w:r w:rsidR="001D7400">
        <w:rPr>
          <w:color w:val="000000"/>
          <w:sz w:val="24"/>
          <w:szCs w:val="24"/>
        </w:rPr>
        <w:t xml:space="preserve">or not. </w:t>
      </w:r>
      <w:r w:rsidR="00B24A6B">
        <w:rPr>
          <w:color w:val="000000"/>
          <w:sz w:val="24"/>
          <w:szCs w:val="24"/>
        </w:rPr>
        <w:t>To define this variable, individuals were asked about their frequency of use</w:t>
      </w:r>
      <w:r w:rsidR="00580C77">
        <w:rPr>
          <w:color w:val="000000"/>
          <w:sz w:val="24"/>
          <w:szCs w:val="24"/>
        </w:rPr>
        <w:t xml:space="preserve"> (for both leisure purposes without a fixed destination and for utilitarian purposes to reach activity destinations)</w:t>
      </w:r>
      <w:r w:rsidR="00B24A6B">
        <w:rPr>
          <w:color w:val="000000"/>
          <w:sz w:val="24"/>
          <w:szCs w:val="24"/>
        </w:rPr>
        <w:t xml:space="preserve"> </w:t>
      </w:r>
      <w:r w:rsidR="00580C77">
        <w:rPr>
          <w:color w:val="000000"/>
          <w:sz w:val="24"/>
          <w:szCs w:val="24"/>
        </w:rPr>
        <w:t>of</w:t>
      </w:r>
      <w:r w:rsidR="00B24A6B">
        <w:rPr>
          <w:color w:val="000000"/>
          <w:sz w:val="24"/>
          <w:szCs w:val="24"/>
        </w:rPr>
        <w:t xml:space="preserve"> each of (1) walking, (2) using a manual bicycle (that they own or share), (3) using an e-bike or an e-scooter (that they own or share), </w:t>
      </w:r>
      <w:r w:rsidR="00580C77">
        <w:rPr>
          <w:color w:val="000000"/>
          <w:sz w:val="24"/>
          <w:szCs w:val="24"/>
        </w:rPr>
        <w:t>and</w:t>
      </w:r>
      <w:r w:rsidR="00B24A6B">
        <w:rPr>
          <w:color w:val="000000"/>
          <w:sz w:val="24"/>
          <w:szCs w:val="24"/>
        </w:rPr>
        <w:t xml:space="preserve"> (4) using another micromobility mode (including skateboard, e-skateboard, hoverboard, unicycle). </w:t>
      </w:r>
      <w:r w:rsidR="00E72B4C">
        <w:rPr>
          <w:color w:val="000000"/>
          <w:sz w:val="24"/>
          <w:szCs w:val="24"/>
        </w:rPr>
        <w:t xml:space="preserve">Then, </w:t>
      </w:r>
      <w:r w:rsidR="00580C77">
        <w:rPr>
          <w:color w:val="000000"/>
          <w:sz w:val="24"/>
          <w:szCs w:val="24"/>
        </w:rPr>
        <w:t xml:space="preserve">each </w:t>
      </w:r>
      <w:r w:rsidR="00E72B4C">
        <w:rPr>
          <w:color w:val="000000"/>
          <w:sz w:val="24"/>
          <w:szCs w:val="24"/>
        </w:rPr>
        <w:t>individual w</w:t>
      </w:r>
      <w:r w:rsidR="00580C77">
        <w:rPr>
          <w:color w:val="000000"/>
          <w:sz w:val="24"/>
          <w:szCs w:val="24"/>
        </w:rPr>
        <w:t>as</w:t>
      </w:r>
      <w:r w:rsidR="0092444B">
        <w:rPr>
          <w:color w:val="000000"/>
          <w:sz w:val="24"/>
          <w:szCs w:val="24"/>
        </w:rPr>
        <w:t xml:space="preserve"> </w:t>
      </w:r>
      <w:r w:rsidR="008B2E2E" w:rsidRPr="008B2E2E">
        <w:rPr>
          <w:color w:val="000000"/>
          <w:sz w:val="24"/>
          <w:szCs w:val="24"/>
        </w:rPr>
        <w:t>classified as a</w:t>
      </w:r>
      <w:r w:rsidR="00580C77">
        <w:rPr>
          <w:color w:val="000000"/>
          <w:sz w:val="24"/>
          <w:szCs w:val="24"/>
        </w:rPr>
        <w:t>n</w:t>
      </w:r>
      <w:r w:rsidR="008B2E2E" w:rsidRPr="008B2E2E">
        <w:rPr>
          <w:color w:val="000000"/>
          <w:sz w:val="24"/>
          <w:szCs w:val="24"/>
        </w:rPr>
        <w:t xml:space="preserve"> </w:t>
      </w:r>
      <w:r w:rsidR="00580C77">
        <w:rPr>
          <w:color w:val="000000"/>
          <w:sz w:val="24"/>
          <w:szCs w:val="24"/>
        </w:rPr>
        <w:t xml:space="preserve">NRAT </w:t>
      </w:r>
      <w:r w:rsidR="008B2E2E" w:rsidRPr="008B2E2E">
        <w:rPr>
          <w:color w:val="000000"/>
          <w:sz w:val="24"/>
          <w:szCs w:val="24"/>
        </w:rPr>
        <w:t xml:space="preserve">if, for every one of these four active modes, they reported a usage frequency of either </w:t>
      </w:r>
      <w:r w:rsidR="0005615F">
        <w:rPr>
          <w:color w:val="000000"/>
          <w:sz w:val="24"/>
          <w:szCs w:val="24"/>
        </w:rPr>
        <w:t>“</w:t>
      </w:r>
      <w:r w:rsidR="008B2E2E" w:rsidRPr="008B2E2E">
        <w:rPr>
          <w:color w:val="000000"/>
          <w:sz w:val="24"/>
          <w:szCs w:val="24"/>
        </w:rPr>
        <w:t>never</w:t>
      </w:r>
      <w:r w:rsidR="0005615F">
        <w:rPr>
          <w:color w:val="000000"/>
          <w:sz w:val="24"/>
          <w:szCs w:val="24"/>
        </w:rPr>
        <w:t>”</w:t>
      </w:r>
      <w:r w:rsidR="008B2E2E" w:rsidRPr="008B2E2E">
        <w:rPr>
          <w:color w:val="000000"/>
          <w:sz w:val="24"/>
          <w:szCs w:val="24"/>
        </w:rPr>
        <w:t xml:space="preserve"> or </w:t>
      </w:r>
      <w:r w:rsidR="0005615F">
        <w:rPr>
          <w:color w:val="000000"/>
          <w:sz w:val="24"/>
          <w:szCs w:val="24"/>
        </w:rPr>
        <w:t>“</w:t>
      </w:r>
      <w:r w:rsidR="008B2E2E" w:rsidRPr="008B2E2E">
        <w:rPr>
          <w:color w:val="000000"/>
          <w:sz w:val="24"/>
          <w:szCs w:val="24"/>
        </w:rPr>
        <w:t>less than one day per month</w:t>
      </w:r>
      <w:r w:rsidR="0005615F">
        <w:rPr>
          <w:color w:val="000000"/>
          <w:sz w:val="24"/>
          <w:szCs w:val="24"/>
        </w:rPr>
        <w:t>”</w:t>
      </w:r>
      <w:r w:rsidR="00E47C8C">
        <w:rPr>
          <w:color w:val="000000"/>
          <w:sz w:val="24"/>
          <w:szCs w:val="24"/>
        </w:rPr>
        <w:t>.</w:t>
      </w:r>
      <w:r w:rsidR="005E5FB0">
        <w:rPr>
          <w:color w:val="000000"/>
          <w:sz w:val="24"/>
          <w:szCs w:val="24"/>
        </w:rPr>
        <w:t xml:space="preserve"> </w:t>
      </w:r>
      <w:r w:rsidR="00292735" w:rsidRPr="00292735">
        <w:rPr>
          <w:color w:val="000000"/>
          <w:sz w:val="24"/>
          <w:szCs w:val="24"/>
        </w:rPr>
        <w:t xml:space="preserve">The threshold defining </w:t>
      </w:r>
      <w:r w:rsidR="00580C77">
        <w:rPr>
          <w:color w:val="000000"/>
          <w:sz w:val="24"/>
          <w:szCs w:val="24"/>
        </w:rPr>
        <w:t xml:space="preserve">an NRAT </w:t>
      </w:r>
      <w:r w:rsidR="00292735" w:rsidRPr="00292735">
        <w:rPr>
          <w:color w:val="000000"/>
          <w:sz w:val="24"/>
          <w:szCs w:val="24"/>
        </w:rPr>
        <w:t>is chosen to identify individuals whose engagement with active travel is minimal and unlikely to reflect a meaningful mobility choice, in line with the frequency bands used in prior active</w:t>
      </w:r>
      <w:r w:rsidR="00CF128C">
        <w:rPr>
          <w:color w:val="000000"/>
          <w:sz w:val="24"/>
          <w:szCs w:val="24"/>
        </w:rPr>
        <w:t xml:space="preserve"> </w:t>
      </w:r>
      <w:r w:rsidR="00292735" w:rsidRPr="00292735">
        <w:rPr>
          <w:color w:val="000000"/>
          <w:sz w:val="24"/>
          <w:szCs w:val="24"/>
        </w:rPr>
        <w:t>travel and micromobility studies</w:t>
      </w:r>
      <w:r w:rsidR="00292735">
        <w:rPr>
          <w:color w:val="000000"/>
          <w:sz w:val="24"/>
          <w:szCs w:val="24"/>
        </w:rPr>
        <w:t xml:space="preserve"> (see </w:t>
      </w:r>
      <w:sdt>
        <w:sdtPr>
          <w:rPr>
            <w:color w:val="000000"/>
            <w:sz w:val="24"/>
            <w:szCs w:val="24"/>
          </w:rPr>
          <w:tag w:val="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"/>
          <w:id w:val="-1060938862"/>
          <w:placeholder>
            <w:docPart w:val="DefaultPlaceholder_-1854013440"/>
          </w:placeholder>
        </w:sdtPr>
        <w:sdtEndPr/>
        <w:sdtContent>
          <w:r w:rsidR="000C5DDA" w:rsidRPr="000C5DDA">
            <w:rPr>
              <w:color w:val="000000"/>
              <w:sz w:val="24"/>
              <w:szCs w:val="24"/>
            </w:rPr>
            <w:t>Sanders et al., 2020; Blazanin et al., 2022; Baquero Larriva et al., 2024; Aguilera-García et al., 2024)</w:t>
          </w:r>
        </w:sdtContent>
      </w:sdt>
      <w:r w:rsidR="009A694F">
        <w:rPr>
          <w:color w:val="000000"/>
          <w:sz w:val="24"/>
          <w:szCs w:val="24"/>
        </w:rPr>
        <w:t xml:space="preserve">. </w:t>
      </w:r>
      <w:r w:rsidR="00042FF4" w:rsidRPr="00042FF4">
        <w:rPr>
          <w:color w:val="000000"/>
          <w:sz w:val="24"/>
          <w:szCs w:val="24"/>
        </w:rPr>
        <w:t xml:space="preserve">At </w:t>
      </w:r>
      <w:r w:rsidR="00580C77">
        <w:rPr>
          <w:color w:val="000000"/>
          <w:sz w:val="24"/>
          <w:szCs w:val="24"/>
        </w:rPr>
        <w:t xml:space="preserve">very </w:t>
      </w:r>
      <w:r w:rsidR="00042FF4" w:rsidRPr="00042FF4">
        <w:rPr>
          <w:color w:val="000000"/>
          <w:sz w:val="24"/>
          <w:szCs w:val="24"/>
        </w:rPr>
        <w:t>low levels of use (less than on</w:t>
      </w:r>
      <w:r w:rsidR="001C71FE">
        <w:rPr>
          <w:color w:val="000000"/>
          <w:sz w:val="24"/>
          <w:szCs w:val="24"/>
        </w:rPr>
        <w:t>e day</w:t>
      </w:r>
      <w:r w:rsidR="00042FF4" w:rsidRPr="00042FF4">
        <w:rPr>
          <w:color w:val="000000"/>
          <w:sz w:val="24"/>
          <w:szCs w:val="24"/>
        </w:rPr>
        <w:t xml:space="preserve"> per month), active travel typically amounts to </w:t>
      </w:r>
      <w:r w:rsidR="00580C77">
        <w:rPr>
          <w:color w:val="000000"/>
          <w:sz w:val="24"/>
          <w:szCs w:val="24"/>
        </w:rPr>
        <w:t xml:space="preserve">an </w:t>
      </w:r>
      <w:r w:rsidR="00042FF4" w:rsidRPr="00042FF4">
        <w:rPr>
          <w:color w:val="000000"/>
          <w:sz w:val="24"/>
          <w:szCs w:val="24"/>
        </w:rPr>
        <w:t xml:space="preserve">incidental or </w:t>
      </w:r>
      <w:r w:rsidR="008C71E4">
        <w:rPr>
          <w:color w:val="000000"/>
          <w:sz w:val="24"/>
          <w:szCs w:val="24"/>
        </w:rPr>
        <w:t>“</w:t>
      </w:r>
      <w:r w:rsidR="00042FF4" w:rsidRPr="00042FF4">
        <w:rPr>
          <w:color w:val="000000"/>
          <w:sz w:val="24"/>
          <w:szCs w:val="24"/>
        </w:rPr>
        <w:t>one</w:t>
      </w:r>
      <w:r w:rsidR="008D35F8">
        <w:rPr>
          <w:color w:val="000000"/>
          <w:sz w:val="24"/>
          <w:szCs w:val="24"/>
        </w:rPr>
        <w:t>-</w:t>
      </w:r>
      <w:r w:rsidR="00042FF4" w:rsidRPr="00042FF4">
        <w:rPr>
          <w:color w:val="000000"/>
          <w:sz w:val="24"/>
          <w:szCs w:val="24"/>
        </w:rPr>
        <w:t>off</w:t>
      </w:r>
      <w:r w:rsidR="008C71E4">
        <w:rPr>
          <w:color w:val="000000"/>
          <w:sz w:val="24"/>
          <w:szCs w:val="24"/>
        </w:rPr>
        <w:t>”</w:t>
      </w:r>
      <w:r w:rsidR="00042FF4" w:rsidRPr="00042FF4">
        <w:rPr>
          <w:color w:val="000000"/>
          <w:sz w:val="24"/>
          <w:szCs w:val="24"/>
        </w:rPr>
        <w:t xml:space="preserve"> instance rather than a developing behavioral pattern, placing these individuals at the early, pre-adoption stage through which regular active travel develops</w:t>
      </w:r>
      <w:r w:rsidR="00042FF4">
        <w:rPr>
          <w:color w:val="000000"/>
          <w:sz w:val="24"/>
          <w:szCs w:val="24"/>
        </w:rPr>
        <w:t xml:space="preserve">. </w:t>
      </w:r>
      <w:r w:rsidR="0014418A" w:rsidRPr="0014418A">
        <w:rPr>
          <w:color w:val="000000"/>
          <w:sz w:val="24"/>
          <w:szCs w:val="24"/>
        </w:rPr>
        <w:t>It is this population</w:t>
      </w:r>
      <w:r w:rsidR="00580C77">
        <w:rPr>
          <w:color w:val="000000"/>
          <w:sz w:val="24"/>
          <w:szCs w:val="24"/>
        </w:rPr>
        <w:t xml:space="preserve"> of very rare users, along with non-users of active travel modes,</w:t>
      </w:r>
      <w:r w:rsidR="0014418A" w:rsidRPr="0014418A">
        <w:rPr>
          <w:color w:val="000000"/>
          <w:sz w:val="24"/>
          <w:szCs w:val="24"/>
        </w:rPr>
        <w:t xml:space="preserve"> whose uptake of active modes hinges on overcoming the </w:t>
      </w:r>
      <w:r w:rsidR="008C71E4">
        <w:rPr>
          <w:color w:val="000000"/>
          <w:sz w:val="24"/>
          <w:szCs w:val="24"/>
        </w:rPr>
        <w:t>“</w:t>
      </w:r>
      <w:r w:rsidR="0014418A" w:rsidRPr="0014418A">
        <w:rPr>
          <w:color w:val="000000"/>
          <w:sz w:val="24"/>
          <w:szCs w:val="24"/>
        </w:rPr>
        <w:t>first</w:t>
      </w:r>
      <w:r w:rsidR="00AE19AB">
        <w:rPr>
          <w:color w:val="000000"/>
          <w:sz w:val="24"/>
          <w:szCs w:val="24"/>
        </w:rPr>
        <w:t xml:space="preserve"> </w:t>
      </w:r>
      <w:r w:rsidR="0014418A" w:rsidRPr="0014418A">
        <w:rPr>
          <w:color w:val="000000"/>
          <w:sz w:val="24"/>
          <w:szCs w:val="24"/>
        </w:rPr>
        <w:t>entry</w:t>
      </w:r>
      <w:r w:rsidR="008C71E4">
        <w:rPr>
          <w:color w:val="000000"/>
          <w:sz w:val="24"/>
          <w:szCs w:val="24"/>
        </w:rPr>
        <w:t>”</w:t>
      </w:r>
      <w:r w:rsidR="0014418A" w:rsidRPr="0014418A">
        <w:rPr>
          <w:color w:val="000000"/>
          <w:sz w:val="24"/>
          <w:szCs w:val="24"/>
        </w:rPr>
        <w:t xml:space="preserve"> barriers </w:t>
      </w:r>
      <w:r w:rsidR="00F652CF">
        <w:rPr>
          <w:color w:val="000000"/>
          <w:sz w:val="24"/>
          <w:szCs w:val="24"/>
        </w:rPr>
        <w:t xml:space="preserve">that </w:t>
      </w:r>
      <w:r w:rsidR="0014418A" w:rsidRPr="0014418A">
        <w:rPr>
          <w:color w:val="000000"/>
          <w:sz w:val="24"/>
          <w:szCs w:val="24"/>
        </w:rPr>
        <w:t>this study examines</w:t>
      </w:r>
      <w:r w:rsidR="00F652CF">
        <w:rPr>
          <w:color w:val="000000"/>
          <w:sz w:val="24"/>
          <w:szCs w:val="24"/>
        </w:rPr>
        <w:t xml:space="preserve">. </w:t>
      </w:r>
      <w:r w:rsidR="00C40364">
        <w:rPr>
          <w:color w:val="000000"/>
          <w:sz w:val="24"/>
          <w:szCs w:val="24"/>
        </w:rPr>
        <w:t xml:space="preserve">Such </w:t>
      </w:r>
      <w:r w:rsidR="00F652CF">
        <w:rPr>
          <w:color w:val="000000"/>
          <w:sz w:val="24"/>
          <w:szCs w:val="24"/>
        </w:rPr>
        <w:t xml:space="preserve">NRATs </w:t>
      </w:r>
      <w:r w:rsidR="00C40364">
        <w:rPr>
          <w:color w:val="000000"/>
          <w:sz w:val="24"/>
          <w:szCs w:val="24"/>
        </w:rPr>
        <w:t xml:space="preserve">comprised </w:t>
      </w:r>
      <w:r w:rsidR="006422B5">
        <w:rPr>
          <w:color w:val="000000"/>
          <w:sz w:val="24"/>
          <w:szCs w:val="24"/>
        </w:rPr>
        <w:t>17.8% (1,476 individuals) of the sample (see the top panel of Table 1).</w:t>
      </w:r>
    </w:p>
    <w:p w14:paraId="53BD1522" w14:textId="21DF57CA" w:rsidR="006A4AD4" w:rsidRDefault="000F4E45" w:rsidP="004247F3">
      <w:pPr>
        <w:pStyle w:val="FootnoteText"/>
        <w:ind w:firstLine="720"/>
        <w:jc w:val="both"/>
        <w:rPr>
          <w:color w:val="000000"/>
          <w:sz w:val="24"/>
          <w:szCs w:val="24"/>
        </w:rPr>
      </w:pPr>
      <w:r>
        <w:rPr>
          <w:color w:val="000000"/>
          <w:sz w:val="24"/>
          <w:szCs w:val="24"/>
        </w:rPr>
        <w:t xml:space="preserve">The next set of outcomes is related to the </w:t>
      </w:r>
      <w:r w:rsidR="00F652CF">
        <w:rPr>
          <w:color w:val="000000"/>
          <w:sz w:val="24"/>
          <w:szCs w:val="24"/>
        </w:rPr>
        <w:t xml:space="preserve">set of </w:t>
      </w:r>
      <w:r w:rsidR="009D2B0E">
        <w:rPr>
          <w:color w:val="000000"/>
          <w:sz w:val="24"/>
          <w:szCs w:val="24"/>
        </w:rPr>
        <w:t>barrier</w:t>
      </w:r>
      <w:r>
        <w:rPr>
          <w:color w:val="000000"/>
          <w:sz w:val="24"/>
          <w:szCs w:val="24"/>
        </w:rPr>
        <w:t xml:space="preserve">s that lead </w:t>
      </w:r>
      <w:r w:rsidR="00F652CF">
        <w:rPr>
          <w:color w:val="000000"/>
          <w:sz w:val="24"/>
          <w:szCs w:val="24"/>
        </w:rPr>
        <w:t xml:space="preserve">NRATs </w:t>
      </w:r>
      <w:r>
        <w:rPr>
          <w:color w:val="000000"/>
          <w:sz w:val="24"/>
          <w:szCs w:val="24"/>
        </w:rPr>
        <w:t xml:space="preserve">to avoid active travel. </w:t>
      </w:r>
      <w:r w:rsidR="00F652CF">
        <w:rPr>
          <w:color w:val="000000"/>
          <w:sz w:val="24"/>
          <w:szCs w:val="24"/>
        </w:rPr>
        <w:t>Specifically, t</w:t>
      </w:r>
      <w:r>
        <w:rPr>
          <w:color w:val="000000"/>
          <w:sz w:val="24"/>
          <w:szCs w:val="24"/>
        </w:rPr>
        <w:t>he</w:t>
      </w:r>
      <w:r w:rsidR="00F652CF">
        <w:rPr>
          <w:color w:val="000000"/>
          <w:sz w:val="24"/>
          <w:szCs w:val="24"/>
        </w:rPr>
        <w:t xml:space="preserve"> survey elicited information on eight barriers from individuals who characterized themselves (as per the definition discussed earlier) as NRATs</w:t>
      </w:r>
      <w:r>
        <w:rPr>
          <w:color w:val="000000"/>
          <w:sz w:val="24"/>
          <w:szCs w:val="24"/>
        </w:rPr>
        <w:t xml:space="preserve">. However, </w:t>
      </w:r>
      <w:r w:rsidR="00F652CF">
        <w:rPr>
          <w:color w:val="000000"/>
          <w:sz w:val="24"/>
          <w:szCs w:val="24"/>
        </w:rPr>
        <w:t xml:space="preserve">from among the eight barriers, </w:t>
      </w:r>
      <w:r>
        <w:rPr>
          <w:color w:val="000000"/>
          <w:sz w:val="24"/>
          <w:szCs w:val="24"/>
        </w:rPr>
        <w:t xml:space="preserve">one </w:t>
      </w:r>
      <w:r w:rsidR="00C82FCB">
        <w:rPr>
          <w:color w:val="000000"/>
          <w:sz w:val="24"/>
          <w:szCs w:val="24"/>
        </w:rPr>
        <w:t xml:space="preserve">barrier </w:t>
      </w:r>
      <w:r>
        <w:rPr>
          <w:color w:val="000000"/>
          <w:sz w:val="24"/>
          <w:szCs w:val="24"/>
        </w:rPr>
        <w:t xml:space="preserve">was excluded from </w:t>
      </w:r>
      <w:r w:rsidR="00C82FCB">
        <w:rPr>
          <w:color w:val="000000"/>
          <w:sz w:val="24"/>
          <w:szCs w:val="24"/>
        </w:rPr>
        <w:t xml:space="preserve">our analysis </w:t>
      </w:r>
      <w:r>
        <w:rPr>
          <w:color w:val="000000"/>
          <w:sz w:val="24"/>
          <w:szCs w:val="24"/>
        </w:rPr>
        <w:t xml:space="preserve">because only a very small </w:t>
      </w:r>
      <w:r>
        <w:rPr>
          <w:color w:val="000000"/>
          <w:sz w:val="24"/>
          <w:szCs w:val="24"/>
        </w:rPr>
        <w:lastRenderedPageBreak/>
        <w:t xml:space="preserve">share of respondents selected </w:t>
      </w:r>
      <w:r w:rsidR="00C82FCB">
        <w:rPr>
          <w:color w:val="000000"/>
          <w:sz w:val="24"/>
          <w:szCs w:val="24"/>
        </w:rPr>
        <w:t>it</w:t>
      </w:r>
      <w:r>
        <w:rPr>
          <w:color w:val="000000"/>
          <w:sz w:val="24"/>
          <w:szCs w:val="24"/>
        </w:rPr>
        <w:t>.</w:t>
      </w:r>
      <w:r w:rsidRPr="00416ED8">
        <w:rPr>
          <w:color w:val="000000"/>
          <w:sz w:val="24"/>
          <w:szCs w:val="24"/>
          <w:vertAlign w:val="superscript"/>
        </w:rPr>
        <w:footnoteReference w:id="1"/>
      </w:r>
      <w:r>
        <w:rPr>
          <w:color w:val="000000"/>
          <w:sz w:val="24"/>
          <w:szCs w:val="24"/>
        </w:rPr>
        <w:t xml:space="preserve"> </w:t>
      </w:r>
      <w:r w:rsidR="00C82FCB">
        <w:rPr>
          <w:color w:val="000000"/>
          <w:sz w:val="24"/>
          <w:szCs w:val="24"/>
        </w:rPr>
        <w:t>T</w:t>
      </w:r>
      <w:r w:rsidRPr="00657BF2">
        <w:rPr>
          <w:color w:val="000000"/>
          <w:sz w:val="24"/>
          <w:szCs w:val="24"/>
        </w:rPr>
        <w:t xml:space="preserve">he </w:t>
      </w:r>
      <w:r w:rsidR="00C82FCB">
        <w:rPr>
          <w:color w:val="000000"/>
          <w:sz w:val="24"/>
          <w:szCs w:val="24"/>
        </w:rPr>
        <w:t xml:space="preserve">descriptive statistics for the </w:t>
      </w:r>
      <w:r w:rsidRPr="00657BF2">
        <w:rPr>
          <w:color w:val="000000"/>
          <w:sz w:val="24"/>
          <w:szCs w:val="24"/>
        </w:rPr>
        <w:t>seven re</w:t>
      </w:r>
      <w:r w:rsidR="00C82FCB">
        <w:rPr>
          <w:color w:val="000000"/>
          <w:sz w:val="24"/>
          <w:szCs w:val="24"/>
        </w:rPr>
        <w:t xml:space="preserve">tained </w:t>
      </w:r>
      <w:r w:rsidRPr="00657BF2">
        <w:rPr>
          <w:color w:val="000000"/>
          <w:sz w:val="24"/>
          <w:szCs w:val="24"/>
        </w:rPr>
        <w:t>barriers</w:t>
      </w:r>
      <w:r>
        <w:rPr>
          <w:color w:val="000000"/>
          <w:sz w:val="24"/>
          <w:szCs w:val="24"/>
        </w:rPr>
        <w:t xml:space="preserve"> are shown in the lower </w:t>
      </w:r>
      <w:r w:rsidR="00C82FCB">
        <w:rPr>
          <w:color w:val="000000"/>
          <w:sz w:val="24"/>
          <w:szCs w:val="24"/>
        </w:rPr>
        <w:t xml:space="preserve">panel </w:t>
      </w:r>
      <w:r>
        <w:rPr>
          <w:color w:val="000000"/>
          <w:sz w:val="24"/>
          <w:szCs w:val="24"/>
        </w:rPr>
        <w:t xml:space="preserve">of Table </w:t>
      </w:r>
      <w:r w:rsidR="00A25FFE">
        <w:rPr>
          <w:color w:val="000000"/>
          <w:sz w:val="24"/>
          <w:szCs w:val="24"/>
        </w:rPr>
        <w:t>1</w:t>
      </w:r>
      <w:r w:rsidR="00C24AA7">
        <w:rPr>
          <w:color w:val="000000"/>
          <w:sz w:val="24"/>
          <w:szCs w:val="24"/>
        </w:rPr>
        <w:t>,</w:t>
      </w:r>
      <w:r>
        <w:rPr>
          <w:color w:val="000000"/>
          <w:sz w:val="24"/>
          <w:szCs w:val="24"/>
        </w:rPr>
        <w:t xml:space="preserve"> with percentages based on the number of individuals selecting each </w:t>
      </w:r>
      <w:r w:rsidR="009D2B0E">
        <w:rPr>
          <w:color w:val="000000"/>
          <w:sz w:val="24"/>
          <w:szCs w:val="24"/>
        </w:rPr>
        <w:t>barrier</w:t>
      </w:r>
      <w:r>
        <w:rPr>
          <w:color w:val="000000"/>
          <w:sz w:val="24"/>
          <w:szCs w:val="24"/>
        </w:rPr>
        <w:t xml:space="preserve"> </w:t>
      </w:r>
      <w:r w:rsidR="00C24AA7">
        <w:rPr>
          <w:color w:val="000000"/>
          <w:sz w:val="24"/>
          <w:szCs w:val="24"/>
        </w:rPr>
        <w:t xml:space="preserve">within the group of NRATs. </w:t>
      </w:r>
      <w:r w:rsidR="00E15953">
        <w:rPr>
          <w:color w:val="000000"/>
          <w:sz w:val="24"/>
          <w:szCs w:val="24"/>
        </w:rPr>
        <w:t>It is important to note</w:t>
      </w:r>
      <w:r w:rsidR="00654AD2">
        <w:rPr>
          <w:color w:val="000000"/>
          <w:sz w:val="24"/>
          <w:szCs w:val="24"/>
        </w:rPr>
        <w:t xml:space="preserve"> </w:t>
      </w:r>
      <w:r>
        <w:rPr>
          <w:color w:val="000000"/>
          <w:sz w:val="24"/>
          <w:szCs w:val="24"/>
        </w:rPr>
        <w:t xml:space="preserve">that </w:t>
      </w:r>
      <w:r w:rsidRPr="00353E87">
        <w:rPr>
          <w:color w:val="000000"/>
          <w:sz w:val="24"/>
          <w:szCs w:val="24"/>
        </w:rPr>
        <w:t xml:space="preserve">because the </w:t>
      </w:r>
      <w:r w:rsidR="00654AD2">
        <w:rPr>
          <w:color w:val="000000"/>
          <w:sz w:val="24"/>
          <w:szCs w:val="24"/>
        </w:rPr>
        <w:t xml:space="preserve">survey </w:t>
      </w:r>
      <w:r w:rsidRPr="00353E87">
        <w:rPr>
          <w:color w:val="000000"/>
          <w:sz w:val="24"/>
          <w:szCs w:val="24"/>
        </w:rPr>
        <w:t>permits multiple selections</w:t>
      </w:r>
      <w:r w:rsidR="00654AD2">
        <w:rPr>
          <w:color w:val="000000"/>
          <w:sz w:val="24"/>
          <w:szCs w:val="24"/>
        </w:rPr>
        <w:t xml:space="preserve"> of the seven barriers</w:t>
      </w:r>
      <w:r w:rsidRPr="00353E87">
        <w:rPr>
          <w:color w:val="000000"/>
          <w:sz w:val="24"/>
          <w:szCs w:val="24"/>
        </w:rPr>
        <w:t xml:space="preserve">, the </w:t>
      </w:r>
      <w:r w:rsidR="00654AD2">
        <w:rPr>
          <w:color w:val="000000"/>
          <w:sz w:val="24"/>
          <w:szCs w:val="24"/>
        </w:rPr>
        <w:t>percentage across the seven barriers exceed</w:t>
      </w:r>
      <w:r w:rsidR="008305DD">
        <w:rPr>
          <w:color w:val="000000"/>
          <w:sz w:val="24"/>
          <w:szCs w:val="24"/>
        </w:rPr>
        <w:t>s</w:t>
      </w:r>
      <w:r w:rsidR="00654AD2">
        <w:rPr>
          <w:color w:val="000000"/>
          <w:sz w:val="24"/>
          <w:szCs w:val="24"/>
        </w:rPr>
        <w:t xml:space="preserve"> 100%. In fact, t</w:t>
      </w:r>
      <w:r w:rsidRPr="00353E87">
        <w:rPr>
          <w:color w:val="000000"/>
          <w:sz w:val="24"/>
          <w:szCs w:val="24"/>
        </w:rPr>
        <w:t xml:space="preserve">he 1,476 </w:t>
      </w:r>
      <w:r w:rsidR="00654AD2">
        <w:rPr>
          <w:color w:val="000000"/>
          <w:sz w:val="24"/>
          <w:szCs w:val="24"/>
        </w:rPr>
        <w:t xml:space="preserve">NRATs </w:t>
      </w:r>
      <w:r w:rsidRPr="00353E87">
        <w:rPr>
          <w:color w:val="000000"/>
          <w:sz w:val="24"/>
          <w:szCs w:val="24"/>
        </w:rPr>
        <w:t xml:space="preserve">register 1,863 barrier selections, an average of 1.26 barriers per </w:t>
      </w:r>
      <w:r w:rsidR="00654AD2">
        <w:rPr>
          <w:color w:val="000000"/>
          <w:sz w:val="24"/>
          <w:szCs w:val="24"/>
        </w:rPr>
        <w:t>NRAT</w:t>
      </w:r>
      <w:r w:rsidRPr="00353E87">
        <w:rPr>
          <w:color w:val="000000"/>
          <w:sz w:val="24"/>
          <w:szCs w:val="24"/>
        </w:rPr>
        <w:t xml:space="preserve">. </w:t>
      </w:r>
      <w:r w:rsidR="00DC3C80">
        <w:rPr>
          <w:color w:val="000000"/>
          <w:sz w:val="24"/>
          <w:szCs w:val="24"/>
        </w:rPr>
        <w:t>T</w:t>
      </w:r>
      <w:r w:rsidRPr="00393A3F">
        <w:rPr>
          <w:color w:val="000000"/>
          <w:sz w:val="24"/>
          <w:szCs w:val="24"/>
        </w:rPr>
        <w:t>he perception that active modes are inappropriate for the trip lengths needed to reach destinations is the single most cited concern (38.1%), followed by a lack of sidewalks or</w:t>
      </w:r>
      <w:r>
        <w:rPr>
          <w:color w:val="000000"/>
          <w:sz w:val="24"/>
          <w:szCs w:val="24"/>
        </w:rPr>
        <w:t xml:space="preserve"> bi</w:t>
      </w:r>
      <w:r w:rsidR="00CC1A3D">
        <w:rPr>
          <w:color w:val="000000"/>
          <w:sz w:val="24"/>
          <w:szCs w:val="24"/>
        </w:rPr>
        <w:t>cycle</w:t>
      </w:r>
      <w:r>
        <w:rPr>
          <w:color w:val="000000"/>
          <w:sz w:val="24"/>
          <w:szCs w:val="24"/>
        </w:rPr>
        <w:t xml:space="preserve"> lanes </w:t>
      </w:r>
      <w:r w:rsidR="00113614" w:rsidRPr="00393A3F">
        <w:rPr>
          <w:color w:val="000000"/>
          <w:sz w:val="24"/>
          <w:szCs w:val="24"/>
        </w:rPr>
        <w:t>(24.3%), adverse weather (17.0%), and the two traffic-safety concerns of aggressive and distracted driving, which cluster in the middle at nearly identical rates (16.5% and 16.3%, respectively). At the lower end, insufficient lighting (7.9%) and loitering or threatening behavior (6.2%) are the least frequently</w:t>
      </w:r>
      <w:r w:rsidR="00113614">
        <w:rPr>
          <w:color w:val="000000"/>
          <w:sz w:val="24"/>
          <w:szCs w:val="24"/>
        </w:rPr>
        <w:t xml:space="preserve"> cited as reasons for the low frequency of active mode use. </w:t>
      </w:r>
      <w:r w:rsidR="007170B0" w:rsidRPr="007170B0">
        <w:rPr>
          <w:color w:val="000000"/>
          <w:sz w:val="24"/>
          <w:szCs w:val="24"/>
        </w:rPr>
        <w:t xml:space="preserve">Aggregate prevalence, however, is only one dimension of barrier salience, and a barrier reported by relatively few </w:t>
      </w:r>
      <w:r w:rsidR="00654AD2">
        <w:rPr>
          <w:color w:val="000000"/>
          <w:sz w:val="24"/>
          <w:szCs w:val="24"/>
        </w:rPr>
        <w:t xml:space="preserve">NRATs </w:t>
      </w:r>
      <w:r w:rsidR="007170B0" w:rsidRPr="007170B0">
        <w:rPr>
          <w:color w:val="000000"/>
          <w:sz w:val="24"/>
          <w:szCs w:val="24"/>
        </w:rPr>
        <w:t>can still weigh heavily on the subgroups who experience it</w:t>
      </w:r>
      <w:r w:rsidR="003B4635">
        <w:rPr>
          <w:color w:val="000000"/>
          <w:sz w:val="24"/>
          <w:szCs w:val="24"/>
        </w:rPr>
        <w:t xml:space="preserve">. </w:t>
      </w:r>
      <w:r w:rsidR="00BF137A" w:rsidRPr="00BF137A">
        <w:rPr>
          <w:color w:val="000000"/>
          <w:sz w:val="24"/>
          <w:szCs w:val="24"/>
        </w:rPr>
        <w:t xml:space="preserve">This is the reason </w:t>
      </w:r>
      <w:r w:rsidR="00025723" w:rsidRPr="00BF137A">
        <w:rPr>
          <w:color w:val="000000"/>
          <w:sz w:val="24"/>
          <w:szCs w:val="24"/>
        </w:rPr>
        <w:t>for developing</w:t>
      </w:r>
      <w:r w:rsidR="00BF137A" w:rsidRPr="00BF137A">
        <w:rPr>
          <w:color w:val="000000"/>
          <w:sz w:val="24"/>
          <w:szCs w:val="24"/>
        </w:rPr>
        <w:t xml:space="preserve"> a multivariate modeling approach, as undertaken in this paper, so that heterogeneity</w:t>
      </w:r>
      <w:r w:rsidR="00025723">
        <w:rPr>
          <w:color w:val="000000"/>
          <w:sz w:val="24"/>
          <w:szCs w:val="24"/>
        </w:rPr>
        <w:t xml:space="preserve"> across specific demographic groups residing in specific </w:t>
      </w:r>
      <w:r w:rsidR="00425383">
        <w:rPr>
          <w:color w:val="000000"/>
          <w:sz w:val="24"/>
          <w:szCs w:val="24"/>
        </w:rPr>
        <w:t>BE</w:t>
      </w:r>
      <w:r w:rsidR="002412E2">
        <w:rPr>
          <w:color w:val="000000"/>
          <w:sz w:val="24"/>
          <w:szCs w:val="24"/>
        </w:rPr>
        <w:t xml:space="preserve"> contexts may be teased out.</w:t>
      </w:r>
    </w:p>
    <w:p w14:paraId="017CD892" w14:textId="77777777" w:rsidR="006A4AD4" w:rsidRDefault="006A4AD4" w:rsidP="000537DA">
      <w:pPr>
        <w:pStyle w:val="FootnoteText"/>
        <w:jc w:val="both"/>
        <w:rPr>
          <w:color w:val="000000"/>
          <w:sz w:val="24"/>
          <w:szCs w:val="24"/>
        </w:rPr>
      </w:pPr>
    </w:p>
    <w:p w14:paraId="688B7BF2" w14:textId="77777777" w:rsidR="00365A46" w:rsidRPr="006A4AD4" w:rsidRDefault="00365A46" w:rsidP="006A4AD4">
      <w:pPr>
        <w:pStyle w:val="FootnoteText"/>
        <w:jc w:val="both"/>
        <w:rPr>
          <w:b/>
          <w:bCs/>
          <w:sz w:val="24"/>
          <w:szCs w:val="24"/>
        </w:rPr>
      </w:pPr>
      <w:r w:rsidRPr="00645707">
        <w:rPr>
          <w:b/>
          <w:bCs/>
          <w:sz w:val="24"/>
          <w:szCs w:val="24"/>
        </w:rPr>
        <w:t xml:space="preserve">Table </w:t>
      </w:r>
      <w:r>
        <w:rPr>
          <w:b/>
          <w:bCs/>
          <w:sz w:val="24"/>
          <w:szCs w:val="24"/>
        </w:rPr>
        <w:t>1</w:t>
      </w:r>
      <w:r w:rsidRPr="00645707">
        <w:rPr>
          <w:b/>
          <w:bCs/>
          <w:sz w:val="24"/>
          <w:szCs w:val="24"/>
        </w:rPr>
        <w:t>. Descriptive Statistics of the Endogenous Outcomes</w:t>
      </w:r>
    </w:p>
    <w:tbl>
      <w:tblPr>
        <w:tblW w:w="9360" w:type="dxa"/>
        <w:shd w:val="clear" w:color="auto" w:fill="FFFFFF" w:themeFill="background1"/>
        <w:tblCellMar>
          <w:left w:w="10" w:type="dxa"/>
          <w:right w:w="10" w:type="dxa"/>
        </w:tblCellMar>
        <w:tblLook w:val="04A0" w:firstRow="1" w:lastRow="0" w:firstColumn="1" w:lastColumn="0" w:noHBand="0" w:noVBand="1"/>
      </w:tblPr>
      <w:tblGrid>
        <w:gridCol w:w="6727"/>
        <w:gridCol w:w="1260"/>
        <w:gridCol w:w="1373"/>
      </w:tblGrid>
      <w:tr w:rsidR="00365A46" w:rsidRPr="00862928" w14:paraId="56726574" w14:textId="77777777" w:rsidTr="001F3ABE">
        <w:trPr>
          <w:trHeight w:val="259"/>
          <w:tblHeader/>
        </w:trPr>
        <w:tc>
          <w:tcPr>
            <w:tcW w:w="6727" w:type="dxa"/>
            <w:tcBorders>
              <w:top w:val="single" w:sz="18" w:space="0" w:color="auto"/>
              <w:left w:val="single" w:sz="18" w:space="0" w:color="auto"/>
              <w:bottom w:val="single" w:sz="18" w:space="0" w:color="auto"/>
              <w:right w:val="dotted" w:sz="4" w:space="0" w:color="auto"/>
            </w:tcBorders>
            <w:shd w:val="clear" w:color="auto" w:fill="FFFFFF" w:themeFill="background1"/>
            <w:tcMar>
              <w:top w:w="0" w:type="dxa"/>
              <w:left w:w="72" w:type="dxa"/>
              <w:bottom w:w="0" w:type="dxa"/>
              <w:right w:w="72" w:type="dxa"/>
            </w:tcMar>
          </w:tcPr>
          <w:p w14:paraId="4A1EDF43" w14:textId="77777777" w:rsidR="00365A46" w:rsidRPr="00862928" w:rsidRDefault="00365A46" w:rsidP="00DC732F">
            <w:pPr>
              <w:rPr>
                <w:b/>
                <w:bCs/>
                <w:sz w:val="20"/>
                <w:szCs w:val="20"/>
              </w:rPr>
            </w:pPr>
            <w:r w:rsidRPr="00862928">
              <w:rPr>
                <w:b/>
                <w:bCs/>
                <w:sz w:val="20"/>
                <w:szCs w:val="20"/>
              </w:rPr>
              <w:t>Outcome Variable</w:t>
            </w:r>
          </w:p>
        </w:tc>
        <w:tc>
          <w:tcPr>
            <w:tcW w:w="1260" w:type="dxa"/>
            <w:tcBorders>
              <w:top w:val="single" w:sz="18" w:space="0" w:color="auto"/>
              <w:left w:val="dotted" w:sz="4" w:space="0" w:color="auto"/>
              <w:bottom w:val="single" w:sz="18" w:space="0" w:color="auto"/>
              <w:right w:val="dotted" w:sz="4" w:space="0" w:color="auto"/>
            </w:tcBorders>
            <w:shd w:val="clear" w:color="auto" w:fill="FFFFFF" w:themeFill="background1"/>
            <w:tcMar>
              <w:top w:w="0" w:type="dxa"/>
              <w:left w:w="72" w:type="dxa"/>
              <w:bottom w:w="0" w:type="dxa"/>
              <w:right w:w="72" w:type="dxa"/>
            </w:tcMar>
          </w:tcPr>
          <w:p w14:paraId="1D67D9D8" w14:textId="77777777" w:rsidR="00365A46" w:rsidRPr="00862928" w:rsidRDefault="00365A46" w:rsidP="00DC732F">
            <w:pPr>
              <w:jc w:val="center"/>
              <w:rPr>
                <w:b/>
                <w:bCs/>
                <w:sz w:val="20"/>
                <w:szCs w:val="20"/>
              </w:rPr>
            </w:pPr>
            <w:r w:rsidRPr="00862928">
              <w:rPr>
                <w:b/>
                <w:bCs/>
                <w:sz w:val="20"/>
                <w:szCs w:val="20"/>
              </w:rPr>
              <w:t>Count</w:t>
            </w:r>
          </w:p>
        </w:tc>
        <w:tc>
          <w:tcPr>
            <w:tcW w:w="1373" w:type="dxa"/>
            <w:tcBorders>
              <w:top w:val="single" w:sz="18" w:space="0" w:color="auto"/>
              <w:left w:val="dotted" w:sz="4" w:space="0" w:color="auto"/>
              <w:bottom w:val="single" w:sz="18" w:space="0" w:color="auto"/>
              <w:right w:val="single" w:sz="18" w:space="0" w:color="auto"/>
            </w:tcBorders>
            <w:shd w:val="clear" w:color="auto" w:fill="FFFFFF" w:themeFill="background1"/>
            <w:tcMar>
              <w:top w:w="0" w:type="dxa"/>
              <w:left w:w="72" w:type="dxa"/>
              <w:bottom w:w="0" w:type="dxa"/>
              <w:right w:w="72" w:type="dxa"/>
            </w:tcMar>
          </w:tcPr>
          <w:p w14:paraId="341CF867" w14:textId="77777777" w:rsidR="00365A46" w:rsidRPr="00862928" w:rsidRDefault="00365A46" w:rsidP="00DC732F">
            <w:pPr>
              <w:jc w:val="center"/>
              <w:rPr>
                <w:b/>
                <w:bCs/>
                <w:sz w:val="20"/>
                <w:szCs w:val="20"/>
              </w:rPr>
            </w:pPr>
            <w:r w:rsidRPr="00862928">
              <w:rPr>
                <w:b/>
                <w:bCs/>
                <w:sz w:val="20"/>
                <w:szCs w:val="20"/>
              </w:rPr>
              <w:t>Percentage</w:t>
            </w:r>
          </w:p>
        </w:tc>
      </w:tr>
      <w:tr w:rsidR="008B75FF" w:rsidRPr="00862928" w14:paraId="2549401E" w14:textId="77777777" w:rsidTr="001F3ABE">
        <w:trPr>
          <w:trHeight w:val="259"/>
        </w:trPr>
        <w:tc>
          <w:tcPr>
            <w:tcW w:w="9360" w:type="dxa"/>
            <w:gridSpan w:val="3"/>
            <w:tcBorders>
              <w:top w:val="single" w:sz="18" w:space="0" w:color="auto"/>
              <w:left w:val="single" w:sz="18" w:space="0" w:color="auto"/>
              <w:bottom w:val="dotted" w:sz="4" w:space="0" w:color="auto"/>
              <w:right w:val="single" w:sz="18" w:space="0" w:color="auto"/>
            </w:tcBorders>
            <w:shd w:val="clear" w:color="auto" w:fill="FFFFFF" w:themeFill="background1"/>
            <w:tcMar>
              <w:top w:w="0" w:type="dxa"/>
              <w:left w:w="72" w:type="dxa"/>
              <w:bottom w:w="0" w:type="dxa"/>
              <w:right w:w="72" w:type="dxa"/>
            </w:tcMar>
          </w:tcPr>
          <w:p w14:paraId="5C7C3D51" w14:textId="54385FDB" w:rsidR="008B75FF" w:rsidRPr="00862928" w:rsidRDefault="008B75FF" w:rsidP="008B75FF">
            <w:pPr>
              <w:rPr>
                <w:sz w:val="20"/>
                <w:szCs w:val="20"/>
              </w:rPr>
            </w:pPr>
            <w:r w:rsidRPr="00364104">
              <w:rPr>
                <w:b/>
                <w:bCs/>
                <w:i/>
                <w:iCs/>
                <w:sz w:val="20"/>
                <w:szCs w:val="20"/>
              </w:rPr>
              <w:t>Frequency outcome (out of N = 8,273 full sample)</w:t>
            </w:r>
          </w:p>
        </w:tc>
      </w:tr>
      <w:tr w:rsidR="00365A46" w:rsidRPr="00862928" w14:paraId="38B42685" w14:textId="77777777" w:rsidTr="001F3ABE">
        <w:trPr>
          <w:trHeight w:val="259"/>
        </w:trPr>
        <w:tc>
          <w:tcPr>
            <w:tcW w:w="6727" w:type="dxa"/>
            <w:tcBorders>
              <w:top w:val="dotted" w:sz="4" w:space="0" w:color="auto"/>
              <w:left w:val="single" w:sz="18" w:space="0" w:color="auto"/>
              <w:bottom w:val="single" w:sz="18" w:space="0" w:color="auto"/>
              <w:right w:val="dotted" w:sz="4" w:space="0" w:color="auto"/>
            </w:tcBorders>
            <w:shd w:val="clear" w:color="auto" w:fill="FFFFFF" w:themeFill="background1"/>
            <w:tcMar>
              <w:top w:w="0" w:type="dxa"/>
              <w:left w:w="72" w:type="dxa"/>
              <w:bottom w:w="0" w:type="dxa"/>
              <w:right w:w="72" w:type="dxa"/>
            </w:tcMar>
          </w:tcPr>
          <w:p w14:paraId="062D83C3" w14:textId="2BC656B6" w:rsidR="00365A46" w:rsidRPr="00862928" w:rsidRDefault="00A43203" w:rsidP="00DC732F">
            <w:pPr>
              <w:rPr>
                <w:sz w:val="20"/>
                <w:szCs w:val="20"/>
              </w:rPr>
            </w:pPr>
            <w:r>
              <w:rPr>
                <w:sz w:val="20"/>
                <w:szCs w:val="20"/>
              </w:rPr>
              <w:t xml:space="preserve"> </w:t>
            </w:r>
            <w:r w:rsidR="00090A0D">
              <w:rPr>
                <w:sz w:val="20"/>
                <w:szCs w:val="20"/>
              </w:rPr>
              <w:t>Never or Rare Active Traveler (</w:t>
            </w:r>
            <w:r w:rsidR="00E63957">
              <w:rPr>
                <w:sz w:val="20"/>
                <w:szCs w:val="20"/>
              </w:rPr>
              <w:t>N</w:t>
            </w:r>
            <w:r w:rsidR="00DE6297">
              <w:rPr>
                <w:sz w:val="20"/>
                <w:szCs w:val="20"/>
              </w:rPr>
              <w:t>RAT</w:t>
            </w:r>
            <w:r w:rsidR="00090A0D">
              <w:rPr>
                <w:sz w:val="20"/>
                <w:szCs w:val="20"/>
              </w:rPr>
              <w:t>)</w:t>
            </w:r>
          </w:p>
        </w:tc>
        <w:tc>
          <w:tcPr>
            <w:tcW w:w="1260" w:type="dxa"/>
            <w:tcBorders>
              <w:top w:val="dotted" w:sz="4" w:space="0" w:color="auto"/>
              <w:left w:val="dotted" w:sz="4" w:space="0" w:color="auto"/>
              <w:bottom w:val="single" w:sz="18" w:space="0" w:color="auto"/>
              <w:right w:val="dotted" w:sz="4" w:space="0" w:color="auto"/>
            </w:tcBorders>
            <w:shd w:val="clear" w:color="auto" w:fill="FFFFFF" w:themeFill="background1"/>
            <w:tcMar>
              <w:top w:w="0" w:type="dxa"/>
              <w:left w:w="72" w:type="dxa"/>
              <w:bottom w:w="0" w:type="dxa"/>
              <w:right w:w="72" w:type="dxa"/>
            </w:tcMar>
          </w:tcPr>
          <w:p w14:paraId="1B24808C" w14:textId="77777777" w:rsidR="00365A46" w:rsidRPr="00862928" w:rsidRDefault="00365A46" w:rsidP="00DC732F">
            <w:pPr>
              <w:jc w:val="center"/>
              <w:rPr>
                <w:sz w:val="20"/>
                <w:szCs w:val="20"/>
              </w:rPr>
            </w:pPr>
            <w:r w:rsidRPr="00862928">
              <w:rPr>
                <w:sz w:val="20"/>
                <w:szCs w:val="20"/>
              </w:rPr>
              <w:t>1,476</w:t>
            </w:r>
          </w:p>
        </w:tc>
        <w:tc>
          <w:tcPr>
            <w:tcW w:w="1373" w:type="dxa"/>
            <w:tcBorders>
              <w:top w:val="dotted" w:sz="4" w:space="0" w:color="auto"/>
              <w:left w:val="dotted" w:sz="4" w:space="0" w:color="auto"/>
              <w:bottom w:val="single" w:sz="18" w:space="0" w:color="auto"/>
              <w:right w:val="single" w:sz="18" w:space="0" w:color="auto"/>
            </w:tcBorders>
            <w:shd w:val="clear" w:color="auto" w:fill="FFFFFF" w:themeFill="background1"/>
            <w:tcMar>
              <w:top w:w="0" w:type="dxa"/>
              <w:left w:w="72" w:type="dxa"/>
              <w:bottom w:w="0" w:type="dxa"/>
              <w:right w:w="72" w:type="dxa"/>
            </w:tcMar>
          </w:tcPr>
          <w:p w14:paraId="626430E2" w14:textId="77777777" w:rsidR="00365A46" w:rsidRPr="00862928" w:rsidRDefault="00365A46" w:rsidP="00F92A00">
            <w:pPr>
              <w:tabs>
                <w:tab w:val="decimal" w:pos="533"/>
              </w:tabs>
              <w:rPr>
                <w:sz w:val="20"/>
                <w:szCs w:val="20"/>
              </w:rPr>
            </w:pPr>
            <w:r w:rsidRPr="00862928">
              <w:rPr>
                <w:sz w:val="20"/>
                <w:szCs w:val="20"/>
              </w:rPr>
              <w:t>17.8%</w:t>
            </w:r>
          </w:p>
        </w:tc>
      </w:tr>
      <w:tr w:rsidR="008B75FF" w:rsidRPr="00862928" w14:paraId="7830A52E" w14:textId="77777777" w:rsidTr="001F3ABE">
        <w:trPr>
          <w:trHeight w:val="259"/>
        </w:trPr>
        <w:tc>
          <w:tcPr>
            <w:tcW w:w="9360" w:type="dxa"/>
            <w:gridSpan w:val="3"/>
            <w:tcBorders>
              <w:top w:val="single" w:sz="18" w:space="0" w:color="auto"/>
              <w:left w:val="single" w:sz="18" w:space="0" w:color="auto"/>
              <w:bottom w:val="dotted" w:sz="4" w:space="0" w:color="auto"/>
              <w:right w:val="single" w:sz="18" w:space="0" w:color="auto"/>
            </w:tcBorders>
            <w:shd w:val="clear" w:color="auto" w:fill="FFFFFF" w:themeFill="background1"/>
            <w:tcMar>
              <w:top w:w="0" w:type="dxa"/>
              <w:left w:w="72" w:type="dxa"/>
              <w:bottom w:w="0" w:type="dxa"/>
              <w:right w:w="72" w:type="dxa"/>
            </w:tcMar>
          </w:tcPr>
          <w:p w14:paraId="29DF579B" w14:textId="0D49075C" w:rsidR="008B75FF" w:rsidRPr="00862928" w:rsidRDefault="008A6D0B" w:rsidP="008B75FF">
            <w:pPr>
              <w:rPr>
                <w:sz w:val="20"/>
                <w:szCs w:val="20"/>
              </w:rPr>
            </w:pPr>
            <w:r>
              <w:rPr>
                <w:b/>
                <w:bCs/>
                <w:i/>
                <w:iCs/>
                <w:sz w:val="20"/>
                <w:szCs w:val="20"/>
              </w:rPr>
              <w:t>Perceived</w:t>
            </w:r>
            <w:r w:rsidR="008B75FF" w:rsidRPr="00364104">
              <w:rPr>
                <w:b/>
                <w:bCs/>
                <w:i/>
                <w:iCs/>
                <w:sz w:val="20"/>
                <w:szCs w:val="20"/>
              </w:rPr>
              <w:t xml:space="preserve"> barriers (asked of </w:t>
            </w:r>
            <w:r w:rsidR="00DE6297">
              <w:rPr>
                <w:b/>
                <w:bCs/>
                <w:i/>
                <w:iCs/>
                <w:sz w:val="20"/>
                <w:szCs w:val="20"/>
              </w:rPr>
              <w:t>NRATs</w:t>
            </w:r>
            <w:r w:rsidR="008B75FF" w:rsidRPr="00364104">
              <w:rPr>
                <w:b/>
                <w:bCs/>
                <w:i/>
                <w:iCs/>
                <w:sz w:val="20"/>
                <w:szCs w:val="20"/>
              </w:rPr>
              <w:t xml:space="preserve"> only; n = 1,476)</w:t>
            </w:r>
          </w:p>
        </w:tc>
      </w:tr>
      <w:tr w:rsidR="00A43203" w:rsidRPr="00862928" w14:paraId="5B04FC68" w14:textId="77777777" w:rsidTr="001F3ABE">
        <w:trPr>
          <w:trHeight w:val="259"/>
        </w:trPr>
        <w:tc>
          <w:tcPr>
            <w:tcW w:w="9360" w:type="dxa"/>
            <w:gridSpan w:val="3"/>
            <w:tcBorders>
              <w:top w:val="dotted" w:sz="4" w:space="0" w:color="auto"/>
              <w:left w:val="single" w:sz="18" w:space="0" w:color="auto"/>
              <w:bottom w:val="dotted" w:sz="4" w:space="0" w:color="auto"/>
              <w:right w:val="single" w:sz="18" w:space="0" w:color="auto"/>
            </w:tcBorders>
            <w:shd w:val="clear" w:color="auto" w:fill="FFFFFF" w:themeFill="background1"/>
            <w:tcMar>
              <w:top w:w="0" w:type="dxa"/>
              <w:left w:w="72" w:type="dxa"/>
              <w:bottom w:w="0" w:type="dxa"/>
              <w:right w:w="72" w:type="dxa"/>
            </w:tcMar>
          </w:tcPr>
          <w:p w14:paraId="25A58C52" w14:textId="2E8D5AD0" w:rsidR="00A43203" w:rsidRPr="00862928" w:rsidRDefault="00A43203" w:rsidP="00A43203">
            <w:pPr>
              <w:rPr>
                <w:sz w:val="20"/>
                <w:szCs w:val="20"/>
              </w:rPr>
            </w:pPr>
            <w:r w:rsidRPr="00862928">
              <w:rPr>
                <w:sz w:val="20"/>
                <w:szCs w:val="20"/>
              </w:rPr>
              <w:t xml:space="preserve">  </w:t>
            </w:r>
            <w:r w:rsidRPr="00862928">
              <w:rPr>
                <w:b/>
                <w:bCs/>
                <w:sz w:val="20"/>
                <w:szCs w:val="20"/>
              </w:rPr>
              <w:t xml:space="preserve">Infrastructural deficiencies in </w:t>
            </w:r>
            <w:r w:rsidR="00496C4E">
              <w:rPr>
                <w:b/>
                <w:bCs/>
                <w:sz w:val="20"/>
                <w:szCs w:val="20"/>
              </w:rPr>
              <w:t>active travel</w:t>
            </w:r>
            <w:r w:rsidRPr="00862928">
              <w:rPr>
                <w:b/>
                <w:bCs/>
                <w:sz w:val="20"/>
                <w:szCs w:val="20"/>
              </w:rPr>
              <w:t xml:space="preserve"> networks</w:t>
            </w:r>
          </w:p>
        </w:tc>
      </w:tr>
      <w:tr w:rsidR="00365A46" w:rsidRPr="00862928" w14:paraId="31DE9B46" w14:textId="77777777" w:rsidTr="001F3ABE">
        <w:trPr>
          <w:trHeight w:val="259"/>
        </w:trPr>
        <w:tc>
          <w:tcPr>
            <w:tcW w:w="6727" w:type="dxa"/>
            <w:tcBorders>
              <w:top w:val="dotted" w:sz="4" w:space="0" w:color="auto"/>
              <w:left w:val="single" w:sz="18" w:space="0" w:color="auto"/>
              <w:bottom w:val="dotted" w:sz="4" w:space="0" w:color="auto"/>
              <w:right w:val="dotted" w:sz="4" w:space="0" w:color="auto"/>
            </w:tcBorders>
            <w:shd w:val="clear" w:color="auto" w:fill="FFFFFF" w:themeFill="background1"/>
            <w:tcMar>
              <w:top w:w="0" w:type="dxa"/>
              <w:left w:w="72" w:type="dxa"/>
              <w:bottom w:w="0" w:type="dxa"/>
              <w:right w:w="72" w:type="dxa"/>
            </w:tcMar>
          </w:tcPr>
          <w:p w14:paraId="6953FAB8" w14:textId="670FB287" w:rsidR="00365A46" w:rsidRPr="00862928" w:rsidRDefault="00365A46" w:rsidP="00DC732F">
            <w:pPr>
              <w:rPr>
                <w:sz w:val="20"/>
                <w:szCs w:val="20"/>
              </w:rPr>
            </w:pPr>
            <w:r w:rsidRPr="00862928">
              <w:rPr>
                <w:sz w:val="20"/>
                <w:szCs w:val="20"/>
              </w:rPr>
              <w:t xml:space="preserve">    A lack of sidewalks or bi</w:t>
            </w:r>
            <w:r w:rsidR="00CC1A3D">
              <w:rPr>
                <w:sz w:val="20"/>
                <w:szCs w:val="20"/>
              </w:rPr>
              <w:t>cycle</w:t>
            </w:r>
            <w:r w:rsidRPr="00862928">
              <w:rPr>
                <w:sz w:val="20"/>
                <w:szCs w:val="20"/>
              </w:rPr>
              <w:t xml:space="preserve"> lanes</w:t>
            </w:r>
          </w:p>
        </w:tc>
        <w:tc>
          <w:tcPr>
            <w:tcW w:w="1260" w:type="dxa"/>
            <w:tcBorders>
              <w:top w:val="dotted" w:sz="4" w:space="0" w:color="auto"/>
              <w:left w:val="dotted" w:sz="4" w:space="0" w:color="auto"/>
              <w:bottom w:val="dotted" w:sz="4" w:space="0" w:color="auto"/>
              <w:right w:val="dotted" w:sz="4" w:space="0" w:color="auto"/>
            </w:tcBorders>
            <w:shd w:val="clear" w:color="auto" w:fill="FFFFFF" w:themeFill="background1"/>
            <w:tcMar>
              <w:top w:w="0" w:type="dxa"/>
              <w:left w:w="72" w:type="dxa"/>
              <w:bottom w:w="0" w:type="dxa"/>
              <w:right w:w="72" w:type="dxa"/>
            </w:tcMar>
          </w:tcPr>
          <w:p w14:paraId="55C655FC" w14:textId="77777777" w:rsidR="00365A46" w:rsidRPr="00862928" w:rsidRDefault="00365A46" w:rsidP="00DC732F">
            <w:pPr>
              <w:jc w:val="center"/>
              <w:rPr>
                <w:sz w:val="20"/>
                <w:szCs w:val="20"/>
              </w:rPr>
            </w:pPr>
            <w:r w:rsidRPr="00862928">
              <w:rPr>
                <w:sz w:val="20"/>
                <w:szCs w:val="20"/>
              </w:rPr>
              <w:t>359</w:t>
            </w:r>
          </w:p>
        </w:tc>
        <w:tc>
          <w:tcPr>
            <w:tcW w:w="1373" w:type="dxa"/>
            <w:tcBorders>
              <w:top w:val="dotted" w:sz="4" w:space="0" w:color="auto"/>
              <w:left w:val="dotted" w:sz="4" w:space="0" w:color="auto"/>
              <w:bottom w:val="dotted" w:sz="4" w:space="0" w:color="auto"/>
              <w:right w:val="single" w:sz="18" w:space="0" w:color="auto"/>
            </w:tcBorders>
            <w:shd w:val="clear" w:color="auto" w:fill="FFFFFF" w:themeFill="background1"/>
            <w:tcMar>
              <w:top w:w="0" w:type="dxa"/>
              <w:left w:w="72" w:type="dxa"/>
              <w:bottom w:w="0" w:type="dxa"/>
              <w:right w:w="72" w:type="dxa"/>
            </w:tcMar>
          </w:tcPr>
          <w:p w14:paraId="34DD8907" w14:textId="77777777" w:rsidR="00365A46" w:rsidRPr="00862928" w:rsidRDefault="00365A46" w:rsidP="00F92A00">
            <w:pPr>
              <w:tabs>
                <w:tab w:val="decimal" w:pos="533"/>
              </w:tabs>
              <w:rPr>
                <w:sz w:val="20"/>
                <w:szCs w:val="20"/>
              </w:rPr>
            </w:pPr>
            <w:r w:rsidRPr="00862928">
              <w:rPr>
                <w:sz w:val="20"/>
                <w:szCs w:val="20"/>
              </w:rPr>
              <w:t>24.3%</w:t>
            </w:r>
          </w:p>
        </w:tc>
      </w:tr>
      <w:tr w:rsidR="00365A46" w:rsidRPr="00862928" w14:paraId="2A3DC760" w14:textId="77777777" w:rsidTr="001F3ABE">
        <w:trPr>
          <w:trHeight w:val="259"/>
        </w:trPr>
        <w:tc>
          <w:tcPr>
            <w:tcW w:w="6727" w:type="dxa"/>
            <w:tcBorders>
              <w:top w:val="dotted" w:sz="4" w:space="0" w:color="auto"/>
              <w:left w:val="single" w:sz="18" w:space="0" w:color="auto"/>
              <w:bottom w:val="dotted" w:sz="4" w:space="0" w:color="auto"/>
              <w:right w:val="dotted" w:sz="4" w:space="0" w:color="auto"/>
            </w:tcBorders>
            <w:shd w:val="clear" w:color="auto" w:fill="FFFFFF" w:themeFill="background1"/>
            <w:tcMar>
              <w:top w:w="0" w:type="dxa"/>
              <w:left w:w="72" w:type="dxa"/>
              <w:bottom w:w="0" w:type="dxa"/>
              <w:right w:w="72" w:type="dxa"/>
            </w:tcMar>
          </w:tcPr>
          <w:p w14:paraId="43F79C14" w14:textId="77777777" w:rsidR="00365A46" w:rsidRPr="00862928" w:rsidRDefault="00365A46" w:rsidP="00DC732F">
            <w:pPr>
              <w:rPr>
                <w:sz w:val="20"/>
                <w:szCs w:val="20"/>
              </w:rPr>
            </w:pPr>
            <w:r w:rsidRPr="00862928">
              <w:rPr>
                <w:sz w:val="20"/>
                <w:szCs w:val="20"/>
              </w:rPr>
              <w:t xml:space="preserve">    Insufficient lighting</w:t>
            </w:r>
          </w:p>
        </w:tc>
        <w:tc>
          <w:tcPr>
            <w:tcW w:w="1260" w:type="dxa"/>
            <w:tcBorders>
              <w:top w:val="dotted" w:sz="4" w:space="0" w:color="auto"/>
              <w:left w:val="dotted" w:sz="4" w:space="0" w:color="auto"/>
              <w:bottom w:val="dotted" w:sz="4" w:space="0" w:color="auto"/>
              <w:right w:val="dotted" w:sz="4" w:space="0" w:color="auto"/>
            </w:tcBorders>
            <w:shd w:val="clear" w:color="auto" w:fill="FFFFFF" w:themeFill="background1"/>
            <w:tcMar>
              <w:top w:w="0" w:type="dxa"/>
              <w:left w:w="72" w:type="dxa"/>
              <w:bottom w:w="0" w:type="dxa"/>
              <w:right w:w="72" w:type="dxa"/>
            </w:tcMar>
          </w:tcPr>
          <w:p w14:paraId="0D2B8854" w14:textId="77777777" w:rsidR="00365A46" w:rsidRPr="00862928" w:rsidRDefault="00365A46" w:rsidP="00DC732F">
            <w:pPr>
              <w:jc w:val="center"/>
              <w:rPr>
                <w:sz w:val="20"/>
                <w:szCs w:val="20"/>
              </w:rPr>
            </w:pPr>
            <w:r w:rsidRPr="00862928">
              <w:rPr>
                <w:sz w:val="20"/>
                <w:szCs w:val="20"/>
              </w:rPr>
              <w:t>116</w:t>
            </w:r>
          </w:p>
        </w:tc>
        <w:tc>
          <w:tcPr>
            <w:tcW w:w="1373" w:type="dxa"/>
            <w:tcBorders>
              <w:top w:val="dotted" w:sz="4" w:space="0" w:color="auto"/>
              <w:left w:val="dotted" w:sz="4" w:space="0" w:color="auto"/>
              <w:bottom w:val="dotted" w:sz="4" w:space="0" w:color="auto"/>
              <w:right w:val="single" w:sz="18" w:space="0" w:color="auto"/>
            </w:tcBorders>
            <w:shd w:val="clear" w:color="auto" w:fill="FFFFFF" w:themeFill="background1"/>
            <w:tcMar>
              <w:top w:w="0" w:type="dxa"/>
              <w:left w:w="72" w:type="dxa"/>
              <w:bottom w:w="0" w:type="dxa"/>
              <w:right w:w="72" w:type="dxa"/>
            </w:tcMar>
          </w:tcPr>
          <w:p w14:paraId="5A19C8EB" w14:textId="77777777" w:rsidR="00365A46" w:rsidRPr="00862928" w:rsidRDefault="00365A46" w:rsidP="00F92A00">
            <w:pPr>
              <w:tabs>
                <w:tab w:val="decimal" w:pos="533"/>
              </w:tabs>
              <w:rPr>
                <w:sz w:val="20"/>
                <w:szCs w:val="20"/>
              </w:rPr>
            </w:pPr>
            <w:r w:rsidRPr="00862928">
              <w:rPr>
                <w:sz w:val="20"/>
                <w:szCs w:val="20"/>
              </w:rPr>
              <w:t>7.9%</w:t>
            </w:r>
          </w:p>
        </w:tc>
      </w:tr>
      <w:tr w:rsidR="00A37DFF" w:rsidRPr="00862928" w14:paraId="28BC3E87" w14:textId="77777777" w:rsidTr="001F3ABE">
        <w:trPr>
          <w:trHeight w:val="259"/>
        </w:trPr>
        <w:tc>
          <w:tcPr>
            <w:tcW w:w="9360" w:type="dxa"/>
            <w:gridSpan w:val="3"/>
            <w:tcBorders>
              <w:top w:val="dotted" w:sz="4" w:space="0" w:color="auto"/>
              <w:left w:val="single" w:sz="18" w:space="0" w:color="auto"/>
              <w:bottom w:val="dotted" w:sz="4" w:space="0" w:color="auto"/>
              <w:right w:val="single" w:sz="18" w:space="0" w:color="auto"/>
            </w:tcBorders>
            <w:shd w:val="clear" w:color="auto" w:fill="FFFFFF" w:themeFill="background1"/>
            <w:tcMar>
              <w:top w:w="0" w:type="dxa"/>
              <w:left w:w="72" w:type="dxa"/>
              <w:bottom w:w="0" w:type="dxa"/>
              <w:right w:w="72" w:type="dxa"/>
            </w:tcMar>
          </w:tcPr>
          <w:p w14:paraId="00ED3FFB" w14:textId="1C66637F" w:rsidR="00A37DFF" w:rsidRPr="00862928" w:rsidRDefault="00A37DFF" w:rsidP="00A37DFF">
            <w:pPr>
              <w:rPr>
                <w:sz w:val="20"/>
                <w:szCs w:val="20"/>
              </w:rPr>
            </w:pPr>
            <w:r w:rsidRPr="00862928">
              <w:rPr>
                <w:b/>
                <w:bCs/>
                <w:sz w:val="20"/>
                <w:szCs w:val="20"/>
              </w:rPr>
              <w:t xml:space="preserve">  Traffic-safety concerns</w:t>
            </w:r>
          </w:p>
        </w:tc>
      </w:tr>
      <w:tr w:rsidR="00365A46" w:rsidRPr="00862928" w14:paraId="1CB48575" w14:textId="77777777" w:rsidTr="001F3ABE">
        <w:trPr>
          <w:trHeight w:val="259"/>
        </w:trPr>
        <w:tc>
          <w:tcPr>
            <w:tcW w:w="6727" w:type="dxa"/>
            <w:tcBorders>
              <w:top w:val="dotted" w:sz="4" w:space="0" w:color="auto"/>
              <w:left w:val="single" w:sz="18" w:space="0" w:color="auto"/>
              <w:bottom w:val="dotted" w:sz="4" w:space="0" w:color="auto"/>
              <w:right w:val="dotted" w:sz="4" w:space="0" w:color="auto"/>
            </w:tcBorders>
            <w:shd w:val="clear" w:color="auto" w:fill="FFFFFF" w:themeFill="background1"/>
            <w:tcMar>
              <w:top w:w="0" w:type="dxa"/>
              <w:left w:w="72" w:type="dxa"/>
              <w:bottom w:w="0" w:type="dxa"/>
              <w:right w:w="72" w:type="dxa"/>
            </w:tcMar>
          </w:tcPr>
          <w:p w14:paraId="58B77950" w14:textId="77777777" w:rsidR="00365A46" w:rsidRPr="00862928" w:rsidRDefault="00365A46" w:rsidP="00DC732F">
            <w:pPr>
              <w:rPr>
                <w:sz w:val="20"/>
                <w:szCs w:val="20"/>
              </w:rPr>
            </w:pPr>
            <w:r w:rsidRPr="00862928">
              <w:rPr>
                <w:sz w:val="20"/>
                <w:szCs w:val="20"/>
              </w:rPr>
              <w:t xml:space="preserve">    Drivers behaving aggressively</w:t>
            </w:r>
          </w:p>
        </w:tc>
        <w:tc>
          <w:tcPr>
            <w:tcW w:w="1260" w:type="dxa"/>
            <w:tcBorders>
              <w:top w:val="dotted" w:sz="4" w:space="0" w:color="auto"/>
              <w:left w:val="dotted" w:sz="4" w:space="0" w:color="auto"/>
              <w:bottom w:val="dotted" w:sz="4" w:space="0" w:color="auto"/>
              <w:right w:val="dotted" w:sz="4" w:space="0" w:color="auto"/>
            </w:tcBorders>
            <w:shd w:val="clear" w:color="auto" w:fill="FFFFFF" w:themeFill="background1"/>
            <w:tcMar>
              <w:top w:w="0" w:type="dxa"/>
              <w:left w:w="72" w:type="dxa"/>
              <w:bottom w:w="0" w:type="dxa"/>
              <w:right w:w="72" w:type="dxa"/>
            </w:tcMar>
          </w:tcPr>
          <w:p w14:paraId="11B5E737" w14:textId="77777777" w:rsidR="00365A46" w:rsidRPr="00862928" w:rsidRDefault="00365A46" w:rsidP="00DC732F">
            <w:pPr>
              <w:jc w:val="center"/>
              <w:rPr>
                <w:sz w:val="20"/>
                <w:szCs w:val="20"/>
              </w:rPr>
            </w:pPr>
            <w:r w:rsidRPr="00862928">
              <w:rPr>
                <w:sz w:val="20"/>
                <w:szCs w:val="20"/>
              </w:rPr>
              <w:t>244</w:t>
            </w:r>
          </w:p>
        </w:tc>
        <w:tc>
          <w:tcPr>
            <w:tcW w:w="1373" w:type="dxa"/>
            <w:tcBorders>
              <w:top w:val="dotted" w:sz="4" w:space="0" w:color="auto"/>
              <w:left w:val="dotted" w:sz="4" w:space="0" w:color="auto"/>
              <w:bottom w:val="dotted" w:sz="4" w:space="0" w:color="auto"/>
              <w:right w:val="single" w:sz="18" w:space="0" w:color="auto"/>
            </w:tcBorders>
            <w:shd w:val="clear" w:color="auto" w:fill="FFFFFF" w:themeFill="background1"/>
            <w:tcMar>
              <w:top w:w="0" w:type="dxa"/>
              <w:left w:w="72" w:type="dxa"/>
              <w:bottom w:w="0" w:type="dxa"/>
              <w:right w:w="72" w:type="dxa"/>
            </w:tcMar>
          </w:tcPr>
          <w:p w14:paraId="0A73EF6B" w14:textId="77777777" w:rsidR="00365A46" w:rsidRPr="00862928" w:rsidRDefault="00365A46" w:rsidP="00F92A00">
            <w:pPr>
              <w:tabs>
                <w:tab w:val="decimal" w:pos="533"/>
              </w:tabs>
              <w:rPr>
                <w:sz w:val="20"/>
                <w:szCs w:val="20"/>
              </w:rPr>
            </w:pPr>
            <w:r w:rsidRPr="00862928">
              <w:rPr>
                <w:sz w:val="20"/>
                <w:szCs w:val="20"/>
              </w:rPr>
              <w:t>16.5%</w:t>
            </w:r>
          </w:p>
        </w:tc>
      </w:tr>
      <w:tr w:rsidR="00365A46" w:rsidRPr="00862928" w14:paraId="3A1B18A7" w14:textId="77777777" w:rsidTr="001F3ABE">
        <w:trPr>
          <w:trHeight w:val="259"/>
        </w:trPr>
        <w:tc>
          <w:tcPr>
            <w:tcW w:w="6727" w:type="dxa"/>
            <w:tcBorders>
              <w:top w:val="dotted" w:sz="4" w:space="0" w:color="auto"/>
              <w:left w:val="single" w:sz="18" w:space="0" w:color="auto"/>
              <w:bottom w:val="dotted" w:sz="4" w:space="0" w:color="auto"/>
              <w:right w:val="dotted" w:sz="4" w:space="0" w:color="auto"/>
            </w:tcBorders>
            <w:shd w:val="clear" w:color="auto" w:fill="FFFFFF" w:themeFill="background1"/>
            <w:tcMar>
              <w:top w:w="0" w:type="dxa"/>
              <w:left w:w="72" w:type="dxa"/>
              <w:bottom w:w="0" w:type="dxa"/>
              <w:right w:w="72" w:type="dxa"/>
            </w:tcMar>
          </w:tcPr>
          <w:p w14:paraId="5470AC13" w14:textId="77777777" w:rsidR="00365A46" w:rsidRPr="00862928" w:rsidRDefault="00365A46" w:rsidP="00DC732F">
            <w:pPr>
              <w:rPr>
                <w:sz w:val="20"/>
                <w:szCs w:val="20"/>
              </w:rPr>
            </w:pPr>
            <w:r w:rsidRPr="00862928">
              <w:rPr>
                <w:sz w:val="20"/>
                <w:szCs w:val="20"/>
              </w:rPr>
              <w:t xml:space="preserve">    Distracted drivers</w:t>
            </w:r>
          </w:p>
        </w:tc>
        <w:tc>
          <w:tcPr>
            <w:tcW w:w="1260" w:type="dxa"/>
            <w:tcBorders>
              <w:top w:val="dotted" w:sz="4" w:space="0" w:color="auto"/>
              <w:left w:val="dotted" w:sz="4" w:space="0" w:color="auto"/>
              <w:bottom w:val="dotted" w:sz="4" w:space="0" w:color="auto"/>
              <w:right w:val="dotted" w:sz="4" w:space="0" w:color="auto"/>
            </w:tcBorders>
            <w:shd w:val="clear" w:color="auto" w:fill="FFFFFF" w:themeFill="background1"/>
            <w:tcMar>
              <w:top w:w="0" w:type="dxa"/>
              <w:left w:w="72" w:type="dxa"/>
              <w:bottom w:w="0" w:type="dxa"/>
              <w:right w:w="72" w:type="dxa"/>
            </w:tcMar>
          </w:tcPr>
          <w:p w14:paraId="01863530" w14:textId="77777777" w:rsidR="00365A46" w:rsidRPr="00862928" w:rsidRDefault="00365A46" w:rsidP="00DC732F">
            <w:pPr>
              <w:jc w:val="center"/>
              <w:rPr>
                <w:sz w:val="20"/>
                <w:szCs w:val="20"/>
              </w:rPr>
            </w:pPr>
            <w:r w:rsidRPr="00862928">
              <w:rPr>
                <w:sz w:val="20"/>
                <w:szCs w:val="20"/>
              </w:rPr>
              <w:t>240</w:t>
            </w:r>
          </w:p>
        </w:tc>
        <w:tc>
          <w:tcPr>
            <w:tcW w:w="1373" w:type="dxa"/>
            <w:tcBorders>
              <w:top w:val="dotted" w:sz="4" w:space="0" w:color="auto"/>
              <w:left w:val="dotted" w:sz="4" w:space="0" w:color="auto"/>
              <w:bottom w:val="dotted" w:sz="4" w:space="0" w:color="auto"/>
              <w:right w:val="single" w:sz="18" w:space="0" w:color="auto"/>
            </w:tcBorders>
            <w:shd w:val="clear" w:color="auto" w:fill="FFFFFF" w:themeFill="background1"/>
            <w:tcMar>
              <w:top w:w="0" w:type="dxa"/>
              <w:left w:w="72" w:type="dxa"/>
              <w:bottom w:w="0" w:type="dxa"/>
              <w:right w:w="72" w:type="dxa"/>
            </w:tcMar>
          </w:tcPr>
          <w:p w14:paraId="14B33594" w14:textId="77777777" w:rsidR="00365A46" w:rsidRPr="00862928" w:rsidRDefault="00365A46" w:rsidP="00F92A00">
            <w:pPr>
              <w:tabs>
                <w:tab w:val="decimal" w:pos="533"/>
              </w:tabs>
              <w:rPr>
                <w:sz w:val="20"/>
                <w:szCs w:val="20"/>
              </w:rPr>
            </w:pPr>
            <w:r w:rsidRPr="00862928">
              <w:rPr>
                <w:sz w:val="20"/>
                <w:szCs w:val="20"/>
              </w:rPr>
              <w:t>16.3%</w:t>
            </w:r>
          </w:p>
        </w:tc>
      </w:tr>
      <w:tr w:rsidR="00A37DFF" w:rsidRPr="00862928" w14:paraId="64B56843" w14:textId="77777777" w:rsidTr="001F3ABE">
        <w:trPr>
          <w:trHeight w:val="259"/>
        </w:trPr>
        <w:tc>
          <w:tcPr>
            <w:tcW w:w="9360" w:type="dxa"/>
            <w:gridSpan w:val="3"/>
            <w:tcBorders>
              <w:top w:val="dotted" w:sz="4" w:space="0" w:color="auto"/>
              <w:left w:val="single" w:sz="18" w:space="0" w:color="auto"/>
              <w:bottom w:val="dotted" w:sz="4" w:space="0" w:color="auto"/>
              <w:right w:val="single" w:sz="18" w:space="0" w:color="auto"/>
            </w:tcBorders>
            <w:shd w:val="clear" w:color="auto" w:fill="FFFFFF" w:themeFill="background1"/>
            <w:tcMar>
              <w:top w:w="0" w:type="dxa"/>
              <w:left w:w="72" w:type="dxa"/>
              <w:bottom w:w="0" w:type="dxa"/>
              <w:right w:w="72" w:type="dxa"/>
            </w:tcMar>
          </w:tcPr>
          <w:p w14:paraId="459E4B23" w14:textId="478A9725" w:rsidR="00A37DFF" w:rsidRPr="00862928" w:rsidRDefault="00A37DFF" w:rsidP="00A37DFF">
            <w:pPr>
              <w:rPr>
                <w:sz w:val="20"/>
                <w:szCs w:val="20"/>
              </w:rPr>
            </w:pPr>
            <w:r w:rsidRPr="00862928">
              <w:rPr>
                <w:b/>
                <w:bCs/>
                <w:sz w:val="20"/>
                <w:szCs w:val="20"/>
              </w:rPr>
              <w:t xml:space="preserve">  Personal-security concerns</w:t>
            </w:r>
          </w:p>
        </w:tc>
      </w:tr>
      <w:tr w:rsidR="00365A46" w:rsidRPr="00862928" w14:paraId="1D7686FE" w14:textId="77777777" w:rsidTr="001F3ABE">
        <w:trPr>
          <w:trHeight w:val="259"/>
        </w:trPr>
        <w:tc>
          <w:tcPr>
            <w:tcW w:w="6727" w:type="dxa"/>
            <w:tcBorders>
              <w:top w:val="dotted" w:sz="4" w:space="0" w:color="auto"/>
              <w:left w:val="single" w:sz="18" w:space="0" w:color="auto"/>
              <w:bottom w:val="dotted" w:sz="4" w:space="0" w:color="auto"/>
              <w:right w:val="dotted" w:sz="4" w:space="0" w:color="auto"/>
            </w:tcBorders>
            <w:shd w:val="clear" w:color="auto" w:fill="FFFFFF" w:themeFill="background1"/>
            <w:tcMar>
              <w:top w:w="0" w:type="dxa"/>
              <w:left w:w="72" w:type="dxa"/>
              <w:bottom w:w="0" w:type="dxa"/>
              <w:right w:w="72" w:type="dxa"/>
            </w:tcMar>
          </w:tcPr>
          <w:p w14:paraId="1E6DB76C" w14:textId="77777777" w:rsidR="00365A46" w:rsidRPr="00862928" w:rsidRDefault="00365A46" w:rsidP="00DC732F">
            <w:pPr>
              <w:rPr>
                <w:sz w:val="20"/>
                <w:szCs w:val="20"/>
              </w:rPr>
            </w:pPr>
            <w:r w:rsidRPr="00862928">
              <w:rPr>
                <w:sz w:val="20"/>
                <w:szCs w:val="20"/>
              </w:rPr>
              <w:t xml:space="preserve">    Loitering or threatening behavior from others</w:t>
            </w:r>
          </w:p>
        </w:tc>
        <w:tc>
          <w:tcPr>
            <w:tcW w:w="1260" w:type="dxa"/>
            <w:tcBorders>
              <w:top w:val="dotted" w:sz="4" w:space="0" w:color="auto"/>
              <w:left w:val="dotted" w:sz="4" w:space="0" w:color="auto"/>
              <w:bottom w:val="dotted" w:sz="4" w:space="0" w:color="auto"/>
              <w:right w:val="dotted" w:sz="4" w:space="0" w:color="auto"/>
            </w:tcBorders>
            <w:shd w:val="clear" w:color="auto" w:fill="FFFFFF" w:themeFill="background1"/>
            <w:tcMar>
              <w:top w:w="0" w:type="dxa"/>
              <w:left w:w="72" w:type="dxa"/>
              <w:bottom w:w="0" w:type="dxa"/>
              <w:right w:w="72" w:type="dxa"/>
            </w:tcMar>
          </w:tcPr>
          <w:p w14:paraId="72225EFB" w14:textId="77777777" w:rsidR="00365A46" w:rsidRPr="00862928" w:rsidRDefault="00365A46" w:rsidP="00DC732F">
            <w:pPr>
              <w:jc w:val="center"/>
              <w:rPr>
                <w:sz w:val="20"/>
                <w:szCs w:val="20"/>
              </w:rPr>
            </w:pPr>
            <w:r w:rsidRPr="00862928">
              <w:rPr>
                <w:sz w:val="20"/>
                <w:szCs w:val="20"/>
              </w:rPr>
              <w:t>91</w:t>
            </w:r>
          </w:p>
        </w:tc>
        <w:tc>
          <w:tcPr>
            <w:tcW w:w="1373" w:type="dxa"/>
            <w:tcBorders>
              <w:top w:val="dotted" w:sz="4" w:space="0" w:color="auto"/>
              <w:left w:val="dotted" w:sz="4" w:space="0" w:color="auto"/>
              <w:bottom w:val="dotted" w:sz="4" w:space="0" w:color="auto"/>
              <w:right w:val="single" w:sz="18" w:space="0" w:color="auto"/>
            </w:tcBorders>
            <w:shd w:val="clear" w:color="auto" w:fill="FFFFFF" w:themeFill="background1"/>
            <w:tcMar>
              <w:top w:w="0" w:type="dxa"/>
              <w:left w:w="72" w:type="dxa"/>
              <w:bottom w:w="0" w:type="dxa"/>
              <w:right w:w="72" w:type="dxa"/>
            </w:tcMar>
          </w:tcPr>
          <w:p w14:paraId="2BA2BE98" w14:textId="77777777" w:rsidR="00365A46" w:rsidRPr="00862928" w:rsidRDefault="00365A46" w:rsidP="00F92A00">
            <w:pPr>
              <w:tabs>
                <w:tab w:val="decimal" w:pos="533"/>
              </w:tabs>
              <w:rPr>
                <w:sz w:val="20"/>
                <w:szCs w:val="20"/>
              </w:rPr>
            </w:pPr>
            <w:r w:rsidRPr="00862928">
              <w:rPr>
                <w:sz w:val="20"/>
                <w:szCs w:val="20"/>
              </w:rPr>
              <w:t>6.2%</w:t>
            </w:r>
          </w:p>
        </w:tc>
      </w:tr>
      <w:tr w:rsidR="00A37DFF" w:rsidRPr="00862928" w14:paraId="27E1A904" w14:textId="77777777" w:rsidTr="001F3ABE">
        <w:trPr>
          <w:trHeight w:val="259"/>
        </w:trPr>
        <w:tc>
          <w:tcPr>
            <w:tcW w:w="9360" w:type="dxa"/>
            <w:gridSpan w:val="3"/>
            <w:tcBorders>
              <w:top w:val="dotted" w:sz="4" w:space="0" w:color="auto"/>
              <w:left w:val="single" w:sz="18" w:space="0" w:color="auto"/>
              <w:bottom w:val="dotted" w:sz="4" w:space="0" w:color="auto"/>
              <w:right w:val="single" w:sz="18" w:space="0" w:color="auto"/>
            </w:tcBorders>
            <w:shd w:val="clear" w:color="auto" w:fill="FFFFFF" w:themeFill="background1"/>
            <w:tcMar>
              <w:top w:w="0" w:type="dxa"/>
              <w:left w:w="72" w:type="dxa"/>
              <w:bottom w:w="0" w:type="dxa"/>
              <w:right w:w="72" w:type="dxa"/>
            </w:tcMar>
          </w:tcPr>
          <w:p w14:paraId="7DC9201B" w14:textId="17F0FB01" w:rsidR="00A37DFF" w:rsidRPr="00862928" w:rsidRDefault="00A37DFF" w:rsidP="00A37DFF">
            <w:pPr>
              <w:rPr>
                <w:sz w:val="20"/>
                <w:szCs w:val="20"/>
              </w:rPr>
            </w:pPr>
            <w:r w:rsidRPr="00862928">
              <w:rPr>
                <w:b/>
                <w:bCs/>
                <w:sz w:val="20"/>
                <w:szCs w:val="20"/>
              </w:rPr>
              <w:t xml:space="preserve">  Practical and situational constraints</w:t>
            </w:r>
          </w:p>
        </w:tc>
      </w:tr>
      <w:tr w:rsidR="00365A46" w:rsidRPr="00862928" w14:paraId="3FD19BAA" w14:textId="77777777" w:rsidTr="001F3ABE">
        <w:trPr>
          <w:trHeight w:val="259"/>
        </w:trPr>
        <w:tc>
          <w:tcPr>
            <w:tcW w:w="6727" w:type="dxa"/>
            <w:tcBorders>
              <w:top w:val="dotted" w:sz="4" w:space="0" w:color="auto"/>
              <w:left w:val="single" w:sz="18" w:space="0" w:color="auto"/>
              <w:bottom w:val="dotted" w:sz="4" w:space="0" w:color="auto"/>
              <w:right w:val="dotted" w:sz="4" w:space="0" w:color="auto"/>
            </w:tcBorders>
            <w:shd w:val="clear" w:color="auto" w:fill="FFFFFF" w:themeFill="background1"/>
            <w:tcMar>
              <w:top w:w="0" w:type="dxa"/>
              <w:left w:w="72" w:type="dxa"/>
              <w:bottom w:w="0" w:type="dxa"/>
              <w:right w:w="72" w:type="dxa"/>
            </w:tcMar>
          </w:tcPr>
          <w:p w14:paraId="171DC603" w14:textId="77777777" w:rsidR="00365A46" w:rsidRPr="00862928" w:rsidRDefault="00365A46" w:rsidP="00DC732F">
            <w:pPr>
              <w:rPr>
                <w:sz w:val="20"/>
                <w:szCs w:val="20"/>
              </w:rPr>
            </w:pPr>
            <w:r w:rsidRPr="00862928">
              <w:rPr>
                <w:sz w:val="20"/>
                <w:szCs w:val="20"/>
              </w:rPr>
              <w:t xml:space="preserve">    Adverse weather conditions</w:t>
            </w:r>
          </w:p>
        </w:tc>
        <w:tc>
          <w:tcPr>
            <w:tcW w:w="1260" w:type="dxa"/>
            <w:tcBorders>
              <w:top w:val="dotted" w:sz="4" w:space="0" w:color="auto"/>
              <w:left w:val="dotted" w:sz="4" w:space="0" w:color="auto"/>
              <w:bottom w:val="dotted" w:sz="4" w:space="0" w:color="auto"/>
              <w:right w:val="dotted" w:sz="4" w:space="0" w:color="auto"/>
            </w:tcBorders>
            <w:shd w:val="clear" w:color="auto" w:fill="FFFFFF" w:themeFill="background1"/>
            <w:tcMar>
              <w:top w:w="0" w:type="dxa"/>
              <w:left w:w="72" w:type="dxa"/>
              <w:bottom w:w="0" w:type="dxa"/>
              <w:right w:w="72" w:type="dxa"/>
            </w:tcMar>
          </w:tcPr>
          <w:p w14:paraId="6C422679" w14:textId="77777777" w:rsidR="00365A46" w:rsidRPr="00862928" w:rsidRDefault="00365A46" w:rsidP="00DC732F">
            <w:pPr>
              <w:jc w:val="center"/>
              <w:rPr>
                <w:sz w:val="20"/>
                <w:szCs w:val="20"/>
              </w:rPr>
            </w:pPr>
            <w:r w:rsidRPr="00862928">
              <w:rPr>
                <w:sz w:val="20"/>
                <w:szCs w:val="20"/>
              </w:rPr>
              <w:t>251</w:t>
            </w:r>
          </w:p>
        </w:tc>
        <w:tc>
          <w:tcPr>
            <w:tcW w:w="1373" w:type="dxa"/>
            <w:tcBorders>
              <w:top w:val="dotted" w:sz="4" w:space="0" w:color="auto"/>
              <w:left w:val="dotted" w:sz="4" w:space="0" w:color="auto"/>
              <w:bottom w:val="dotted" w:sz="4" w:space="0" w:color="auto"/>
              <w:right w:val="single" w:sz="18" w:space="0" w:color="auto"/>
            </w:tcBorders>
            <w:shd w:val="clear" w:color="auto" w:fill="FFFFFF" w:themeFill="background1"/>
            <w:tcMar>
              <w:top w:w="0" w:type="dxa"/>
              <w:left w:w="72" w:type="dxa"/>
              <w:bottom w:w="0" w:type="dxa"/>
              <w:right w:w="72" w:type="dxa"/>
            </w:tcMar>
          </w:tcPr>
          <w:p w14:paraId="40CAD170" w14:textId="77777777" w:rsidR="00365A46" w:rsidRPr="00862928" w:rsidRDefault="00365A46" w:rsidP="00F92A00">
            <w:pPr>
              <w:tabs>
                <w:tab w:val="decimal" w:pos="533"/>
              </w:tabs>
              <w:rPr>
                <w:sz w:val="20"/>
                <w:szCs w:val="20"/>
              </w:rPr>
            </w:pPr>
            <w:r w:rsidRPr="00862928">
              <w:rPr>
                <w:sz w:val="20"/>
                <w:szCs w:val="20"/>
              </w:rPr>
              <w:t>17.0%</w:t>
            </w:r>
          </w:p>
        </w:tc>
      </w:tr>
      <w:tr w:rsidR="00365A46" w:rsidRPr="00862928" w14:paraId="195216B1" w14:textId="77777777" w:rsidTr="001F3ABE">
        <w:trPr>
          <w:trHeight w:val="259"/>
        </w:trPr>
        <w:tc>
          <w:tcPr>
            <w:tcW w:w="6727" w:type="dxa"/>
            <w:tcBorders>
              <w:top w:val="dotted" w:sz="4" w:space="0" w:color="auto"/>
              <w:left w:val="single" w:sz="18" w:space="0" w:color="auto"/>
              <w:bottom w:val="single" w:sz="18" w:space="0" w:color="auto"/>
              <w:right w:val="dotted" w:sz="4" w:space="0" w:color="auto"/>
            </w:tcBorders>
            <w:shd w:val="clear" w:color="auto" w:fill="FFFFFF" w:themeFill="background1"/>
            <w:tcMar>
              <w:top w:w="0" w:type="dxa"/>
              <w:left w:w="72" w:type="dxa"/>
              <w:bottom w:w="0" w:type="dxa"/>
              <w:right w:w="72" w:type="dxa"/>
            </w:tcMar>
          </w:tcPr>
          <w:p w14:paraId="674DAAC3" w14:textId="5D09AA4D" w:rsidR="00365A46" w:rsidRPr="00862928" w:rsidRDefault="00365A46" w:rsidP="00DC732F">
            <w:pPr>
              <w:rPr>
                <w:sz w:val="20"/>
                <w:szCs w:val="20"/>
              </w:rPr>
            </w:pPr>
            <w:r w:rsidRPr="00862928">
              <w:rPr>
                <w:sz w:val="20"/>
                <w:szCs w:val="20"/>
              </w:rPr>
              <w:t xml:space="preserve">    These modes are inappropriate for the trip lengths needed to reach</w:t>
            </w:r>
            <w:r w:rsidR="00C34609">
              <w:rPr>
                <w:sz w:val="20"/>
                <w:szCs w:val="20"/>
              </w:rPr>
              <w:t xml:space="preserve"> </w:t>
            </w:r>
            <w:r w:rsidRPr="00862928">
              <w:rPr>
                <w:sz w:val="20"/>
                <w:szCs w:val="20"/>
              </w:rPr>
              <w:t>destinations</w:t>
            </w:r>
          </w:p>
        </w:tc>
        <w:tc>
          <w:tcPr>
            <w:tcW w:w="1260" w:type="dxa"/>
            <w:tcBorders>
              <w:top w:val="dotted" w:sz="4" w:space="0" w:color="auto"/>
              <w:left w:val="dotted" w:sz="4" w:space="0" w:color="auto"/>
              <w:bottom w:val="single" w:sz="18" w:space="0" w:color="auto"/>
              <w:right w:val="dotted" w:sz="4" w:space="0" w:color="auto"/>
            </w:tcBorders>
            <w:shd w:val="clear" w:color="auto" w:fill="FFFFFF" w:themeFill="background1"/>
            <w:tcMar>
              <w:top w:w="0" w:type="dxa"/>
              <w:left w:w="72" w:type="dxa"/>
              <w:bottom w:w="0" w:type="dxa"/>
              <w:right w:w="72" w:type="dxa"/>
            </w:tcMar>
          </w:tcPr>
          <w:p w14:paraId="299CEB29" w14:textId="77777777" w:rsidR="00365A46" w:rsidRPr="00862928" w:rsidRDefault="00365A46" w:rsidP="00DC732F">
            <w:pPr>
              <w:jc w:val="center"/>
              <w:rPr>
                <w:sz w:val="20"/>
                <w:szCs w:val="20"/>
              </w:rPr>
            </w:pPr>
            <w:r w:rsidRPr="00862928">
              <w:rPr>
                <w:sz w:val="20"/>
                <w:szCs w:val="20"/>
              </w:rPr>
              <w:t>562</w:t>
            </w:r>
          </w:p>
        </w:tc>
        <w:tc>
          <w:tcPr>
            <w:tcW w:w="1373" w:type="dxa"/>
            <w:tcBorders>
              <w:top w:val="dotted" w:sz="4" w:space="0" w:color="auto"/>
              <w:left w:val="dotted" w:sz="4" w:space="0" w:color="auto"/>
              <w:bottom w:val="single" w:sz="18" w:space="0" w:color="auto"/>
              <w:right w:val="single" w:sz="18" w:space="0" w:color="auto"/>
            </w:tcBorders>
            <w:shd w:val="clear" w:color="auto" w:fill="FFFFFF" w:themeFill="background1"/>
            <w:tcMar>
              <w:top w:w="0" w:type="dxa"/>
              <w:left w:w="72" w:type="dxa"/>
              <w:bottom w:w="0" w:type="dxa"/>
              <w:right w:w="72" w:type="dxa"/>
            </w:tcMar>
          </w:tcPr>
          <w:p w14:paraId="03F64217" w14:textId="77777777" w:rsidR="00365A46" w:rsidRPr="00862928" w:rsidRDefault="00365A46" w:rsidP="00F92A00">
            <w:pPr>
              <w:tabs>
                <w:tab w:val="decimal" w:pos="533"/>
              </w:tabs>
              <w:rPr>
                <w:sz w:val="20"/>
                <w:szCs w:val="20"/>
              </w:rPr>
            </w:pPr>
            <w:r w:rsidRPr="00862928">
              <w:rPr>
                <w:sz w:val="20"/>
                <w:szCs w:val="20"/>
              </w:rPr>
              <w:t>38.1%</w:t>
            </w:r>
          </w:p>
        </w:tc>
      </w:tr>
    </w:tbl>
    <w:p w14:paraId="19B5F483" w14:textId="77777777" w:rsidR="001F3ABE" w:rsidRPr="001F3ABE" w:rsidRDefault="001F3ABE" w:rsidP="001F3ABE">
      <w:pPr>
        <w:rPr>
          <w:sz w:val="24"/>
          <w:szCs w:val="24"/>
        </w:rPr>
      </w:pPr>
    </w:p>
    <w:p w14:paraId="38F49EE1" w14:textId="45F66CBA" w:rsidR="004724CC" w:rsidRPr="00390142" w:rsidRDefault="004724CC" w:rsidP="001F3ABE">
      <w:pPr>
        <w:rPr>
          <w:b/>
          <w:bCs/>
          <w:i/>
          <w:iCs/>
          <w:sz w:val="24"/>
          <w:szCs w:val="24"/>
        </w:rPr>
      </w:pPr>
      <w:r w:rsidRPr="00390142">
        <w:rPr>
          <w:b/>
          <w:bCs/>
          <w:i/>
          <w:iCs/>
          <w:sz w:val="24"/>
          <w:szCs w:val="24"/>
        </w:rPr>
        <w:t>3.1.2 Exogenous Variables</w:t>
      </w:r>
    </w:p>
    <w:p w14:paraId="40389102" w14:textId="0C553172" w:rsidR="00E86249" w:rsidRDefault="00567F62" w:rsidP="007A41A4">
      <w:pPr>
        <w:pStyle w:val="FootnoteText"/>
        <w:jc w:val="both"/>
        <w:rPr>
          <w:color w:val="000000"/>
          <w:sz w:val="24"/>
          <w:szCs w:val="24"/>
        </w:rPr>
      </w:pPr>
      <w:r w:rsidRPr="00B61D05">
        <w:rPr>
          <w:color w:val="000000"/>
          <w:sz w:val="24"/>
          <w:szCs w:val="24"/>
        </w:rPr>
        <w:t xml:space="preserve">The exogenous variables </w:t>
      </w:r>
      <w:r>
        <w:rPr>
          <w:color w:val="000000"/>
          <w:sz w:val="24"/>
          <w:szCs w:val="24"/>
        </w:rPr>
        <w:t xml:space="preserve">may be grouped into four categories. </w:t>
      </w:r>
      <w:r w:rsidR="001935A6">
        <w:rPr>
          <w:color w:val="000000"/>
          <w:sz w:val="24"/>
          <w:szCs w:val="24"/>
        </w:rPr>
        <w:t>These include (1) individual</w:t>
      </w:r>
      <w:r w:rsidR="008305DD">
        <w:rPr>
          <w:color w:val="000000"/>
          <w:sz w:val="24"/>
          <w:szCs w:val="24"/>
        </w:rPr>
        <w:t>-</w:t>
      </w:r>
      <w:r w:rsidR="001935A6">
        <w:rPr>
          <w:color w:val="000000"/>
          <w:sz w:val="24"/>
          <w:szCs w:val="24"/>
        </w:rPr>
        <w:t xml:space="preserve">level demographic characteristics, (2) household-level attributes, (3) geographic context </w:t>
      </w:r>
      <w:r w:rsidR="001935A6" w:rsidRPr="00B61D05">
        <w:rPr>
          <w:color w:val="000000"/>
          <w:sz w:val="24"/>
          <w:szCs w:val="24"/>
        </w:rPr>
        <w:t>represented by the respondent</w:t>
      </w:r>
      <w:r w:rsidR="000D7001">
        <w:rPr>
          <w:color w:val="000000"/>
          <w:sz w:val="24"/>
          <w:szCs w:val="24"/>
        </w:rPr>
        <w:t>’</w:t>
      </w:r>
      <w:r w:rsidR="001935A6" w:rsidRPr="00B61D05">
        <w:rPr>
          <w:color w:val="000000"/>
          <w:sz w:val="24"/>
          <w:szCs w:val="24"/>
        </w:rPr>
        <w:t xml:space="preserve">s </w:t>
      </w:r>
      <w:r w:rsidR="005A5F22">
        <w:rPr>
          <w:color w:val="000000"/>
          <w:sz w:val="24"/>
          <w:szCs w:val="24"/>
        </w:rPr>
        <w:t>c</w:t>
      </w:r>
      <w:r w:rsidR="001935A6" w:rsidRPr="00B61D05">
        <w:rPr>
          <w:color w:val="000000"/>
          <w:sz w:val="24"/>
          <w:szCs w:val="24"/>
        </w:rPr>
        <w:t>ensus division of residence</w:t>
      </w:r>
      <w:r w:rsidR="001935A6">
        <w:rPr>
          <w:color w:val="000000"/>
          <w:sz w:val="24"/>
          <w:szCs w:val="24"/>
        </w:rPr>
        <w:t xml:space="preserve">, and (4) residential </w:t>
      </w:r>
      <w:r w:rsidR="006556EA">
        <w:rPr>
          <w:color w:val="000000"/>
          <w:sz w:val="24"/>
          <w:szCs w:val="24"/>
        </w:rPr>
        <w:t xml:space="preserve">BE </w:t>
      </w:r>
      <w:r w:rsidR="001935A6">
        <w:rPr>
          <w:color w:val="000000"/>
          <w:sz w:val="24"/>
          <w:szCs w:val="24"/>
        </w:rPr>
        <w:t>characteristics</w:t>
      </w:r>
      <w:r w:rsidR="004A6831">
        <w:rPr>
          <w:color w:val="000000"/>
          <w:sz w:val="24"/>
          <w:szCs w:val="24"/>
        </w:rPr>
        <w:t>.</w:t>
      </w:r>
      <w:r w:rsidR="001935A6" w:rsidRPr="00B61D05">
        <w:rPr>
          <w:color w:val="000000"/>
          <w:sz w:val="24"/>
          <w:szCs w:val="24"/>
        </w:rPr>
        <w:t xml:space="preserve"> Sample shares for the survey-derived attributes, alongside 2024 American Community Survey (ACS) 5-year estimates</w:t>
      </w:r>
      <w:r w:rsidR="001935A6">
        <w:rPr>
          <w:color w:val="000000"/>
          <w:sz w:val="24"/>
          <w:szCs w:val="24"/>
        </w:rPr>
        <w:t xml:space="preserve"> </w:t>
      </w:r>
      <w:sdt>
        <w:sdtPr>
          <w:rPr>
            <w:color w:val="000000"/>
            <w:sz w:val="24"/>
            <w:szCs w:val="24"/>
          </w:rPr>
          <w:tag w:val="MENDELEY_CITATION_v3_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"/>
          <w:id w:val="585271589"/>
          <w:placeholder>
            <w:docPart w:val="DefaultPlaceholder_-1854013440"/>
          </w:placeholder>
        </w:sdtPr>
        <w:sdtEndPr/>
        <w:sdtContent>
          <w:r w:rsidR="000C5DDA" w:rsidRPr="000C5DDA">
            <w:rPr>
              <w:color w:val="000000"/>
              <w:sz w:val="24"/>
              <w:szCs w:val="24"/>
            </w:rPr>
            <w:t>(U.S. Census Bureau, 2026)</w:t>
          </w:r>
        </w:sdtContent>
      </w:sdt>
      <w:r w:rsidR="00BE1BC1">
        <w:rPr>
          <w:color w:val="000000"/>
          <w:sz w:val="24"/>
          <w:szCs w:val="24"/>
        </w:rPr>
        <w:t xml:space="preserve"> </w:t>
      </w:r>
      <w:r w:rsidR="00260D66" w:rsidRPr="00B61D05">
        <w:rPr>
          <w:color w:val="000000"/>
          <w:sz w:val="24"/>
          <w:szCs w:val="24"/>
        </w:rPr>
        <w:t xml:space="preserve">for those variables that have direct ACS counterparts, are reported in the upper </w:t>
      </w:r>
      <w:r w:rsidR="006556EA">
        <w:rPr>
          <w:color w:val="000000"/>
          <w:sz w:val="24"/>
          <w:szCs w:val="24"/>
        </w:rPr>
        <w:t xml:space="preserve">left and right </w:t>
      </w:r>
      <w:r w:rsidR="00260D66" w:rsidRPr="00B61D05">
        <w:rPr>
          <w:color w:val="000000"/>
          <w:sz w:val="24"/>
          <w:szCs w:val="24"/>
        </w:rPr>
        <w:t>panel</w:t>
      </w:r>
      <w:r w:rsidR="006556EA">
        <w:rPr>
          <w:color w:val="000000"/>
          <w:sz w:val="24"/>
          <w:szCs w:val="24"/>
        </w:rPr>
        <w:t>s</w:t>
      </w:r>
      <w:r w:rsidR="00260D66" w:rsidRPr="00B61D05">
        <w:rPr>
          <w:color w:val="000000"/>
          <w:sz w:val="24"/>
          <w:szCs w:val="24"/>
        </w:rPr>
        <w:t xml:space="preserve"> of Table </w:t>
      </w:r>
      <w:r w:rsidR="00732055">
        <w:rPr>
          <w:color w:val="000000"/>
          <w:sz w:val="24"/>
          <w:szCs w:val="24"/>
        </w:rPr>
        <w:t>2</w:t>
      </w:r>
      <w:r w:rsidR="00260D66" w:rsidRPr="00B61D05">
        <w:rPr>
          <w:color w:val="000000"/>
          <w:sz w:val="24"/>
          <w:szCs w:val="24"/>
        </w:rPr>
        <w:t>.</w:t>
      </w:r>
    </w:p>
    <w:p w14:paraId="3E273453" w14:textId="77777777" w:rsidR="00E86249" w:rsidRDefault="00E86249" w:rsidP="007A41A4">
      <w:pPr>
        <w:pStyle w:val="FootnoteText"/>
        <w:jc w:val="both"/>
        <w:rPr>
          <w:color w:val="000000"/>
          <w:sz w:val="24"/>
          <w:szCs w:val="24"/>
        </w:rPr>
      </w:pPr>
    </w:p>
    <w:p w14:paraId="22BA6164" w14:textId="77777777" w:rsidR="008D3CDC" w:rsidRPr="006A4AD4" w:rsidRDefault="008D3CDC" w:rsidP="008D3CDC">
      <w:pPr>
        <w:pStyle w:val="FootnoteText"/>
        <w:jc w:val="both"/>
        <w:rPr>
          <w:b/>
          <w:bCs/>
          <w:sz w:val="24"/>
          <w:szCs w:val="24"/>
        </w:rPr>
      </w:pPr>
      <w:r w:rsidRPr="006A4AD4">
        <w:rPr>
          <w:b/>
          <w:bCs/>
          <w:sz w:val="24"/>
          <w:szCs w:val="24"/>
        </w:rPr>
        <w:lastRenderedPageBreak/>
        <w:t>Table 2. Descriptive Statistics of the Analysis Sample</w:t>
      </w:r>
    </w:p>
    <w:tbl>
      <w:tblPr>
        <w:tblStyle w:val="TableGrid"/>
        <w:tblW w:w="0" w:type="auto"/>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ayout w:type="fixed"/>
        <w:tblCellMar>
          <w:left w:w="0" w:type="dxa"/>
          <w:right w:w="0" w:type="dxa"/>
        </w:tblCellMar>
        <w:tblLook w:val="04A0" w:firstRow="1" w:lastRow="0" w:firstColumn="1" w:lastColumn="0" w:noHBand="0" w:noVBand="1"/>
      </w:tblPr>
      <w:tblGrid>
        <w:gridCol w:w="1867"/>
        <w:gridCol w:w="1080"/>
        <w:gridCol w:w="810"/>
        <w:gridCol w:w="630"/>
        <w:gridCol w:w="3510"/>
        <w:gridCol w:w="810"/>
        <w:gridCol w:w="607"/>
      </w:tblGrid>
      <w:tr w:rsidR="008D3CDC" w:rsidRPr="0095162E" w14:paraId="7E425792" w14:textId="77777777" w:rsidTr="000754F4">
        <w:trPr>
          <w:trHeight w:hRule="exact" w:val="259"/>
        </w:trPr>
        <w:tc>
          <w:tcPr>
            <w:tcW w:w="4387" w:type="dxa"/>
            <w:gridSpan w:val="4"/>
            <w:tcBorders>
              <w:top w:val="single" w:sz="18" w:space="0" w:color="auto"/>
              <w:left w:val="single" w:sz="18" w:space="0" w:color="auto"/>
              <w:bottom w:val="single" w:sz="8" w:space="0" w:color="auto"/>
              <w:right w:val="single" w:sz="18" w:space="0" w:color="auto"/>
            </w:tcBorders>
          </w:tcPr>
          <w:p w14:paraId="6336F45F" w14:textId="77777777" w:rsidR="008D3CDC" w:rsidRPr="0095162E" w:rsidRDefault="008D3CDC" w:rsidP="000754F4">
            <w:pPr>
              <w:spacing w:after="200"/>
              <w:jc w:val="center"/>
              <w:rPr>
                <w:b/>
                <w:bCs/>
                <w:i/>
                <w:iCs/>
                <w:color w:val="000000"/>
                <w:sz w:val="20"/>
                <w:szCs w:val="20"/>
              </w:rPr>
            </w:pPr>
            <w:r w:rsidRPr="0095162E">
              <w:rPr>
                <w:b/>
                <w:bCs/>
                <w:i/>
                <w:iCs/>
                <w:color w:val="000000"/>
                <w:sz w:val="20"/>
                <w:szCs w:val="20"/>
              </w:rPr>
              <w:t>Individual</w:t>
            </w:r>
            <w:r>
              <w:rPr>
                <w:b/>
                <w:bCs/>
                <w:i/>
                <w:iCs/>
                <w:color w:val="000000"/>
                <w:sz w:val="20"/>
                <w:szCs w:val="20"/>
              </w:rPr>
              <w:t>-</w:t>
            </w:r>
            <w:r w:rsidRPr="0095162E">
              <w:rPr>
                <w:b/>
                <w:bCs/>
                <w:i/>
                <w:iCs/>
                <w:color w:val="000000"/>
                <w:sz w:val="20"/>
                <w:szCs w:val="20"/>
              </w:rPr>
              <w:t>level demographic characteristics</w:t>
            </w:r>
          </w:p>
        </w:tc>
        <w:tc>
          <w:tcPr>
            <w:tcW w:w="4927" w:type="dxa"/>
            <w:gridSpan w:val="3"/>
            <w:tcBorders>
              <w:top w:val="single" w:sz="18" w:space="0" w:color="auto"/>
              <w:left w:val="single" w:sz="18" w:space="0" w:color="auto"/>
              <w:bottom w:val="single" w:sz="8" w:space="0" w:color="auto"/>
              <w:right w:val="single" w:sz="18" w:space="0" w:color="auto"/>
            </w:tcBorders>
          </w:tcPr>
          <w:p w14:paraId="4E49BF72" w14:textId="77777777" w:rsidR="008D3CDC" w:rsidRPr="0095162E" w:rsidRDefault="008D3CDC" w:rsidP="000754F4">
            <w:pPr>
              <w:spacing w:after="200"/>
              <w:jc w:val="center"/>
              <w:rPr>
                <w:b/>
                <w:bCs/>
                <w:i/>
                <w:iCs/>
                <w:color w:val="000000"/>
                <w:sz w:val="20"/>
                <w:szCs w:val="20"/>
              </w:rPr>
            </w:pPr>
            <w:r w:rsidRPr="0095162E">
              <w:rPr>
                <w:b/>
                <w:bCs/>
                <w:i/>
                <w:iCs/>
                <w:color w:val="000000"/>
                <w:sz w:val="20"/>
                <w:szCs w:val="20"/>
              </w:rPr>
              <w:t>Household-level attributes</w:t>
            </w:r>
          </w:p>
        </w:tc>
      </w:tr>
      <w:tr w:rsidR="008D3CDC" w:rsidRPr="0095162E" w14:paraId="132DE2FC" w14:textId="77777777" w:rsidTr="000754F4">
        <w:trPr>
          <w:trHeight w:hRule="exact" w:val="479"/>
        </w:trPr>
        <w:tc>
          <w:tcPr>
            <w:tcW w:w="2947" w:type="dxa"/>
            <w:gridSpan w:val="2"/>
            <w:tcBorders>
              <w:top w:val="single" w:sz="8" w:space="0" w:color="auto"/>
              <w:left w:val="single" w:sz="18" w:space="0" w:color="auto"/>
              <w:bottom w:val="single" w:sz="18" w:space="0" w:color="auto"/>
            </w:tcBorders>
          </w:tcPr>
          <w:p w14:paraId="5226701A" w14:textId="77777777" w:rsidR="008D3CDC" w:rsidRPr="0095162E" w:rsidRDefault="008D3CDC" w:rsidP="000754F4">
            <w:pPr>
              <w:spacing w:after="200"/>
              <w:rPr>
                <w:b/>
                <w:bCs/>
                <w:color w:val="000000"/>
                <w:sz w:val="20"/>
                <w:szCs w:val="20"/>
              </w:rPr>
            </w:pPr>
            <w:r w:rsidRPr="0095162E">
              <w:rPr>
                <w:b/>
                <w:bCs/>
                <w:color w:val="000000"/>
                <w:sz w:val="20"/>
                <w:szCs w:val="20"/>
              </w:rPr>
              <w:t>Variable</w:t>
            </w:r>
          </w:p>
        </w:tc>
        <w:tc>
          <w:tcPr>
            <w:tcW w:w="810" w:type="dxa"/>
            <w:tcBorders>
              <w:top w:val="single" w:sz="8" w:space="0" w:color="auto"/>
              <w:bottom w:val="single" w:sz="18" w:space="0" w:color="auto"/>
            </w:tcBorders>
          </w:tcPr>
          <w:p w14:paraId="27A77D39" w14:textId="77777777" w:rsidR="008D3CDC" w:rsidRPr="00425654" w:rsidRDefault="008D3CDC" w:rsidP="000754F4">
            <w:pPr>
              <w:jc w:val="center"/>
              <w:rPr>
                <w:b/>
                <w:bCs/>
                <w:sz w:val="20"/>
                <w:szCs w:val="20"/>
              </w:rPr>
            </w:pPr>
            <w:r w:rsidRPr="00425654">
              <w:rPr>
                <w:b/>
                <w:bCs/>
                <w:sz w:val="20"/>
                <w:szCs w:val="20"/>
              </w:rPr>
              <w:t>Sample</w:t>
            </w:r>
          </w:p>
          <w:p w14:paraId="5F7BBD23" w14:textId="77777777" w:rsidR="008D3CDC" w:rsidRPr="0018404E" w:rsidRDefault="008D3CDC" w:rsidP="000754F4">
            <w:pPr>
              <w:jc w:val="center"/>
              <w:rPr>
                <w:color w:val="EE0000"/>
                <w:sz w:val="20"/>
                <w:szCs w:val="20"/>
              </w:rPr>
            </w:pPr>
            <w:r w:rsidRPr="00425654">
              <w:rPr>
                <w:b/>
                <w:bCs/>
                <w:sz w:val="20"/>
                <w:szCs w:val="20"/>
              </w:rPr>
              <w:t>(%)</w:t>
            </w:r>
          </w:p>
        </w:tc>
        <w:tc>
          <w:tcPr>
            <w:tcW w:w="630" w:type="dxa"/>
            <w:tcBorders>
              <w:top w:val="single" w:sz="8" w:space="0" w:color="auto"/>
              <w:bottom w:val="single" w:sz="18" w:space="0" w:color="auto"/>
              <w:right w:val="single" w:sz="18" w:space="0" w:color="auto"/>
            </w:tcBorders>
          </w:tcPr>
          <w:p w14:paraId="2913C1DB" w14:textId="77777777" w:rsidR="008D3CDC" w:rsidRPr="00425654" w:rsidRDefault="008D3CDC" w:rsidP="000754F4">
            <w:pPr>
              <w:jc w:val="center"/>
              <w:rPr>
                <w:b/>
                <w:bCs/>
                <w:sz w:val="20"/>
                <w:szCs w:val="20"/>
              </w:rPr>
            </w:pPr>
            <w:r w:rsidRPr="00425654">
              <w:rPr>
                <w:b/>
                <w:bCs/>
                <w:sz w:val="20"/>
                <w:szCs w:val="20"/>
              </w:rPr>
              <w:t>ACS</w:t>
            </w:r>
          </w:p>
          <w:p w14:paraId="7600B5BD" w14:textId="77777777" w:rsidR="008D3CDC" w:rsidRPr="0018404E" w:rsidRDefault="008D3CDC" w:rsidP="000754F4">
            <w:pPr>
              <w:jc w:val="center"/>
              <w:rPr>
                <w:color w:val="EE0000"/>
                <w:sz w:val="20"/>
                <w:szCs w:val="20"/>
              </w:rPr>
            </w:pPr>
            <w:r w:rsidRPr="00425654">
              <w:rPr>
                <w:b/>
                <w:bCs/>
                <w:sz w:val="20"/>
                <w:szCs w:val="20"/>
              </w:rPr>
              <w:t>(%)</w:t>
            </w:r>
          </w:p>
        </w:tc>
        <w:tc>
          <w:tcPr>
            <w:tcW w:w="3510" w:type="dxa"/>
            <w:tcBorders>
              <w:top w:val="single" w:sz="8" w:space="0" w:color="auto"/>
              <w:left w:val="single" w:sz="18" w:space="0" w:color="auto"/>
              <w:bottom w:val="single" w:sz="18" w:space="0" w:color="auto"/>
            </w:tcBorders>
          </w:tcPr>
          <w:p w14:paraId="144902EF" w14:textId="77777777" w:rsidR="008D3CDC" w:rsidRPr="0095162E" w:rsidRDefault="008D3CDC" w:rsidP="000754F4">
            <w:pPr>
              <w:spacing w:after="200"/>
              <w:rPr>
                <w:b/>
                <w:bCs/>
                <w:color w:val="000000"/>
                <w:sz w:val="20"/>
                <w:szCs w:val="20"/>
              </w:rPr>
            </w:pPr>
            <w:r w:rsidRPr="0095162E">
              <w:rPr>
                <w:b/>
                <w:bCs/>
                <w:color w:val="000000"/>
                <w:sz w:val="20"/>
                <w:szCs w:val="20"/>
              </w:rPr>
              <w:t>Variable</w:t>
            </w:r>
          </w:p>
        </w:tc>
        <w:tc>
          <w:tcPr>
            <w:tcW w:w="810" w:type="dxa"/>
            <w:tcBorders>
              <w:top w:val="single" w:sz="8" w:space="0" w:color="auto"/>
              <w:bottom w:val="single" w:sz="18" w:space="0" w:color="auto"/>
            </w:tcBorders>
          </w:tcPr>
          <w:p w14:paraId="50023442" w14:textId="77777777" w:rsidR="008D3CDC" w:rsidRPr="0018404E" w:rsidRDefault="008D3CDC" w:rsidP="000754F4">
            <w:pPr>
              <w:spacing w:after="200"/>
              <w:jc w:val="center"/>
              <w:rPr>
                <w:b/>
                <w:bCs/>
                <w:color w:val="EE0000"/>
                <w:sz w:val="20"/>
                <w:szCs w:val="20"/>
              </w:rPr>
            </w:pPr>
            <w:r w:rsidRPr="00425654">
              <w:rPr>
                <w:b/>
                <w:bCs/>
                <w:sz w:val="20"/>
                <w:szCs w:val="20"/>
              </w:rPr>
              <w:t>Sample (%)</w:t>
            </w:r>
          </w:p>
        </w:tc>
        <w:tc>
          <w:tcPr>
            <w:tcW w:w="607" w:type="dxa"/>
            <w:tcBorders>
              <w:top w:val="single" w:sz="8" w:space="0" w:color="auto"/>
              <w:right w:val="single" w:sz="18" w:space="0" w:color="auto"/>
            </w:tcBorders>
          </w:tcPr>
          <w:p w14:paraId="7F9BB2F8" w14:textId="77777777" w:rsidR="008D3CDC" w:rsidRPr="0018404E" w:rsidRDefault="008D3CDC" w:rsidP="000754F4">
            <w:pPr>
              <w:spacing w:after="200"/>
              <w:jc w:val="center"/>
              <w:rPr>
                <w:b/>
                <w:bCs/>
                <w:color w:val="EE0000"/>
                <w:sz w:val="20"/>
                <w:szCs w:val="20"/>
              </w:rPr>
            </w:pPr>
            <w:r w:rsidRPr="00425654">
              <w:rPr>
                <w:b/>
                <w:bCs/>
                <w:sz w:val="20"/>
                <w:szCs w:val="20"/>
              </w:rPr>
              <w:t>ACS (%)</w:t>
            </w:r>
          </w:p>
        </w:tc>
      </w:tr>
      <w:tr w:rsidR="008D3CDC" w:rsidRPr="0095162E" w14:paraId="034592B9" w14:textId="77777777" w:rsidTr="000754F4">
        <w:trPr>
          <w:trHeight w:hRule="exact" w:val="259"/>
        </w:trPr>
        <w:tc>
          <w:tcPr>
            <w:tcW w:w="4387" w:type="dxa"/>
            <w:gridSpan w:val="4"/>
            <w:tcBorders>
              <w:top w:val="single" w:sz="18" w:space="0" w:color="auto"/>
              <w:left w:val="single" w:sz="18" w:space="0" w:color="auto"/>
              <w:right w:val="single" w:sz="18" w:space="0" w:color="auto"/>
            </w:tcBorders>
          </w:tcPr>
          <w:p w14:paraId="6269A002" w14:textId="77777777" w:rsidR="008D3CDC" w:rsidRPr="0095162E" w:rsidRDefault="008D3CDC" w:rsidP="000754F4">
            <w:pPr>
              <w:spacing w:after="200"/>
              <w:rPr>
                <w:b/>
                <w:bCs/>
                <w:color w:val="000000" w:themeColor="text1"/>
                <w:sz w:val="20"/>
                <w:szCs w:val="20"/>
              </w:rPr>
            </w:pPr>
            <w:r w:rsidRPr="0095162E">
              <w:rPr>
                <w:b/>
                <w:bCs/>
                <w:color w:val="000000" w:themeColor="text1"/>
                <w:sz w:val="20"/>
                <w:szCs w:val="20"/>
              </w:rPr>
              <w:t>Gender</w:t>
            </w:r>
          </w:p>
        </w:tc>
        <w:tc>
          <w:tcPr>
            <w:tcW w:w="4927" w:type="dxa"/>
            <w:gridSpan w:val="3"/>
            <w:tcBorders>
              <w:top w:val="single" w:sz="18" w:space="0" w:color="auto"/>
              <w:left w:val="single" w:sz="18" w:space="0" w:color="auto"/>
              <w:right w:val="single" w:sz="18" w:space="0" w:color="auto"/>
            </w:tcBorders>
          </w:tcPr>
          <w:p w14:paraId="092C4AFD" w14:textId="77777777" w:rsidR="008D3CDC" w:rsidRPr="0095162E" w:rsidRDefault="008D3CDC" w:rsidP="000754F4">
            <w:pPr>
              <w:spacing w:after="200"/>
              <w:rPr>
                <w:b/>
                <w:bCs/>
                <w:color w:val="000000" w:themeColor="text1"/>
                <w:sz w:val="20"/>
                <w:szCs w:val="20"/>
              </w:rPr>
            </w:pPr>
            <w:r w:rsidRPr="0095162E">
              <w:rPr>
                <w:b/>
                <w:bCs/>
                <w:color w:val="000000" w:themeColor="text1"/>
                <w:sz w:val="20"/>
                <w:szCs w:val="20"/>
              </w:rPr>
              <w:t>Annual household income</w:t>
            </w:r>
          </w:p>
        </w:tc>
      </w:tr>
      <w:tr w:rsidR="008D3CDC" w:rsidRPr="0095162E" w14:paraId="3621B9F8" w14:textId="77777777" w:rsidTr="000754F4">
        <w:trPr>
          <w:trHeight w:hRule="exact" w:val="230"/>
        </w:trPr>
        <w:tc>
          <w:tcPr>
            <w:tcW w:w="2947" w:type="dxa"/>
            <w:gridSpan w:val="2"/>
            <w:tcBorders>
              <w:left w:val="single" w:sz="18" w:space="0" w:color="auto"/>
            </w:tcBorders>
          </w:tcPr>
          <w:p w14:paraId="1F1A6946" w14:textId="77777777" w:rsidR="008D3CDC" w:rsidRPr="0095162E" w:rsidRDefault="008D3CDC" w:rsidP="000754F4">
            <w:pPr>
              <w:spacing w:after="200"/>
              <w:rPr>
                <w:color w:val="000000" w:themeColor="text1"/>
                <w:sz w:val="20"/>
                <w:szCs w:val="20"/>
              </w:rPr>
            </w:pPr>
            <w:r w:rsidRPr="0095162E">
              <w:rPr>
                <w:color w:val="000000" w:themeColor="text1"/>
                <w:sz w:val="20"/>
                <w:szCs w:val="20"/>
              </w:rPr>
              <w:t xml:space="preserve"> </w:t>
            </w:r>
            <w:r>
              <w:rPr>
                <w:color w:val="000000" w:themeColor="text1"/>
                <w:sz w:val="20"/>
                <w:szCs w:val="20"/>
              </w:rPr>
              <w:t xml:space="preserve"> </w:t>
            </w:r>
            <w:r w:rsidRPr="0095162E">
              <w:rPr>
                <w:color w:val="000000" w:themeColor="text1"/>
                <w:sz w:val="20"/>
                <w:szCs w:val="20"/>
              </w:rPr>
              <w:t>Female</w:t>
            </w:r>
          </w:p>
        </w:tc>
        <w:tc>
          <w:tcPr>
            <w:tcW w:w="810" w:type="dxa"/>
          </w:tcPr>
          <w:p w14:paraId="53456066" w14:textId="77777777" w:rsidR="008D3CDC" w:rsidRPr="0095162E" w:rsidRDefault="008D3CDC" w:rsidP="000754F4">
            <w:pPr>
              <w:tabs>
                <w:tab w:val="decimal" w:pos="360"/>
              </w:tabs>
              <w:spacing w:after="200"/>
              <w:rPr>
                <w:color w:val="000000" w:themeColor="text1"/>
                <w:sz w:val="20"/>
                <w:szCs w:val="20"/>
              </w:rPr>
            </w:pPr>
            <w:r w:rsidRPr="0095162E">
              <w:rPr>
                <w:color w:val="000000" w:themeColor="text1"/>
                <w:sz w:val="20"/>
                <w:szCs w:val="20"/>
              </w:rPr>
              <w:t>53.0</w:t>
            </w:r>
          </w:p>
        </w:tc>
        <w:tc>
          <w:tcPr>
            <w:tcW w:w="630" w:type="dxa"/>
            <w:tcBorders>
              <w:right w:val="single" w:sz="18" w:space="0" w:color="auto"/>
            </w:tcBorders>
          </w:tcPr>
          <w:p w14:paraId="278FFBDA" w14:textId="77777777" w:rsidR="008D3CDC" w:rsidRPr="0095162E" w:rsidRDefault="008D3CDC" w:rsidP="000754F4">
            <w:pPr>
              <w:tabs>
                <w:tab w:val="decimal" w:pos="288"/>
              </w:tabs>
              <w:spacing w:after="200"/>
              <w:rPr>
                <w:color w:val="000000" w:themeColor="text1"/>
                <w:sz w:val="20"/>
                <w:szCs w:val="20"/>
              </w:rPr>
            </w:pPr>
            <w:r>
              <w:rPr>
                <w:color w:val="000000" w:themeColor="text1"/>
                <w:sz w:val="20"/>
                <w:szCs w:val="20"/>
              </w:rPr>
              <w:t>51.2</w:t>
            </w:r>
          </w:p>
        </w:tc>
        <w:tc>
          <w:tcPr>
            <w:tcW w:w="3510" w:type="dxa"/>
            <w:tcBorders>
              <w:left w:val="single" w:sz="18" w:space="0" w:color="auto"/>
            </w:tcBorders>
          </w:tcPr>
          <w:p w14:paraId="59BDA905" w14:textId="77777777" w:rsidR="008D3CDC" w:rsidRPr="0095162E" w:rsidRDefault="008D3CDC" w:rsidP="000754F4">
            <w:pPr>
              <w:spacing w:after="200"/>
              <w:rPr>
                <w:color w:val="000000" w:themeColor="text1"/>
                <w:sz w:val="20"/>
                <w:szCs w:val="20"/>
              </w:rPr>
            </w:pPr>
            <w:r w:rsidRPr="0095162E">
              <w:rPr>
                <w:color w:val="000000" w:themeColor="text1"/>
                <w:sz w:val="20"/>
                <w:szCs w:val="20"/>
              </w:rPr>
              <w:t xml:space="preserve">  Less than $25,000</w:t>
            </w:r>
          </w:p>
        </w:tc>
        <w:tc>
          <w:tcPr>
            <w:tcW w:w="810" w:type="dxa"/>
          </w:tcPr>
          <w:p w14:paraId="5C0A01F3" w14:textId="77777777" w:rsidR="008D3CDC" w:rsidRPr="0095162E" w:rsidRDefault="008D3CDC" w:rsidP="000754F4">
            <w:pPr>
              <w:tabs>
                <w:tab w:val="decimal" w:pos="360"/>
              </w:tabs>
              <w:spacing w:after="200"/>
              <w:rPr>
                <w:color w:val="000000" w:themeColor="text1"/>
                <w:sz w:val="20"/>
                <w:szCs w:val="20"/>
              </w:rPr>
            </w:pPr>
            <w:r w:rsidRPr="0095162E">
              <w:rPr>
                <w:color w:val="000000" w:themeColor="text1"/>
                <w:sz w:val="20"/>
                <w:szCs w:val="20"/>
              </w:rPr>
              <w:t>19.1</w:t>
            </w:r>
          </w:p>
        </w:tc>
        <w:tc>
          <w:tcPr>
            <w:tcW w:w="607" w:type="dxa"/>
            <w:tcBorders>
              <w:right w:val="single" w:sz="18" w:space="0" w:color="auto"/>
            </w:tcBorders>
          </w:tcPr>
          <w:p w14:paraId="06F9BF04" w14:textId="77777777" w:rsidR="008D3CDC" w:rsidRPr="0095162E" w:rsidRDefault="008D3CDC" w:rsidP="000754F4">
            <w:pPr>
              <w:tabs>
                <w:tab w:val="decimal" w:pos="288"/>
              </w:tabs>
              <w:spacing w:after="200"/>
              <w:rPr>
                <w:color w:val="000000" w:themeColor="text1"/>
                <w:sz w:val="20"/>
                <w:szCs w:val="20"/>
              </w:rPr>
            </w:pPr>
            <w:r w:rsidRPr="0095162E">
              <w:rPr>
                <w:color w:val="000000" w:themeColor="text1"/>
                <w:sz w:val="20"/>
                <w:szCs w:val="20"/>
              </w:rPr>
              <w:t>14.</w:t>
            </w:r>
            <w:r>
              <w:rPr>
                <w:color w:val="000000" w:themeColor="text1"/>
                <w:sz w:val="20"/>
                <w:szCs w:val="20"/>
              </w:rPr>
              <w:t>6</w:t>
            </w:r>
          </w:p>
        </w:tc>
      </w:tr>
      <w:tr w:rsidR="008D3CDC" w:rsidRPr="0095162E" w14:paraId="0F3291A1" w14:textId="77777777" w:rsidTr="000754F4">
        <w:trPr>
          <w:trHeight w:hRule="exact" w:val="230"/>
        </w:trPr>
        <w:tc>
          <w:tcPr>
            <w:tcW w:w="2947" w:type="dxa"/>
            <w:gridSpan w:val="2"/>
            <w:tcBorders>
              <w:left w:val="single" w:sz="18" w:space="0" w:color="auto"/>
            </w:tcBorders>
          </w:tcPr>
          <w:p w14:paraId="46E83DCE" w14:textId="77777777" w:rsidR="008D3CDC" w:rsidRPr="0095162E" w:rsidRDefault="008D3CDC" w:rsidP="000754F4">
            <w:pPr>
              <w:spacing w:after="200"/>
              <w:rPr>
                <w:color w:val="000000" w:themeColor="text1"/>
                <w:sz w:val="20"/>
                <w:szCs w:val="20"/>
              </w:rPr>
            </w:pPr>
            <w:r w:rsidRPr="0095162E">
              <w:rPr>
                <w:color w:val="000000" w:themeColor="text1"/>
                <w:sz w:val="20"/>
                <w:szCs w:val="20"/>
              </w:rPr>
              <w:t xml:space="preserve">  Male</w:t>
            </w:r>
          </w:p>
        </w:tc>
        <w:tc>
          <w:tcPr>
            <w:tcW w:w="810" w:type="dxa"/>
          </w:tcPr>
          <w:p w14:paraId="5697D217" w14:textId="77777777" w:rsidR="008D3CDC" w:rsidRPr="0095162E" w:rsidRDefault="008D3CDC" w:rsidP="000754F4">
            <w:pPr>
              <w:tabs>
                <w:tab w:val="decimal" w:pos="360"/>
              </w:tabs>
              <w:spacing w:after="200"/>
              <w:rPr>
                <w:color w:val="000000" w:themeColor="text1"/>
                <w:sz w:val="20"/>
                <w:szCs w:val="20"/>
              </w:rPr>
            </w:pPr>
            <w:r w:rsidRPr="0095162E">
              <w:rPr>
                <w:color w:val="000000" w:themeColor="text1"/>
                <w:sz w:val="20"/>
                <w:szCs w:val="20"/>
              </w:rPr>
              <w:t>47.0</w:t>
            </w:r>
          </w:p>
        </w:tc>
        <w:tc>
          <w:tcPr>
            <w:tcW w:w="630" w:type="dxa"/>
            <w:tcBorders>
              <w:right w:val="single" w:sz="18" w:space="0" w:color="auto"/>
            </w:tcBorders>
          </w:tcPr>
          <w:p w14:paraId="1963966C" w14:textId="77777777" w:rsidR="008D3CDC" w:rsidRPr="0095162E" w:rsidRDefault="008D3CDC" w:rsidP="000754F4">
            <w:pPr>
              <w:tabs>
                <w:tab w:val="decimal" w:pos="288"/>
              </w:tabs>
              <w:spacing w:after="200"/>
              <w:rPr>
                <w:color w:val="000000" w:themeColor="text1"/>
                <w:sz w:val="20"/>
                <w:szCs w:val="20"/>
              </w:rPr>
            </w:pPr>
            <w:r>
              <w:rPr>
                <w:color w:val="000000" w:themeColor="text1"/>
                <w:sz w:val="20"/>
                <w:szCs w:val="20"/>
              </w:rPr>
              <w:t>48.8</w:t>
            </w:r>
          </w:p>
        </w:tc>
        <w:tc>
          <w:tcPr>
            <w:tcW w:w="3510" w:type="dxa"/>
            <w:tcBorders>
              <w:left w:val="single" w:sz="18" w:space="0" w:color="auto"/>
            </w:tcBorders>
          </w:tcPr>
          <w:p w14:paraId="1C8E6D73" w14:textId="77777777" w:rsidR="008D3CDC" w:rsidRPr="0095162E" w:rsidRDefault="008D3CDC" w:rsidP="000754F4">
            <w:pPr>
              <w:spacing w:after="200"/>
              <w:rPr>
                <w:color w:val="000000" w:themeColor="text1"/>
                <w:sz w:val="20"/>
                <w:szCs w:val="20"/>
              </w:rPr>
            </w:pPr>
            <w:r w:rsidRPr="0095162E">
              <w:rPr>
                <w:color w:val="000000" w:themeColor="text1"/>
                <w:sz w:val="20"/>
                <w:szCs w:val="20"/>
              </w:rPr>
              <w:t xml:space="preserve">  $25,000</w:t>
            </w:r>
            <w:r>
              <w:rPr>
                <w:color w:val="000000" w:themeColor="text1"/>
                <w:sz w:val="20"/>
                <w:szCs w:val="20"/>
              </w:rPr>
              <w:t>-</w:t>
            </w:r>
            <w:r w:rsidRPr="0095162E">
              <w:rPr>
                <w:color w:val="000000" w:themeColor="text1"/>
                <w:sz w:val="20"/>
                <w:szCs w:val="20"/>
              </w:rPr>
              <w:t>$49,999</w:t>
            </w:r>
          </w:p>
        </w:tc>
        <w:tc>
          <w:tcPr>
            <w:tcW w:w="810" w:type="dxa"/>
          </w:tcPr>
          <w:p w14:paraId="1F09A1CE" w14:textId="77777777" w:rsidR="008D3CDC" w:rsidRPr="0095162E" w:rsidRDefault="008D3CDC" w:rsidP="000754F4">
            <w:pPr>
              <w:tabs>
                <w:tab w:val="decimal" w:pos="360"/>
              </w:tabs>
              <w:spacing w:after="200"/>
              <w:rPr>
                <w:color w:val="000000" w:themeColor="text1"/>
                <w:sz w:val="20"/>
                <w:szCs w:val="20"/>
              </w:rPr>
            </w:pPr>
            <w:r w:rsidRPr="0095162E">
              <w:rPr>
                <w:color w:val="000000" w:themeColor="text1"/>
                <w:sz w:val="20"/>
                <w:szCs w:val="20"/>
              </w:rPr>
              <w:t>20.3</w:t>
            </w:r>
          </w:p>
        </w:tc>
        <w:tc>
          <w:tcPr>
            <w:tcW w:w="607" w:type="dxa"/>
            <w:tcBorders>
              <w:right w:val="single" w:sz="18" w:space="0" w:color="auto"/>
            </w:tcBorders>
          </w:tcPr>
          <w:p w14:paraId="4F912B2F" w14:textId="77777777" w:rsidR="008D3CDC" w:rsidRPr="0095162E" w:rsidRDefault="008D3CDC" w:rsidP="000754F4">
            <w:pPr>
              <w:tabs>
                <w:tab w:val="decimal" w:pos="288"/>
              </w:tabs>
              <w:spacing w:after="200"/>
              <w:rPr>
                <w:color w:val="000000" w:themeColor="text1"/>
                <w:sz w:val="20"/>
                <w:szCs w:val="20"/>
              </w:rPr>
            </w:pPr>
            <w:r w:rsidRPr="0095162E">
              <w:rPr>
                <w:color w:val="000000" w:themeColor="text1"/>
                <w:sz w:val="20"/>
                <w:szCs w:val="20"/>
              </w:rPr>
              <w:t>1</w:t>
            </w:r>
            <w:r>
              <w:rPr>
                <w:color w:val="000000" w:themeColor="text1"/>
                <w:sz w:val="20"/>
                <w:szCs w:val="20"/>
              </w:rPr>
              <w:t>9.7</w:t>
            </w:r>
          </w:p>
        </w:tc>
      </w:tr>
      <w:tr w:rsidR="008D3CDC" w:rsidRPr="0095162E" w14:paraId="5C25C084" w14:textId="77777777" w:rsidTr="000754F4">
        <w:trPr>
          <w:trHeight w:hRule="exact" w:val="230"/>
        </w:trPr>
        <w:tc>
          <w:tcPr>
            <w:tcW w:w="4387" w:type="dxa"/>
            <w:gridSpan w:val="4"/>
            <w:tcBorders>
              <w:left w:val="single" w:sz="18" w:space="0" w:color="auto"/>
              <w:right w:val="single" w:sz="18" w:space="0" w:color="auto"/>
            </w:tcBorders>
          </w:tcPr>
          <w:p w14:paraId="22098204" w14:textId="77777777" w:rsidR="008D3CDC" w:rsidRPr="0095162E" w:rsidRDefault="008D3CDC" w:rsidP="000754F4">
            <w:pPr>
              <w:tabs>
                <w:tab w:val="decimal" w:pos="288"/>
              </w:tabs>
              <w:spacing w:after="200"/>
              <w:rPr>
                <w:b/>
                <w:bCs/>
                <w:color w:val="000000" w:themeColor="text1"/>
                <w:sz w:val="20"/>
                <w:szCs w:val="20"/>
              </w:rPr>
            </w:pPr>
            <w:r w:rsidRPr="0095162E">
              <w:rPr>
                <w:b/>
                <w:bCs/>
                <w:color w:val="000000" w:themeColor="text1"/>
                <w:sz w:val="20"/>
                <w:szCs w:val="20"/>
              </w:rPr>
              <w:t>Age</w:t>
            </w:r>
          </w:p>
        </w:tc>
        <w:tc>
          <w:tcPr>
            <w:tcW w:w="3510" w:type="dxa"/>
            <w:tcBorders>
              <w:left w:val="single" w:sz="18" w:space="0" w:color="auto"/>
            </w:tcBorders>
          </w:tcPr>
          <w:p w14:paraId="61CD9397" w14:textId="77777777" w:rsidR="008D3CDC" w:rsidRPr="0095162E" w:rsidRDefault="008D3CDC" w:rsidP="000754F4">
            <w:pPr>
              <w:spacing w:after="200"/>
              <w:rPr>
                <w:color w:val="000000" w:themeColor="text1"/>
                <w:sz w:val="20"/>
                <w:szCs w:val="20"/>
              </w:rPr>
            </w:pPr>
            <w:r w:rsidRPr="0095162E">
              <w:rPr>
                <w:color w:val="000000" w:themeColor="text1"/>
                <w:sz w:val="20"/>
                <w:szCs w:val="20"/>
              </w:rPr>
              <w:t xml:space="preserve">  $50,000</w:t>
            </w:r>
            <w:r>
              <w:rPr>
                <w:color w:val="000000" w:themeColor="text1"/>
                <w:sz w:val="20"/>
                <w:szCs w:val="20"/>
              </w:rPr>
              <w:t>-</w:t>
            </w:r>
            <w:r w:rsidRPr="0095162E">
              <w:rPr>
                <w:color w:val="000000" w:themeColor="text1"/>
                <w:sz w:val="20"/>
                <w:szCs w:val="20"/>
              </w:rPr>
              <w:t>$99,999</w:t>
            </w:r>
          </w:p>
        </w:tc>
        <w:tc>
          <w:tcPr>
            <w:tcW w:w="810" w:type="dxa"/>
          </w:tcPr>
          <w:p w14:paraId="26A3F447" w14:textId="77777777" w:rsidR="008D3CDC" w:rsidRPr="0095162E" w:rsidRDefault="008D3CDC" w:rsidP="000754F4">
            <w:pPr>
              <w:tabs>
                <w:tab w:val="decimal" w:pos="360"/>
              </w:tabs>
              <w:spacing w:after="200"/>
              <w:rPr>
                <w:color w:val="000000" w:themeColor="text1"/>
                <w:sz w:val="20"/>
                <w:szCs w:val="20"/>
              </w:rPr>
            </w:pPr>
            <w:r w:rsidRPr="0095162E">
              <w:rPr>
                <w:color w:val="000000" w:themeColor="text1"/>
                <w:sz w:val="20"/>
                <w:szCs w:val="20"/>
              </w:rPr>
              <w:t>26.6</w:t>
            </w:r>
          </w:p>
        </w:tc>
        <w:tc>
          <w:tcPr>
            <w:tcW w:w="607" w:type="dxa"/>
            <w:tcBorders>
              <w:right w:val="single" w:sz="18" w:space="0" w:color="auto"/>
            </w:tcBorders>
          </w:tcPr>
          <w:p w14:paraId="7ADF1B43" w14:textId="77777777" w:rsidR="008D3CDC" w:rsidRPr="0095162E" w:rsidRDefault="008D3CDC" w:rsidP="000754F4">
            <w:pPr>
              <w:tabs>
                <w:tab w:val="decimal" w:pos="288"/>
              </w:tabs>
              <w:spacing w:after="200"/>
              <w:rPr>
                <w:color w:val="000000" w:themeColor="text1"/>
                <w:sz w:val="20"/>
                <w:szCs w:val="20"/>
              </w:rPr>
            </w:pPr>
            <w:r>
              <w:rPr>
                <w:color w:val="000000" w:themeColor="text1"/>
                <w:sz w:val="20"/>
                <w:szCs w:val="20"/>
              </w:rPr>
              <w:t>29.1</w:t>
            </w:r>
          </w:p>
        </w:tc>
      </w:tr>
      <w:tr w:rsidR="008D3CDC" w:rsidRPr="0095162E" w14:paraId="2C50EE85" w14:textId="77777777" w:rsidTr="000754F4">
        <w:trPr>
          <w:trHeight w:hRule="exact" w:val="230"/>
        </w:trPr>
        <w:tc>
          <w:tcPr>
            <w:tcW w:w="2947" w:type="dxa"/>
            <w:gridSpan w:val="2"/>
            <w:tcBorders>
              <w:left w:val="single" w:sz="18" w:space="0" w:color="auto"/>
            </w:tcBorders>
          </w:tcPr>
          <w:p w14:paraId="2F576670" w14:textId="77777777" w:rsidR="008D3CDC" w:rsidRPr="0095162E" w:rsidRDefault="008D3CDC" w:rsidP="000754F4">
            <w:pPr>
              <w:spacing w:after="200"/>
              <w:rPr>
                <w:color w:val="000000" w:themeColor="text1"/>
                <w:sz w:val="20"/>
                <w:szCs w:val="20"/>
              </w:rPr>
            </w:pPr>
            <w:r w:rsidRPr="0095162E">
              <w:rPr>
                <w:color w:val="000000" w:themeColor="text1"/>
                <w:sz w:val="20"/>
                <w:szCs w:val="20"/>
              </w:rPr>
              <w:t xml:space="preserve">  18 to 24 years</w:t>
            </w:r>
          </w:p>
        </w:tc>
        <w:tc>
          <w:tcPr>
            <w:tcW w:w="810" w:type="dxa"/>
          </w:tcPr>
          <w:p w14:paraId="4701B266" w14:textId="77777777" w:rsidR="008D3CDC" w:rsidRPr="000E3AF9" w:rsidRDefault="008D3CDC" w:rsidP="000754F4">
            <w:pPr>
              <w:tabs>
                <w:tab w:val="decimal" w:pos="360"/>
              </w:tabs>
              <w:spacing w:after="200"/>
              <w:rPr>
                <w:sz w:val="20"/>
                <w:szCs w:val="20"/>
              </w:rPr>
            </w:pPr>
            <w:r w:rsidRPr="000E3AF9">
              <w:rPr>
                <w:sz w:val="20"/>
                <w:szCs w:val="20"/>
              </w:rPr>
              <w:t>10.2</w:t>
            </w:r>
          </w:p>
        </w:tc>
        <w:tc>
          <w:tcPr>
            <w:tcW w:w="630" w:type="dxa"/>
            <w:tcBorders>
              <w:right w:val="single" w:sz="18" w:space="0" w:color="auto"/>
            </w:tcBorders>
          </w:tcPr>
          <w:p w14:paraId="2725D97C" w14:textId="77777777" w:rsidR="008D3CDC" w:rsidRPr="000E3AF9" w:rsidRDefault="008D3CDC" w:rsidP="000754F4">
            <w:pPr>
              <w:tabs>
                <w:tab w:val="decimal" w:pos="288"/>
              </w:tabs>
              <w:spacing w:after="200"/>
              <w:rPr>
                <w:sz w:val="20"/>
                <w:szCs w:val="20"/>
              </w:rPr>
            </w:pPr>
            <w:r>
              <w:rPr>
                <w:sz w:val="20"/>
                <w:szCs w:val="20"/>
              </w:rPr>
              <w:t>11.9</w:t>
            </w:r>
          </w:p>
        </w:tc>
        <w:tc>
          <w:tcPr>
            <w:tcW w:w="3510" w:type="dxa"/>
            <w:tcBorders>
              <w:left w:val="single" w:sz="18" w:space="0" w:color="auto"/>
            </w:tcBorders>
          </w:tcPr>
          <w:p w14:paraId="72152922" w14:textId="77777777" w:rsidR="008D3CDC" w:rsidRPr="0095162E" w:rsidRDefault="008D3CDC" w:rsidP="000754F4">
            <w:pPr>
              <w:spacing w:after="200"/>
              <w:rPr>
                <w:color w:val="000000" w:themeColor="text1"/>
                <w:sz w:val="20"/>
                <w:szCs w:val="20"/>
              </w:rPr>
            </w:pPr>
            <w:r w:rsidRPr="0095162E">
              <w:rPr>
                <w:color w:val="000000" w:themeColor="text1"/>
                <w:sz w:val="20"/>
                <w:szCs w:val="20"/>
              </w:rPr>
              <w:t xml:space="preserve">  $100,000</w:t>
            </w:r>
            <w:r>
              <w:rPr>
                <w:color w:val="000000" w:themeColor="text1"/>
                <w:sz w:val="20"/>
                <w:szCs w:val="20"/>
              </w:rPr>
              <w:t>-</w:t>
            </w:r>
            <w:r w:rsidRPr="0095162E">
              <w:rPr>
                <w:color w:val="000000" w:themeColor="text1"/>
                <w:sz w:val="20"/>
                <w:szCs w:val="20"/>
              </w:rPr>
              <w:t>$149,999</w:t>
            </w:r>
          </w:p>
        </w:tc>
        <w:tc>
          <w:tcPr>
            <w:tcW w:w="810" w:type="dxa"/>
          </w:tcPr>
          <w:p w14:paraId="30D7FB4F" w14:textId="77777777" w:rsidR="008D3CDC" w:rsidRPr="0095162E" w:rsidRDefault="008D3CDC" w:rsidP="000754F4">
            <w:pPr>
              <w:tabs>
                <w:tab w:val="decimal" w:pos="360"/>
              </w:tabs>
              <w:spacing w:after="200"/>
              <w:rPr>
                <w:color w:val="000000" w:themeColor="text1"/>
                <w:sz w:val="20"/>
                <w:szCs w:val="20"/>
              </w:rPr>
            </w:pPr>
            <w:r w:rsidRPr="0095162E">
              <w:rPr>
                <w:color w:val="000000" w:themeColor="text1"/>
                <w:sz w:val="20"/>
                <w:szCs w:val="20"/>
              </w:rPr>
              <w:t>19.6</w:t>
            </w:r>
          </w:p>
        </w:tc>
        <w:tc>
          <w:tcPr>
            <w:tcW w:w="607" w:type="dxa"/>
            <w:tcBorders>
              <w:right w:val="single" w:sz="18" w:space="0" w:color="auto"/>
            </w:tcBorders>
          </w:tcPr>
          <w:p w14:paraId="68D0C636" w14:textId="77777777" w:rsidR="008D3CDC" w:rsidRPr="0095162E" w:rsidRDefault="008D3CDC" w:rsidP="000754F4">
            <w:pPr>
              <w:tabs>
                <w:tab w:val="decimal" w:pos="288"/>
              </w:tabs>
              <w:spacing w:after="200"/>
              <w:rPr>
                <w:color w:val="000000" w:themeColor="text1"/>
                <w:sz w:val="20"/>
                <w:szCs w:val="20"/>
              </w:rPr>
            </w:pPr>
            <w:r w:rsidRPr="0095162E">
              <w:rPr>
                <w:color w:val="000000" w:themeColor="text1"/>
                <w:sz w:val="20"/>
                <w:szCs w:val="20"/>
              </w:rPr>
              <w:t>1</w:t>
            </w:r>
            <w:r>
              <w:rPr>
                <w:color w:val="000000" w:themeColor="text1"/>
                <w:sz w:val="20"/>
                <w:szCs w:val="20"/>
              </w:rPr>
              <w:t>8.6</w:t>
            </w:r>
          </w:p>
        </w:tc>
      </w:tr>
      <w:tr w:rsidR="008D3CDC" w:rsidRPr="0095162E" w14:paraId="5BA2B2C0" w14:textId="77777777" w:rsidTr="000754F4">
        <w:trPr>
          <w:trHeight w:hRule="exact" w:val="230"/>
        </w:trPr>
        <w:tc>
          <w:tcPr>
            <w:tcW w:w="2947" w:type="dxa"/>
            <w:gridSpan w:val="2"/>
            <w:tcBorders>
              <w:left w:val="single" w:sz="18" w:space="0" w:color="auto"/>
            </w:tcBorders>
          </w:tcPr>
          <w:p w14:paraId="37DB232F" w14:textId="77777777" w:rsidR="008D3CDC" w:rsidRPr="0095162E" w:rsidRDefault="008D3CDC" w:rsidP="000754F4">
            <w:pPr>
              <w:spacing w:after="200"/>
              <w:rPr>
                <w:color w:val="000000" w:themeColor="text1"/>
                <w:sz w:val="20"/>
                <w:szCs w:val="20"/>
              </w:rPr>
            </w:pPr>
            <w:r w:rsidRPr="0095162E">
              <w:rPr>
                <w:b/>
                <w:bCs/>
                <w:color w:val="000000" w:themeColor="text1"/>
                <w:sz w:val="20"/>
                <w:szCs w:val="20"/>
              </w:rPr>
              <w:t xml:space="preserve">  </w:t>
            </w:r>
            <w:r w:rsidRPr="0095162E">
              <w:rPr>
                <w:color w:val="000000" w:themeColor="text1"/>
                <w:sz w:val="20"/>
                <w:szCs w:val="20"/>
              </w:rPr>
              <w:t>25 to 44 years</w:t>
            </w:r>
          </w:p>
        </w:tc>
        <w:tc>
          <w:tcPr>
            <w:tcW w:w="810" w:type="dxa"/>
          </w:tcPr>
          <w:p w14:paraId="6CE184C2" w14:textId="77777777" w:rsidR="008D3CDC" w:rsidRPr="000E3AF9" w:rsidRDefault="008D3CDC" w:rsidP="000754F4">
            <w:pPr>
              <w:tabs>
                <w:tab w:val="decimal" w:pos="360"/>
              </w:tabs>
              <w:spacing w:after="200"/>
              <w:rPr>
                <w:sz w:val="20"/>
                <w:szCs w:val="20"/>
              </w:rPr>
            </w:pPr>
            <w:r w:rsidRPr="000E3AF9">
              <w:rPr>
                <w:sz w:val="20"/>
                <w:szCs w:val="20"/>
              </w:rPr>
              <w:t>30.8</w:t>
            </w:r>
          </w:p>
        </w:tc>
        <w:tc>
          <w:tcPr>
            <w:tcW w:w="630" w:type="dxa"/>
            <w:tcBorders>
              <w:right w:val="single" w:sz="18" w:space="0" w:color="auto"/>
            </w:tcBorders>
          </w:tcPr>
          <w:p w14:paraId="22AEF9A5" w14:textId="77777777" w:rsidR="008D3CDC" w:rsidRPr="000E3AF9" w:rsidRDefault="008D3CDC" w:rsidP="000754F4">
            <w:pPr>
              <w:tabs>
                <w:tab w:val="decimal" w:pos="288"/>
              </w:tabs>
              <w:spacing w:after="200"/>
              <w:rPr>
                <w:sz w:val="20"/>
                <w:szCs w:val="20"/>
              </w:rPr>
            </w:pPr>
            <w:r>
              <w:rPr>
                <w:sz w:val="20"/>
                <w:szCs w:val="20"/>
              </w:rPr>
              <w:t>34.3</w:t>
            </w:r>
          </w:p>
        </w:tc>
        <w:tc>
          <w:tcPr>
            <w:tcW w:w="3510" w:type="dxa"/>
            <w:tcBorders>
              <w:left w:val="single" w:sz="18" w:space="0" w:color="auto"/>
            </w:tcBorders>
          </w:tcPr>
          <w:p w14:paraId="2DABE976" w14:textId="77777777" w:rsidR="008D3CDC" w:rsidRPr="0095162E" w:rsidRDefault="008D3CDC" w:rsidP="000754F4">
            <w:pPr>
              <w:spacing w:after="200"/>
              <w:rPr>
                <w:color w:val="000000" w:themeColor="text1"/>
                <w:sz w:val="20"/>
                <w:szCs w:val="20"/>
              </w:rPr>
            </w:pPr>
            <w:r w:rsidRPr="0095162E">
              <w:rPr>
                <w:color w:val="000000" w:themeColor="text1"/>
                <w:sz w:val="20"/>
                <w:szCs w:val="20"/>
              </w:rPr>
              <w:t xml:space="preserve">  $150,000</w:t>
            </w:r>
            <w:r>
              <w:rPr>
                <w:color w:val="000000" w:themeColor="text1"/>
                <w:sz w:val="20"/>
                <w:szCs w:val="20"/>
              </w:rPr>
              <w:t>-</w:t>
            </w:r>
            <w:r w:rsidRPr="0095162E">
              <w:rPr>
                <w:color w:val="000000" w:themeColor="text1"/>
                <w:sz w:val="20"/>
                <w:szCs w:val="20"/>
              </w:rPr>
              <w:t>$199,999</w:t>
            </w:r>
          </w:p>
        </w:tc>
        <w:tc>
          <w:tcPr>
            <w:tcW w:w="810" w:type="dxa"/>
          </w:tcPr>
          <w:p w14:paraId="37282863" w14:textId="77777777" w:rsidR="008D3CDC" w:rsidRPr="0095162E" w:rsidRDefault="008D3CDC" w:rsidP="000754F4">
            <w:pPr>
              <w:tabs>
                <w:tab w:val="decimal" w:pos="360"/>
              </w:tabs>
              <w:spacing w:after="200"/>
              <w:rPr>
                <w:color w:val="000000" w:themeColor="text1"/>
                <w:sz w:val="20"/>
                <w:szCs w:val="20"/>
              </w:rPr>
            </w:pPr>
            <w:r w:rsidRPr="0095162E">
              <w:rPr>
                <w:color w:val="000000" w:themeColor="text1"/>
                <w:sz w:val="20"/>
                <w:szCs w:val="20"/>
              </w:rPr>
              <w:t>9.3</w:t>
            </w:r>
          </w:p>
        </w:tc>
        <w:tc>
          <w:tcPr>
            <w:tcW w:w="607" w:type="dxa"/>
            <w:tcBorders>
              <w:right w:val="single" w:sz="18" w:space="0" w:color="auto"/>
            </w:tcBorders>
          </w:tcPr>
          <w:p w14:paraId="1AA2339C" w14:textId="77777777" w:rsidR="008D3CDC" w:rsidRPr="0095162E" w:rsidRDefault="008D3CDC" w:rsidP="000754F4">
            <w:pPr>
              <w:tabs>
                <w:tab w:val="decimal" w:pos="288"/>
              </w:tabs>
              <w:spacing w:after="200"/>
              <w:rPr>
                <w:color w:val="000000" w:themeColor="text1"/>
                <w:sz w:val="20"/>
                <w:szCs w:val="20"/>
              </w:rPr>
            </w:pPr>
            <w:r w:rsidRPr="0095162E">
              <w:rPr>
                <w:color w:val="000000" w:themeColor="text1"/>
                <w:sz w:val="20"/>
                <w:szCs w:val="20"/>
              </w:rPr>
              <w:t>9.</w:t>
            </w:r>
            <w:r>
              <w:rPr>
                <w:color w:val="000000" w:themeColor="text1"/>
                <w:sz w:val="20"/>
                <w:szCs w:val="20"/>
              </w:rPr>
              <w:t>6</w:t>
            </w:r>
          </w:p>
        </w:tc>
      </w:tr>
      <w:tr w:rsidR="008D3CDC" w:rsidRPr="0095162E" w14:paraId="1171684E" w14:textId="77777777" w:rsidTr="000754F4">
        <w:trPr>
          <w:trHeight w:hRule="exact" w:val="230"/>
        </w:trPr>
        <w:tc>
          <w:tcPr>
            <w:tcW w:w="2947" w:type="dxa"/>
            <w:gridSpan w:val="2"/>
            <w:tcBorders>
              <w:left w:val="single" w:sz="18" w:space="0" w:color="auto"/>
            </w:tcBorders>
          </w:tcPr>
          <w:p w14:paraId="0BB049BE" w14:textId="77777777" w:rsidR="008D3CDC" w:rsidRPr="0095162E" w:rsidRDefault="008D3CDC" w:rsidP="000754F4">
            <w:pPr>
              <w:spacing w:after="200"/>
              <w:rPr>
                <w:color w:val="000000" w:themeColor="text1"/>
                <w:sz w:val="20"/>
                <w:szCs w:val="20"/>
              </w:rPr>
            </w:pPr>
            <w:r w:rsidRPr="0095162E">
              <w:rPr>
                <w:b/>
                <w:bCs/>
                <w:color w:val="000000" w:themeColor="text1"/>
                <w:sz w:val="20"/>
                <w:szCs w:val="20"/>
              </w:rPr>
              <w:t xml:space="preserve">  </w:t>
            </w:r>
            <w:r w:rsidRPr="0095162E">
              <w:rPr>
                <w:color w:val="000000" w:themeColor="text1"/>
                <w:sz w:val="20"/>
                <w:szCs w:val="20"/>
              </w:rPr>
              <w:t>45 to 64 years</w:t>
            </w:r>
          </w:p>
        </w:tc>
        <w:tc>
          <w:tcPr>
            <w:tcW w:w="810" w:type="dxa"/>
          </w:tcPr>
          <w:p w14:paraId="0509B746" w14:textId="77777777" w:rsidR="008D3CDC" w:rsidRPr="000E3AF9" w:rsidRDefault="008D3CDC" w:rsidP="000754F4">
            <w:pPr>
              <w:tabs>
                <w:tab w:val="decimal" w:pos="360"/>
              </w:tabs>
              <w:spacing w:after="200"/>
              <w:rPr>
                <w:sz w:val="20"/>
                <w:szCs w:val="20"/>
              </w:rPr>
            </w:pPr>
            <w:r w:rsidRPr="000E3AF9">
              <w:rPr>
                <w:sz w:val="20"/>
                <w:szCs w:val="20"/>
              </w:rPr>
              <w:t>30.4</w:t>
            </w:r>
          </w:p>
        </w:tc>
        <w:tc>
          <w:tcPr>
            <w:tcW w:w="630" w:type="dxa"/>
            <w:tcBorders>
              <w:right w:val="single" w:sz="18" w:space="0" w:color="auto"/>
            </w:tcBorders>
          </w:tcPr>
          <w:p w14:paraId="60C8A336" w14:textId="77777777" w:rsidR="008D3CDC" w:rsidRPr="000E3AF9" w:rsidRDefault="008D3CDC" w:rsidP="000754F4">
            <w:pPr>
              <w:tabs>
                <w:tab w:val="decimal" w:pos="288"/>
              </w:tabs>
              <w:spacing w:after="200"/>
              <w:rPr>
                <w:sz w:val="20"/>
                <w:szCs w:val="20"/>
              </w:rPr>
            </w:pPr>
            <w:r>
              <w:rPr>
                <w:sz w:val="20"/>
                <w:szCs w:val="20"/>
              </w:rPr>
              <w:t>31.8</w:t>
            </w:r>
          </w:p>
        </w:tc>
        <w:tc>
          <w:tcPr>
            <w:tcW w:w="3510" w:type="dxa"/>
            <w:tcBorders>
              <w:left w:val="single" w:sz="18" w:space="0" w:color="auto"/>
            </w:tcBorders>
          </w:tcPr>
          <w:p w14:paraId="0C2A43F5" w14:textId="77777777" w:rsidR="008D3CDC" w:rsidRPr="0095162E" w:rsidRDefault="008D3CDC" w:rsidP="000754F4">
            <w:pPr>
              <w:spacing w:after="200"/>
              <w:rPr>
                <w:color w:val="000000" w:themeColor="text1"/>
                <w:sz w:val="20"/>
                <w:szCs w:val="20"/>
              </w:rPr>
            </w:pPr>
            <w:r w:rsidRPr="0095162E">
              <w:rPr>
                <w:color w:val="000000" w:themeColor="text1"/>
                <w:sz w:val="20"/>
                <w:szCs w:val="20"/>
              </w:rPr>
              <w:t xml:space="preserve">  $200,000 or more</w:t>
            </w:r>
          </w:p>
        </w:tc>
        <w:tc>
          <w:tcPr>
            <w:tcW w:w="810" w:type="dxa"/>
          </w:tcPr>
          <w:p w14:paraId="4C7DD2B6" w14:textId="77777777" w:rsidR="008D3CDC" w:rsidRPr="0095162E" w:rsidRDefault="008D3CDC" w:rsidP="000754F4">
            <w:pPr>
              <w:tabs>
                <w:tab w:val="decimal" w:pos="360"/>
              </w:tabs>
              <w:spacing w:after="200"/>
              <w:rPr>
                <w:color w:val="000000" w:themeColor="text1"/>
                <w:sz w:val="20"/>
                <w:szCs w:val="20"/>
              </w:rPr>
            </w:pPr>
            <w:r w:rsidRPr="0095162E">
              <w:rPr>
                <w:color w:val="000000" w:themeColor="text1"/>
                <w:sz w:val="20"/>
                <w:szCs w:val="20"/>
              </w:rPr>
              <w:t>5.1</w:t>
            </w:r>
          </w:p>
        </w:tc>
        <w:tc>
          <w:tcPr>
            <w:tcW w:w="607" w:type="dxa"/>
            <w:tcBorders>
              <w:right w:val="single" w:sz="18" w:space="0" w:color="auto"/>
            </w:tcBorders>
          </w:tcPr>
          <w:p w14:paraId="12097F9D" w14:textId="77777777" w:rsidR="008D3CDC" w:rsidRPr="0095162E" w:rsidRDefault="008D3CDC" w:rsidP="000754F4">
            <w:pPr>
              <w:tabs>
                <w:tab w:val="decimal" w:pos="288"/>
              </w:tabs>
              <w:spacing w:after="200"/>
              <w:rPr>
                <w:color w:val="000000" w:themeColor="text1"/>
                <w:sz w:val="20"/>
                <w:szCs w:val="20"/>
              </w:rPr>
            </w:pPr>
            <w:r>
              <w:rPr>
                <w:color w:val="000000" w:themeColor="text1"/>
                <w:sz w:val="20"/>
                <w:szCs w:val="20"/>
              </w:rPr>
              <w:t>8.4</w:t>
            </w:r>
          </w:p>
        </w:tc>
      </w:tr>
      <w:tr w:rsidR="008D3CDC" w:rsidRPr="0095162E" w14:paraId="4F8B5DCF" w14:textId="77777777" w:rsidTr="000754F4">
        <w:trPr>
          <w:trHeight w:hRule="exact" w:val="230"/>
        </w:trPr>
        <w:tc>
          <w:tcPr>
            <w:tcW w:w="2947" w:type="dxa"/>
            <w:gridSpan w:val="2"/>
            <w:tcBorders>
              <w:left w:val="single" w:sz="18" w:space="0" w:color="auto"/>
            </w:tcBorders>
          </w:tcPr>
          <w:p w14:paraId="46BB29A4" w14:textId="77777777" w:rsidR="008D3CDC" w:rsidRPr="0095162E" w:rsidRDefault="008D3CDC" w:rsidP="000754F4">
            <w:pPr>
              <w:spacing w:after="200"/>
              <w:rPr>
                <w:color w:val="000000" w:themeColor="text1"/>
                <w:sz w:val="20"/>
                <w:szCs w:val="20"/>
              </w:rPr>
            </w:pPr>
            <w:r w:rsidRPr="0095162E">
              <w:rPr>
                <w:color w:val="000000" w:themeColor="text1"/>
                <w:sz w:val="20"/>
                <w:szCs w:val="20"/>
              </w:rPr>
              <w:t xml:space="preserve">  65 to 74 years</w:t>
            </w:r>
          </w:p>
        </w:tc>
        <w:tc>
          <w:tcPr>
            <w:tcW w:w="810" w:type="dxa"/>
          </w:tcPr>
          <w:p w14:paraId="15393FFD" w14:textId="77777777" w:rsidR="008D3CDC" w:rsidRPr="000E3AF9" w:rsidRDefault="008D3CDC" w:rsidP="000754F4">
            <w:pPr>
              <w:tabs>
                <w:tab w:val="decimal" w:pos="360"/>
              </w:tabs>
              <w:spacing w:after="200"/>
              <w:rPr>
                <w:sz w:val="20"/>
                <w:szCs w:val="20"/>
              </w:rPr>
            </w:pPr>
            <w:r w:rsidRPr="000E3AF9">
              <w:rPr>
                <w:sz w:val="20"/>
                <w:szCs w:val="20"/>
              </w:rPr>
              <w:t>17.6</w:t>
            </w:r>
          </w:p>
        </w:tc>
        <w:tc>
          <w:tcPr>
            <w:tcW w:w="630" w:type="dxa"/>
            <w:tcBorders>
              <w:right w:val="single" w:sz="18" w:space="0" w:color="auto"/>
            </w:tcBorders>
          </w:tcPr>
          <w:p w14:paraId="5058845B" w14:textId="77777777" w:rsidR="008D3CDC" w:rsidRPr="000E3AF9" w:rsidRDefault="008D3CDC" w:rsidP="000754F4">
            <w:pPr>
              <w:tabs>
                <w:tab w:val="decimal" w:pos="288"/>
              </w:tabs>
              <w:spacing w:after="200"/>
              <w:rPr>
                <w:sz w:val="20"/>
                <w:szCs w:val="20"/>
              </w:rPr>
            </w:pPr>
            <w:r>
              <w:rPr>
                <w:sz w:val="20"/>
                <w:szCs w:val="20"/>
              </w:rPr>
              <w:t>12.8</w:t>
            </w:r>
          </w:p>
        </w:tc>
        <w:tc>
          <w:tcPr>
            <w:tcW w:w="4927" w:type="dxa"/>
            <w:gridSpan w:val="3"/>
            <w:tcBorders>
              <w:left w:val="single" w:sz="18" w:space="0" w:color="auto"/>
              <w:right w:val="single" w:sz="18" w:space="0" w:color="auto"/>
            </w:tcBorders>
          </w:tcPr>
          <w:p w14:paraId="6EDA80C8" w14:textId="77777777" w:rsidR="008D3CDC" w:rsidRPr="0095162E" w:rsidRDefault="008D3CDC" w:rsidP="000754F4">
            <w:pPr>
              <w:tabs>
                <w:tab w:val="decimal" w:pos="360"/>
              </w:tabs>
              <w:spacing w:after="200"/>
              <w:rPr>
                <w:b/>
                <w:bCs/>
                <w:color w:val="000000" w:themeColor="text1"/>
                <w:sz w:val="20"/>
                <w:szCs w:val="20"/>
              </w:rPr>
            </w:pPr>
            <w:r w:rsidRPr="0095162E">
              <w:rPr>
                <w:b/>
                <w:bCs/>
                <w:color w:val="000000" w:themeColor="text1"/>
                <w:sz w:val="20"/>
                <w:szCs w:val="20"/>
              </w:rPr>
              <w:t>Household size</w:t>
            </w:r>
          </w:p>
        </w:tc>
      </w:tr>
      <w:tr w:rsidR="008D3CDC" w:rsidRPr="0095162E" w14:paraId="31BBA286" w14:textId="77777777" w:rsidTr="000754F4">
        <w:trPr>
          <w:trHeight w:hRule="exact" w:val="230"/>
        </w:trPr>
        <w:tc>
          <w:tcPr>
            <w:tcW w:w="2947" w:type="dxa"/>
            <w:gridSpan w:val="2"/>
            <w:tcBorders>
              <w:left w:val="single" w:sz="18" w:space="0" w:color="auto"/>
            </w:tcBorders>
          </w:tcPr>
          <w:p w14:paraId="309AB06E" w14:textId="77777777" w:rsidR="008D3CDC" w:rsidRPr="0095162E" w:rsidRDefault="008D3CDC" w:rsidP="000754F4">
            <w:pPr>
              <w:spacing w:after="200"/>
              <w:rPr>
                <w:color w:val="000000" w:themeColor="text1"/>
                <w:sz w:val="20"/>
                <w:szCs w:val="20"/>
              </w:rPr>
            </w:pPr>
            <w:r w:rsidRPr="0095162E">
              <w:rPr>
                <w:color w:val="000000" w:themeColor="text1"/>
                <w:sz w:val="20"/>
                <w:szCs w:val="20"/>
              </w:rPr>
              <w:t xml:space="preserve">  75</w:t>
            </w:r>
            <w:r>
              <w:rPr>
                <w:color w:val="000000" w:themeColor="text1"/>
                <w:sz w:val="20"/>
                <w:szCs w:val="20"/>
              </w:rPr>
              <w:t xml:space="preserve"> years</w:t>
            </w:r>
            <w:r w:rsidRPr="0095162E">
              <w:rPr>
                <w:color w:val="000000" w:themeColor="text1"/>
                <w:sz w:val="20"/>
                <w:szCs w:val="20"/>
              </w:rPr>
              <w:t xml:space="preserve"> </w:t>
            </w:r>
            <w:r>
              <w:rPr>
                <w:color w:val="000000" w:themeColor="text1"/>
                <w:sz w:val="20"/>
                <w:szCs w:val="20"/>
              </w:rPr>
              <w:t>or older</w:t>
            </w:r>
          </w:p>
        </w:tc>
        <w:tc>
          <w:tcPr>
            <w:tcW w:w="810" w:type="dxa"/>
          </w:tcPr>
          <w:p w14:paraId="396F4AD2" w14:textId="77777777" w:rsidR="008D3CDC" w:rsidRPr="000E3AF9" w:rsidRDefault="008D3CDC" w:rsidP="000754F4">
            <w:pPr>
              <w:tabs>
                <w:tab w:val="decimal" w:pos="360"/>
              </w:tabs>
              <w:spacing w:after="200"/>
              <w:rPr>
                <w:sz w:val="20"/>
                <w:szCs w:val="20"/>
              </w:rPr>
            </w:pPr>
            <w:r>
              <w:rPr>
                <w:sz w:val="20"/>
                <w:szCs w:val="20"/>
              </w:rPr>
              <w:t>11</w:t>
            </w:r>
            <w:r w:rsidRPr="000E3AF9">
              <w:rPr>
                <w:sz w:val="20"/>
                <w:szCs w:val="20"/>
              </w:rPr>
              <w:t>.</w:t>
            </w:r>
            <w:r>
              <w:rPr>
                <w:sz w:val="20"/>
                <w:szCs w:val="20"/>
              </w:rPr>
              <w:t>0</w:t>
            </w:r>
          </w:p>
        </w:tc>
        <w:tc>
          <w:tcPr>
            <w:tcW w:w="630" w:type="dxa"/>
            <w:tcBorders>
              <w:right w:val="single" w:sz="18" w:space="0" w:color="auto"/>
            </w:tcBorders>
          </w:tcPr>
          <w:p w14:paraId="7D96327A" w14:textId="77777777" w:rsidR="008D3CDC" w:rsidRPr="000E3AF9" w:rsidRDefault="008D3CDC" w:rsidP="000754F4">
            <w:pPr>
              <w:tabs>
                <w:tab w:val="decimal" w:pos="288"/>
              </w:tabs>
              <w:spacing w:after="200"/>
              <w:rPr>
                <w:sz w:val="20"/>
                <w:szCs w:val="20"/>
              </w:rPr>
            </w:pPr>
            <w:r>
              <w:rPr>
                <w:sz w:val="20"/>
                <w:szCs w:val="20"/>
              </w:rPr>
              <w:t>9.2</w:t>
            </w:r>
          </w:p>
        </w:tc>
        <w:tc>
          <w:tcPr>
            <w:tcW w:w="3510" w:type="dxa"/>
            <w:tcBorders>
              <w:left w:val="single" w:sz="18" w:space="0" w:color="auto"/>
            </w:tcBorders>
          </w:tcPr>
          <w:p w14:paraId="061B6A82" w14:textId="77777777" w:rsidR="008D3CDC" w:rsidRPr="0095162E" w:rsidRDefault="008D3CDC" w:rsidP="000754F4">
            <w:pPr>
              <w:spacing w:after="200"/>
              <w:rPr>
                <w:color w:val="000000" w:themeColor="text1"/>
                <w:sz w:val="20"/>
                <w:szCs w:val="20"/>
              </w:rPr>
            </w:pPr>
            <w:r w:rsidRPr="0095162E">
              <w:rPr>
                <w:color w:val="000000" w:themeColor="text1"/>
                <w:sz w:val="20"/>
                <w:szCs w:val="20"/>
              </w:rPr>
              <w:t xml:space="preserve">  One</w:t>
            </w:r>
          </w:p>
        </w:tc>
        <w:tc>
          <w:tcPr>
            <w:tcW w:w="810" w:type="dxa"/>
          </w:tcPr>
          <w:p w14:paraId="64D1BE30" w14:textId="77777777" w:rsidR="008D3CDC" w:rsidRPr="0095162E" w:rsidRDefault="008D3CDC" w:rsidP="000754F4">
            <w:pPr>
              <w:tabs>
                <w:tab w:val="decimal" w:pos="360"/>
              </w:tabs>
              <w:spacing w:after="200"/>
              <w:rPr>
                <w:color w:val="000000" w:themeColor="text1"/>
                <w:sz w:val="20"/>
                <w:szCs w:val="20"/>
              </w:rPr>
            </w:pPr>
            <w:r w:rsidRPr="0095162E">
              <w:rPr>
                <w:color w:val="000000" w:themeColor="text1"/>
                <w:sz w:val="20"/>
                <w:szCs w:val="20"/>
              </w:rPr>
              <w:t>21.4</w:t>
            </w:r>
          </w:p>
        </w:tc>
        <w:tc>
          <w:tcPr>
            <w:tcW w:w="607" w:type="dxa"/>
            <w:tcBorders>
              <w:right w:val="single" w:sz="18" w:space="0" w:color="auto"/>
            </w:tcBorders>
          </w:tcPr>
          <w:p w14:paraId="5D7A23C8" w14:textId="77777777" w:rsidR="008D3CDC" w:rsidRPr="0095162E" w:rsidRDefault="008D3CDC" w:rsidP="000754F4">
            <w:pPr>
              <w:tabs>
                <w:tab w:val="decimal" w:pos="288"/>
              </w:tabs>
              <w:spacing w:after="200"/>
              <w:rPr>
                <w:color w:val="000000" w:themeColor="text1"/>
                <w:sz w:val="20"/>
                <w:szCs w:val="20"/>
              </w:rPr>
            </w:pPr>
            <w:r w:rsidRPr="0095162E">
              <w:rPr>
                <w:color w:val="000000" w:themeColor="text1"/>
                <w:sz w:val="20"/>
                <w:szCs w:val="20"/>
              </w:rPr>
              <w:t>28.</w:t>
            </w:r>
            <w:r>
              <w:rPr>
                <w:color w:val="000000" w:themeColor="text1"/>
                <w:sz w:val="20"/>
                <w:szCs w:val="20"/>
              </w:rPr>
              <w:t>7</w:t>
            </w:r>
          </w:p>
        </w:tc>
      </w:tr>
      <w:tr w:rsidR="008D3CDC" w:rsidRPr="0095162E" w14:paraId="49B0CE54" w14:textId="77777777" w:rsidTr="000754F4">
        <w:trPr>
          <w:trHeight w:hRule="exact" w:val="230"/>
        </w:trPr>
        <w:tc>
          <w:tcPr>
            <w:tcW w:w="4387" w:type="dxa"/>
            <w:gridSpan w:val="4"/>
            <w:tcBorders>
              <w:left w:val="single" w:sz="18" w:space="0" w:color="auto"/>
              <w:right w:val="single" w:sz="18" w:space="0" w:color="auto"/>
            </w:tcBorders>
          </w:tcPr>
          <w:p w14:paraId="0656B39E" w14:textId="77777777" w:rsidR="008D3CDC" w:rsidRPr="0095162E" w:rsidRDefault="008D3CDC" w:rsidP="000754F4">
            <w:pPr>
              <w:spacing w:after="200"/>
              <w:rPr>
                <w:color w:val="000000" w:themeColor="text1"/>
                <w:sz w:val="20"/>
                <w:szCs w:val="20"/>
              </w:rPr>
            </w:pPr>
            <w:r w:rsidRPr="0095162E">
              <w:rPr>
                <w:b/>
                <w:bCs/>
                <w:color w:val="000000" w:themeColor="text1"/>
                <w:sz w:val="20"/>
                <w:szCs w:val="20"/>
              </w:rPr>
              <w:t>Employment status</w:t>
            </w:r>
          </w:p>
        </w:tc>
        <w:tc>
          <w:tcPr>
            <w:tcW w:w="3510" w:type="dxa"/>
            <w:tcBorders>
              <w:left w:val="single" w:sz="18" w:space="0" w:color="auto"/>
            </w:tcBorders>
          </w:tcPr>
          <w:p w14:paraId="47356C12" w14:textId="77777777" w:rsidR="008D3CDC" w:rsidRPr="0095162E" w:rsidRDefault="008D3CDC" w:rsidP="000754F4">
            <w:pPr>
              <w:spacing w:after="200"/>
              <w:rPr>
                <w:color w:val="000000" w:themeColor="text1"/>
                <w:sz w:val="20"/>
                <w:szCs w:val="20"/>
              </w:rPr>
            </w:pPr>
            <w:r w:rsidRPr="0095162E">
              <w:rPr>
                <w:color w:val="000000" w:themeColor="text1"/>
                <w:sz w:val="20"/>
                <w:szCs w:val="20"/>
              </w:rPr>
              <w:t xml:space="preserve">  Two</w:t>
            </w:r>
          </w:p>
        </w:tc>
        <w:tc>
          <w:tcPr>
            <w:tcW w:w="810" w:type="dxa"/>
          </w:tcPr>
          <w:p w14:paraId="677FC6CD" w14:textId="77777777" w:rsidR="008D3CDC" w:rsidRPr="0095162E" w:rsidRDefault="008D3CDC" w:rsidP="000754F4">
            <w:pPr>
              <w:tabs>
                <w:tab w:val="decimal" w:pos="360"/>
              </w:tabs>
              <w:spacing w:after="200"/>
              <w:rPr>
                <w:color w:val="000000" w:themeColor="text1"/>
                <w:sz w:val="20"/>
                <w:szCs w:val="20"/>
              </w:rPr>
            </w:pPr>
            <w:r w:rsidRPr="0095162E">
              <w:rPr>
                <w:color w:val="000000" w:themeColor="text1"/>
                <w:sz w:val="20"/>
                <w:szCs w:val="20"/>
              </w:rPr>
              <w:t>34.2</w:t>
            </w:r>
          </w:p>
        </w:tc>
        <w:tc>
          <w:tcPr>
            <w:tcW w:w="607" w:type="dxa"/>
            <w:tcBorders>
              <w:right w:val="single" w:sz="18" w:space="0" w:color="auto"/>
            </w:tcBorders>
          </w:tcPr>
          <w:p w14:paraId="2BFAA5A1" w14:textId="77777777" w:rsidR="008D3CDC" w:rsidRPr="0095162E" w:rsidRDefault="008D3CDC" w:rsidP="000754F4">
            <w:pPr>
              <w:tabs>
                <w:tab w:val="decimal" w:pos="288"/>
              </w:tabs>
              <w:spacing w:after="200"/>
              <w:rPr>
                <w:color w:val="000000" w:themeColor="text1"/>
                <w:sz w:val="20"/>
                <w:szCs w:val="20"/>
              </w:rPr>
            </w:pPr>
            <w:r>
              <w:rPr>
                <w:color w:val="000000" w:themeColor="text1"/>
                <w:sz w:val="20"/>
                <w:szCs w:val="20"/>
              </w:rPr>
              <w:t>33.8</w:t>
            </w:r>
          </w:p>
        </w:tc>
      </w:tr>
      <w:tr w:rsidR="008D3CDC" w:rsidRPr="0095162E" w14:paraId="235FFE0F" w14:textId="77777777" w:rsidTr="000754F4">
        <w:trPr>
          <w:trHeight w:hRule="exact" w:val="230"/>
        </w:trPr>
        <w:tc>
          <w:tcPr>
            <w:tcW w:w="2947" w:type="dxa"/>
            <w:gridSpan w:val="2"/>
            <w:tcBorders>
              <w:left w:val="single" w:sz="18" w:space="0" w:color="auto"/>
            </w:tcBorders>
          </w:tcPr>
          <w:p w14:paraId="1EE8593D" w14:textId="77777777" w:rsidR="008D3CDC" w:rsidRPr="0095162E" w:rsidRDefault="008D3CDC" w:rsidP="000754F4">
            <w:pPr>
              <w:spacing w:after="200"/>
              <w:rPr>
                <w:color w:val="000000" w:themeColor="text1"/>
                <w:sz w:val="20"/>
                <w:szCs w:val="20"/>
              </w:rPr>
            </w:pPr>
            <w:r w:rsidRPr="0095162E">
              <w:rPr>
                <w:color w:val="000000" w:themeColor="text1"/>
                <w:sz w:val="20"/>
                <w:szCs w:val="20"/>
              </w:rPr>
              <w:t xml:space="preserve">  Full-time</w:t>
            </w:r>
          </w:p>
        </w:tc>
        <w:tc>
          <w:tcPr>
            <w:tcW w:w="810" w:type="dxa"/>
          </w:tcPr>
          <w:p w14:paraId="52B44224" w14:textId="77777777" w:rsidR="008D3CDC" w:rsidRPr="0095162E" w:rsidRDefault="008D3CDC" w:rsidP="000754F4">
            <w:pPr>
              <w:tabs>
                <w:tab w:val="decimal" w:pos="360"/>
              </w:tabs>
              <w:spacing w:after="200"/>
              <w:rPr>
                <w:color w:val="000000" w:themeColor="text1"/>
                <w:sz w:val="20"/>
                <w:szCs w:val="20"/>
              </w:rPr>
            </w:pPr>
            <w:r w:rsidRPr="0095162E">
              <w:rPr>
                <w:color w:val="000000" w:themeColor="text1"/>
                <w:sz w:val="20"/>
                <w:szCs w:val="20"/>
              </w:rPr>
              <w:t>40.6</w:t>
            </w:r>
          </w:p>
        </w:tc>
        <w:tc>
          <w:tcPr>
            <w:tcW w:w="630" w:type="dxa"/>
            <w:tcBorders>
              <w:right w:val="single" w:sz="18" w:space="0" w:color="auto"/>
            </w:tcBorders>
          </w:tcPr>
          <w:p w14:paraId="685A35C5" w14:textId="77777777" w:rsidR="008D3CDC" w:rsidRPr="0095162E" w:rsidRDefault="008D3CDC" w:rsidP="000754F4">
            <w:pPr>
              <w:tabs>
                <w:tab w:val="decimal" w:pos="288"/>
              </w:tabs>
              <w:spacing w:after="200"/>
              <w:rPr>
                <w:color w:val="000000" w:themeColor="text1"/>
                <w:sz w:val="20"/>
                <w:szCs w:val="20"/>
              </w:rPr>
            </w:pPr>
            <w:r w:rsidRPr="0095162E">
              <w:rPr>
                <w:color w:val="000000" w:themeColor="text1"/>
                <w:sz w:val="20"/>
                <w:szCs w:val="20"/>
              </w:rPr>
              <w:t>45.6</w:t>
            </w:r>
          </w:p>
        </w:tc>
        <w:tc>
          <w:tcPr>
            <w:tcW w:w="3510" w:type="dxa"/>
            <w:tcBorders>
              <w:left w:val="single" w:sz="18" w:space="0" w:color="auto"/>
            </w:tcBorders>
          </w:tcPr>
          <w:p w14:paraId="67CDA679" w14:textId="77777777" w:rsidR="008D3CDC" w:rsidRPr="0095162E" w:rsidRDefault="008D3CDC" w:rsidP="000754F4">
            <w:pPr>
              <w:spacing w:after="200"/>
              <w:rPr>
                <w:color w:val="000000" w:themeColor="text1"/>
                <w:sz w:val="20"/>
                <w:szCs w:val="20"/>
              </w:rPr>
            </w:pPr>
            <w:r w:rsidRPr="0095162E">
              <w:rPr>
                <w:color w:val="000000" w:themeColor="text1"/>
                <w:sz w:val="20"/>
                <w:szCs w:val="20"/>
              </w:rPr>
              <w:t xml:space="preserve">  Three or more</w:t>
            </w:r>
          </w:p>
        </w:tc>
        <w:tc>
          <w:tcPr>
            <w:tcW w:w="810" w:type="dxa"/>
          </w:tcPr>
          <w:p w14:paraId="57785CFA" w14:textId="77777777" w:rsidR="008D3CDC" w:rsidRPr="0095162E" w:rsidRDefault="008D3CDC" w:rsidP="000754F4">
            <w:pPr>
              <w:tabs>
                <w:tab w:val="decimal" w:pos="360"/>
              </w:tabs>
              <w:spacing w:after="200"/>
              <w:rPr>
                <w:color w:val="000000" w:themeColor="text1"/>
                <w:sz w:val="20"/>
                <w:szCs w:val="20"/>
              </w:rPr>
            </w:pPr>
            <w:r w:rsidRPr="0095162E">
              <w:rPr>
                <w:color w:val="000000" w:themeColor="text1"/>
                <w:sz w:val="20"/>
                <w:szCs w:val="20"/>
              </w:rPr>
              <w:t>44.4</w:t>
            </w:r>
          </w:p>
        </w:tc>
        <w:tc>
          <w:tcPr>
            <w:tcW w:w="607" w:type="dxa"/>
            <w:tcBorders>
              <w:right w:val="single" w:sz="18" w:space="0" w:color="auto"/>
            </w:tcBorders>
          </w:tcPr>
          <w:p w14:paraId="3F93C7AD" w14:textId="77777777" w:rsidR="008D3CDC" w:rsidRPr="0095162E" w:rsidRDefault="008D3CDC" w:rsidP="000754F4">
            <w:pPr>
              <w:tabs>
                <w:tab w:val="decimal" w:pos="288"/>
              </w:tabs>
              <w:spacing w:after="200"/>
              <w:rPr>
                <w:color w:val="000000" w:themeColor="text1"/>
                <w:sz w:val="20"/>
                <w:szCs w:val="20"/>
              </w:rPr>
            </w:pPr>
            <w:r w:rsidRPr="0095162E">
              <w:rPr>
                <w:color w:val="000000" w:themeColor="text1"/>
                <w:sz w:val="20"/>
                <w:szCs w:val="20"/>
              </w:rPr>
              <w:t>3</w:t>
            </w:r>
            <w:r>
              <w:rPr>
                <w:color w:val="000000" w:themeColor="text1"/>
                <w:sz w:val="20"/>
                <w:szCs w:val="20"/>
              </w:rPr>
              <w:t>7.5</w:t>
            </w:r>
          </w:p>
        </w:tc>
      </w:tr>
      <w:tr w:rsidR="008D3CDC" w:rsidRPr="0095162E" w14:paraId="47411B74" w14:textId="77777777" w:rsidTr="000754F4">
        <w:trPr>
          <w:trHeight w:hRule="exact" w:val="226"/>
        </w:trPr>
        <w:tc>
          <w:tcPr>
            <w:tcW w:w="2947" w:type="dxa"/>
            <w:gridSpan w:val="2"/>
            <w:tcBorders>
              <w:left w:val="single" w:sz="18" w:space="0" w:color="auto"/>
            </w:tcBorders>
          </w:tcPr>
          <w:p w14:paraId="34A2407E" w14:textId="77777777" w:rsidR="008D3CDC" w:rsidRPr="0095162E" w:rsidRDefault="008D3CDC" w:rsidP="000754F4">
            <w:pPr>
              <w:spacing w:after="200"/>
              <w:rPr>
                <w:color w:val="000000" w:themeColor="text1"/>
                <w:sz w:val="20"/>
                <w:szCs w:val="20"/>
              </w:rPr>
            </w:pPr>
            <w:r w:rsidRPr="0095162E">
              <w:rPr>
                <w:color w:val="000000" w:themeColor="text1"/>
                <w:sz w:val="20"/>
                <w:szCs w:val="20"/>
              </w:rPr>
              <w:t xml:space="preserve">  Part-time</w:t>
            </w:r>
          </w:p>
        </w:tc>
        <w:tc>
          <w:tcPr>
            <w:tcW w:w="810" w:type="dxa"/>
          </w:tcPr>
          <w:p w14:paraId="4F9100B5" w14:textId="77777777" w:rsidR="008D3CDC" w:rsidRPr="0095162E" w:rsidRDefault="008D3CDC" w:rsidP="000754F4">
            <w:pPr>
              <w:tabs>
                <w:tab w:val="decimal" w:pos="360"/>
              </w:tabs>
              <w:spacing w:after="200"/>
              <w:rPr>
                <w:color w:val="000000" w:themeColor="text1"/>
                <w:sz w:val="20"/>
                <w:szCs w:val="20"/>
              </w:rPr>
            </w:pPr>
            <w:r w:rsidRPr="0095162E">
              <w:rPr>
                <w:color w:val="000000" w:themeColor="text1"/>
                <w:sz w:val="20"/>
                <w:szCs w:val="20"/>
              </w:rPr>
              <w:t>9.3</w:t>
            </w:r>
          </w:p>
        </w:tc>
        <w:tc>
          <w:tcPr>
            <w:tcW w:w="630" w:type="dxa"/>
            <w:tcBorders>
              <w:right w:val="single" w:sz="18" w:space="0" w:color="auto"/>
            </w:tcBorders>
          </w:tcPr>
          <w:p w14:paraId="08D4FEEB" w14:textId="77777777" w:rsidR="008D3CDC" w:rsidRPr="0095162E" w:rsidRDefault="008D3CDC" w:rsidP="000754F4">
            <w:pPr>
              <w:tabs>
                <w:tab w:val="decimal" w:pos="288"/>
              </w:tabs>
              <w:spacing w:after="200"/>
              <w:rPr>
                <w:color w:val="000000" w:themeColor="text1"/>
                <w:sz w:val="20"/>
                <w:szCs w:val="20"/>
              </w:rPr>
            </w:pPr>
            <w:r w:rsidRPr="0095162E">
              <w:rPr>
                <w:color w:val="000000" w:themeColor="text1"/>
                <w:sz w:val="20"/>
                <w:szCs w:val="20"/>
              </w:rPr>
              <w:t>14.6</w:t>
            </w:r>
          </w:p>
        </w:tc>
        <w:tc>
          <w:tcPr>
            <w:tcW w:w="4927" w:type="dxa"/>
            <w:gridSpan w:val="3"/>
            <w:tcBorders>
              <w:left w:val="single" w:sz="18" w:space="0" w:color="auto"/>
              <w:right w:val="single" w:sz="18" w:space="0" w:color="auto"/>
            </w:tcBorders>
          </w:tcPr>
          <w:p w14:paraId="6E4424B5" w14:textId="77777777" w:rsidR="008D3CDC" w:rsidRPr="0095162E" w:rsidRDefault="008D3CDC" w:rsidP="000754F4">
            <w:pPr>
              <w:tabs>
                <w:tab w:val="decimal" w:pos="360"/>
              </w:tabs>
              <w:spacing w:after="200"/>
              <w:rPr>
                <w:color w:val="000000" w:themeColor="text1"/>
                <w:sz w:val="20"/>
                <w:szCs w:val="20"/>
              </w:rPr>
            </w:pPr>
            <w:r w:rsidRPr="0095162E">
              <w:rPr>
                <w:b/>
                <w:bCs/>
                <w:color w:val="000000" w:themeColor="text1"/>
                <w:sz w:val="20"/>
                <w:szCs w:val="20"/>
              </w:rPr>
              <w:t>Housing unit type</w:t>
            </w:r>
          </w:p>
        </w:tc>
      </w:tr>
      <w:tr w:rsidR="008D3CDC" w:rsidRPr="0095162E" w14:paraId="27CC40A7" w14:textId="77777777" w:rsidTr="000754F4">
        <w:trPr>
          <w:trHeight w:hRule="exact" w:val="230"/>
        </w:trPr>
        <w:tc>
          <w:tcPr>
            <w:tcW w:w="2947" w:type="dxa"/>
            <w:gridSpan w:val="2"/>
            <w:tcBorders>
              <w:left w:val="single" w:sz="18" w:space="0" w:color="auto"/>
            </w:tcBorders>
          </w:tcPr>
          <w:p w14:paraId="27C719F8" w14:textId="77777777" w:rsidR="008D3CDC" w:rsidRPr="0095162E" w:rsidRDefault="008D3CDC" w:rsidP="000754F4">
            <w:pPr>
              <w:spacing w:after="200"/>
              <w:rPr>
                <w:color w:val="000000" w:themeColor="text1"/>
                <w:sz w:val="20"/>
                <w:szCs w:val="20"/>
              </w:rPr>
            </w:pPr>
            <w:r w:rsidRPr="0095162E">
              <w:rPr>
                <w:color w:val="000000" w:themeColor="text1"/>
                <w:sz w:val="20"/>
                <w:szCs w:val="20"/>
              </w:rPr>
              <w:t xml:space="preserve">  Retired</w:t>
            </w:r>
            <w:r>
              <w:rPr>
                <w:color w:val="000000" w:themeColor="text1"/>
                <w:sz w:val="20"/>
                <w:szCs w:val="20"/>
              </w:rPr>
              <w:t>/</w:t>
            </w:r>
            <w:r w:rsidRPr="0095162E">
              <w:rPr>
                <w:color w:val="000000" w:themeColor="text1"/>
                <w:sz w:val="20"/>
                <w:szCs w:val="20"/>
              </w:rPr>
              <w:t>not employed</w:t>
            </w:r>
          </w:p>
        </w:tc>
        <w:tc>
          <w:tcPr>
            <w:tcW w:w="810" w:type="dxa"/>
          </w:tcPr>
          <w:p w14:paraId="1C3BF6FE" w14:textId="77777777" w:rsidR="008D3CDC" w:rsidRPr="0095162E" w:rsidRDefault="008D3CDC" w:rsidP="000754F4">
            <w:pPr>
              <w:tabs>
                <w:tab w:val="decimal" w:pos="360"/>
              </w:tabs>
              <w:spacing w:after="200"/>
              <w:rPr>
                <w:color w:val="000000" w:themeColor="text1"/>
                <w:sz w:val="20"/>
                <w:szCs w:val="20"/>
              </w:rPr>
            </w:pPr>
            <w:r w:rsidRPr="0095162E">
              <w:rPr>
                <w:color w:val="000000" w:themeColor="text1"/>
                <w:sz w:val="20"/>
                <w:szCs w:val="20"/>
              </w:rPr>
              <w:t>50.1</w:t>
            </w:r>
          </w:p>
        </w:tc>
        <w:tc>
          <w:tcPr>
            <w:tcW w:w="630" w:type="dxa"/>
            <w:tcBorders>
              <w:right w:val="single" w:sz="18" w:space="0" w:color="auto"/>
            </w:tcBorders>
          </w:tcPr>
          <w:p w14:paraId="437F3515" w14:textId="77777777" w:rsidR="008D3CDC" w:rsidRPr="0095162E" w:rsidRDefault="008D3CDC" w:rsidP="000754F4">
            <w:pPr>
              <w:tabs>
                <w:tab w:val="decimal" w:pos="288"/>
              </w:tabs>
              <w:spacing w:after="200"/>
              <w:rPr>
                <w:color w:val="000000" w:themeColor="text1"/>
                <w:sz w:val="20"/>
                <w:szCs w:val="20"/>
              </w:rPr>
            </w:pPr>
            <w:r w:rsidRPr="0095162E">
              <w:rPr>
                <w:color w:val="000000" w:themeColor="text1"/>
                <w:sz w:val="20"/>
                <w:szCs w:val="20"/>
              </w:rPr>
              <w:t>39.8</w:t>
            </w:r>
          </w:p>
        </w:tc>
        <w:tc>
          <w:tcPr>
            <w:tcW w:w="3510" w:type="dxa"/>
            <w:tcBorders>
              <w:left w:val="single" w:sz="18" w:space="0" w:color="auto"/>
            </w:tcBorders>
          </w:tcPr>
          <w:p w14:paraId="0224330F" w14:textId="77777777" w:rsidR="008D3CDC" w:rsidRPr="0095162E" w:rsidRDefault="008D3CDC" w:rsidP="000754F4">
            <w:pPr>
              <w:spacing w:after="200"/>
              <w:rPr>
                <w:color w:val="000000" w:themeColor="text1"/>
                <w:sz w:val="20"/>
                <w:szCs w:val="20"/>
              </w:rPr>
            </w:pPr>
            <w:r w:rsidRPr="0095162E">
              <w:rPr>
                <w:color w:val="000000" w:themeColor="text1"/>
                <w:sz w:val="20"/>
                <w:szCs w:val="20"/>
              </w:rPr>
              <w:t xml:space="preserve">  S</w:t>
            </w:r>
            <w:r>
              <w:rPr>
                <w:color w:val="000000" w:themeColor="text1"/>
                <w:sz w:val="20"/>
                <w:szCs w:val="20"/>
              </w:rPr>
              <w:t>ingle-family</w:t>
            </w:r>
          </w:p>
        </w:tc>
        <w:tc>
          <w:tcPr>
            <w:tcW w:w="810" w:type="dxa"/>
          </w:tcPr>
          <w:p w14:paraId="41C7846A" w14:textId="77777777" w:rsidR="008D3CDC" w:rsidRPr="0095162E" w:rsidRDefault="008D3CDC" w:rsidP="000754F4">
            <w:pPr>
              <w:tabs>
                <w:tab w:val="decimal" w:pos="360"/>
              </w:tabs>
              <w:spacing w:after="200"/>
              <w:rPr>
                <w:color w:val="000000" w:themeColor="text1"/>
                <w:sz w:val="20"/>
                <w:szCs w:val="20"/>
              </w:rPr>
            </w:pPr>
            <w:r w:rsidRPr="0095162E">
              <w:rPr>
                <w:color w:val="000000" w:themeColor="text1"/>
                <w:sz w:val="20"/>
                <w:szCs w:val="20"/>
              </w:rPr>
              <w:t>67.7</w:t>
            </w:r>
          </w:p>
        </w:tc>
        <w:tc>
          <w:tcPr>
            <w:tcW w:w="607" w:type="dxa"/>
            <w:tcBorders>
              <w:right w:val="single" w:sz="18" w:space="0" w:color="auto"/>
            </w:tcBorders>
          </w:tcPr>
          <w:p w14:paraId="1E2FB8AB" w14:textId="77777777" w:rsidR="008D3CDC" w:rsidRPr="0095162E" w:rsidRDefault="008D3CDC" w:rsidP="000754F4">
            <w:pPr>
              <w:tabs>
                <w:tab w:val="decimal" w:pos="288"/>
              </w:tabs>
              <w:spacing w:after="200"/>
              <w:rPr>
                <w:color w:val="000000" w:themeColor="text1"/>
                <w:sz w:val="20"/>
                <w:szCs w:val="20"/>
              </w:rPr>
            </w:pPr>
            <w:r w:rsidRPr="0095162E">
              <w:rPr>
                <w:color w:val="000000" w:themeColor="text1"/>
                <w:sz w:val="20"/>
                <w:szCs w:val="20"/>
              </w:rPr>
              <w:t>62.4</w:t>
            </w:r>
          </w:p>
        </w:tc>
      </w:tr>
      <w:tr w:rsidR="008D3CDC" w:rsidRPr="0095162E" w14:paraId="18A21E5D" w14:textId="77777777" w:rsidTr="000754F4">
        <w:trPr>
          <w:trHeight w:hRule="exact" w:val="230"/>
        </w:trPr>
        <w:tc>
          <w:tcPr>
            <w:tcW w:w="4387" w:type="dxa"/>
            <w:gridSpan w:val="4"/>
            <w:tcBorders>
              <w:left w:val="single" w:sz="18" w:space="0" w:color="auto"/>
              <w:right w:val="single" w:sz="18" w:space="0" w:color="auto"/>
            </w:tcBorders>
          </w:tcPr>
          <w:p w14:paraId="61D919E9" w14:textId="77777777" w:rsidR="008D3CDC" w:rsidRPr="0095162E" w:rsidRDefault="008D3CDC" w:rsidP="000754F4">
            <w:pPr>
              <w:tabs>
                <w:tab w:val="decimal" w:pos="360"/>
              </w:tabs>
              <w:spacing w:after="200"/>
              <w:rPr>
                <w:color w:val="000000" w:themeColor="text1"/>
                <w:sz w:val="20"/>
                <w:szCs w:val="20"/>
              </w:rPr>
            </w:pPr>
            <w:r w:rsidRPr="0095162E">
              <w:rPr>
                <w:b/>
                <w:bCs/>
                <w:color w:val="000000" w:themeColor="text1"/>
                <w:sz w:val="20"/>
                <w:szCs w:val="20"/>
              </w:rPr>
              <w:t xml:space="preserve">Educational </w:t>
            </w:r>
            <w:r>
              <w:rPr>
                <w:b/>
                <w:bCs/>
                <w:color w:val="000000" w:themeColor="text1"/>
                <w:sz w:val="20"/>
                <w:szCs w:val="20"/>
              </w:rPr>
              <w:t>a</w:t>
            </w:r>
            <w:r w:rsidRPr="0095162E">
              <w:rPr>
                <w:b/>
                <w:bCs/>
                <w:color w:val="000000" w:themeColor="text1"/>
                <w:sz w:val="20"/>
                <w:szCs w:val="20"/>
              </w:rPr>
              <w:t>ttainment</w:t>
            </w:r>
          </w:p>
        </w:tc>
        <w:tc>
          <w:tcPr>
            <w:tcW w:w="3510" w:type="dxa"/>
            <w:tcBorders>
              <w:left w:val="single" w:sz="18" w:space="0" w:color="auto"/>
            </w:tcBorders>
          </w:tcPr>
          <w:p w14:paraId="60C3F847" w14:textId="77777777" w:rsidR="008D3CDC" w:rsidRPr="0095162E" w:rsidRDefault="008D3CDC" w:rsidP="000754F4">
            <w:pPr>
              <w:spacing w:after="200"/>
              <w:rPr>
                <w:color w:val="000000" w:themeColor="text1"/>
                <w:sz w:val="20"/>
                <w:szCs w:val="20"/>
              </w:rPr>
            </w:pPr>
            <w:r w:rsidRPr="0095162E">
              <w:rPr>
                <w:color w:val="000000" w:themeColor="text1"/>
                <w:sz w:val="20"/>
                <w:szCs w:val="20"/>
              </w:rPr>
              <w:t xml:space="preserve">  </w:t>
            </w:r>
            <w:r>
              <w:rPr>
                <w:color w:val="000000" w:themeColor="text1"/>
                <w:sz w:val="20"/>
                <w:szCs w:val="20"/>
              </w:rPr>
              <w:t>A</w:t>
            </w:r>
            <w:r w:rsidRPr="0095162E">
              <w:rPr>
                <w:color w:val="000000" w:themeColor="text1"/>
                <w:sz w:val="20"/>
                <w:szCs w:val="20"/>
              </w:rPr>
              <w:t>part</w:t>
            </w:r>
            <w:r>
              <w:rPr>
                <w:color w:val="000000" w:themeColor="text1"/>
                <w:sz w:val="20"/>
                <w:szCs w:val="20"/>
              </w:rPr>
              <w:t>m</w:t>
            </w:r>
            <w:r w:rsidRPr="0095162E">
              <w:rPr>
                <w:color w:val="000000" w:themeColor="text1"/>
                <w:sz w:val="20"/>
                <w:szCs w:val="20"/>
              </w:rPr>
              <w:t>ent</w:t>
            </w:r>
          </w:p>
        </w:tc>
        <w:tc>
          <w:tcPr>
            <w:tcW w:w="810" w:type="dxa"/>
          </w:tcPr>
          <w:p w14:paraId="5918A691" w14:textId="77777777" w:rsidR="008D3CDC" w:rsidRPr="0095162E" w:rsidRDefault="008D3CDC" w:rsidP="000754F4">
            <w:pPr>
              <w:tabs>
                <w:tab w:val="decimal" w:pos="360"/>
              </w:tabs>
              <w:spacing w:after="200"/>
              <w:rPr>
                <w:color w:val="000000" w:themeColor="text1"/>
                <w:sz w:val="20"/>
                <w:szCs w:val="20"/>
              </w:rPr>
            </w:pPr>
            <w:r w:rsidRPr="0095162E">
              <w:rPr>
                <w:color w:val="000000" w:themeColor="text1"/>
                <w:sz w:val="20"/>
                <w:szCs w:val="20"/>
              </w:rPr>
              <w:t>2</w:t>
            </w:r>
            <w:r>
              <w:rPr>
                <w:color w:val="000000" w:themeColor="text1"/>
                <w:sz w:val="20"/>
                <w:szCs w:val="20"/>
              </w:rPr>
              <w:t>7</w:t>
            </w:r>
            <w:r w:rsidRPr="0095162E">
              <w:rPr>
                <w:color w:val="000000" w:themeColor="text1"/>
                <w:sz w:val="20"/>
                <w:szCs w:val="20"/>
              </w:rPr>
              <w:t>.</w:t>
            </w:r>
            <w:r>
              <w:rPr>
                <w:color w:val="000000" w:themeColor="text1"/>
                <w:sz w:val="20"/>
                <w:szCs w:val="20"/>
              </w:rPr>
              <w:t>1</w:t>
            </w:r>
          </w:p>
        </w:tc>
        <w:tc>
          <w:tcPr>
            <w:tcW w:w="607" w:type="dxa"/>
            <w:tcBorders>
              <w:right w:val="single" w:sz="18" w:space="0" w:color="auto"/>
            </w:tcBorders>
          </w:tcPr>
          <w:p w14:paraId="21BADC4C" w14:textId="77777777" w:rsidR="008D3CDC" w:rsidRPr="0095162E" w:rsidRDefault="008D3CDC" w:rsidP="000754F4">
            <w:pPr>
              <w:tabs>
                <w:tab w:val="decimal" w:pos="288"/>
              </w:tabs>
              <w:spacing w:after="200"/>
              <w:rPr>
                <w:color w:val="000000" w:themeColor="text1"/>
                <w:sz w:val="20"/>
                <w:szCs w:val="20"/>
              </w:rPr>
            </w:pPr>
            <w:r>
              <w:rPr>
                <w:color w:val="000000" w:themeColor="text1"/>
                <w:sz w:val="20"/>
                <w:szCs w:val="20"/>
              </w:rPr>
              <w:t>32.4</w:t>
            </w:r>
          </w:p>
        </w:tc>
      </w:tr>
      <w:tr w:rsidR="008D3CDC" w:rsidRPr="0095162E" w14:paraId="29781839" w14:textId="77777777" w:rsidTr="000754F4">
        <w:trPr>
          <w:trHeight w:hRule="exact" w:val="230"/>
        </w:trPr>
        <w:tc>
          <w:tcPr>
            <w:tcW w:w="2947" w:type="dxa"/>
            <w:gridSpan w:val="2"/>
            <w:tcBorders>
              <w:left w:val="single" w:sz="18" w:space="0" w:color="auto"/>
            </w:tcBorders>
          </w:tcPr>
          <w:p w14:paraId="1E738597" w14:textId="77777777" w:rsidR="008D3CDC" w:rsidRPr="0095162E" w:rsidRDefault="008D3CDC" w:rsidP="000754F4">
            <w:pPr>
              <w:spacing w:after="200"/>
              <w:rPr>
                <w:color w:val="000000" w:themeColor="text1"/>
                <w:sz w:val="20"/>
                <w:szCs w:val="20"/>
              </w:rPr>
            </w:pPr>
            <w:r w:rsidRPr="0095162E">
              <w:rPr>
                <w:color w:val="000000" w:themeColor="text1"/>
                <w:sz w:val="20"/>
                <w:szCs w:val="20"/>
              </w:rPr>
              <w:t xml:space="preserve">  High school or less</w:t>
            </w:r>
          </w:p>
        </w:tc>
        <w:tc>
          <w:tcPr>
            <w:tcW w:w="810" w:type="dxa"/>
          </w:tcPr>
          <w:p w14:paraId="50D8C759" w14:textId="77777777" w:rsidR="008D3CDC" w:rsidRPr="0095162E" w:rsidRDefault="008D3CDC" w:rsidP="000754F4">
            <w:pPr>
              <w:tabs>
                <w:tab w:val="decimal" w:pos="360"/>
              </w:tabs>
              <w:spacing w:after="200"/>
              <w:rPr>
                <w:color w:val="000000" w:themeColor="text1"/>
                <w:sz w:val="20"/>
                <w:szCs w:val="20"/>
              </w:rPr>
            </w:pPr>
            <w:r w:rsidRPr="0095162E">
              <w:rPr>
                <w:color w:val="000000" w:themeColor="text1"/>
                <w:sz w:val="20"/>
                <w:szCs w:val="20"/>
              </w:rPr>
              <w:t>32.3</w:t>
            </w:r>
          </w:p>
        </w:tc>
        <w:tc>
          <w:tcPr>
            <w:tcW w:w="630" w:type="dxa"/>
            <w:tcBorders>
              <w:right w:val="single" w:sz="18" w:space="0" w:color="auto"/>
            </w:tcBorders>
          </w:tcPr>
          <w:p w14:paraId="276484D7" w14:textId="77777777" w:rsidR="008D3CDC" w:rsidRPr="0095162E" w:rsidRDefault="008D3CDC" w:rsidP="000754F4">
            <w:pPr>
              <w:tabs>
                <w:tab w:val="decimal" w:pos="288"/>
              </w:tabs>
              <w:spacing w:after="200"/>
              <w:rPr>
                <w:color w:val="000000" w:themeColor="text1"/>
                <w:sz w:val="20"/>
                <w:szCs w:val="20"/>
              </w:rPr>
            </w:pPr>
            <w:r w:rsidRPr="0095162E">
              <w:rPr>
                <w:color w:val="000000" w:themeColor="text1"/>
                <w:sz w:val="20"/>
                <w:szCs w:val="20"/>
              </w:rPr>
              <w:t>3</w:t>
            </w:r>
            <w:r>
              <w:rPr>
                <w:color w:val="000000" w:themeColor="text1"/>
                <w:sz w:val="20"/>
                <w:szCs w:val="20"/>
              </w:rPr>
              <w:t>6.4</w:t>
            </w:r>
          </w:p>
        </w:tc>
        <w:tc>
          <w:tcPr>
            <w:tcW w:w="3510" w:type="dxa"/>
            <w:tcBorders>
              <w:left w:val="single" w:sz="18" w:space="0" w:color="auto"/>
            </w:tcBorders>
          </w:tcPr>
          <w:p w14:paraId="5648E7F9" w14:textId="77777777" w:rsidR="008D3CDC" w:rsidRPr="0095162E" w:rsidRDefault="008D3CDC" w:rsidP="000754F4">
            <w:pPr>
              <w:spacing w:after="200"/>
              <w:rPr>
                <w:b/>
                <w:bCs/>
                <w:color w:val="000000" w:themeColor="text1"/>
                <w:sz w:val="20"/>
                <w:szCs w:val="20"/>
              </w:rPr>
            </w:pPr>
            <w:r w:rsidRPr="00092758">
              <w:rPr>
                <w:color w:val="EE0000"/>
                <w:sz w:val="20"/>
                <w:szCs w:val="20"/>
              </w:rPr>
              <w:t xml:space="preserve">  </w:t>
            </w:r>
            <w:r w:rsidRPr="00637E5F">
              <w:rPr>
                <w:color w:val="000000" w:themeColor="text1"/>
                <w:sz w:val="20"/>
                <w:szCs w:val="20"/>
              </w:rPr>
              <w:t>Other</w:t>
            </w:r>
            <w:r w:rsidRPr="00A57417">
              <w:rPr>
                <w:color w:val="000000" w:themeColor="text1"/>
                <w:sz w:val="20"/>
                <w:szCs w:val="20"/>
                <w:vertAlign w:val="superscript"/>
              </w:rPr>
              <w:t>†</w:t>
            </w:r>
          </w:p>
        </w:tc>
        <w:tc>
          <w:tcPr>
            <w:tcW w:w="810" w:type="dxa"/>
          </w:tcPr>
          <w:p w14:paraId="45F81A51" w14:textId="77777777" w:rsidR="008D3CDC" w:rsidRPr="0095162E" w:rsidRDefault="008D3CDC" w:rsidP="000754F4">
            <w:pPr>
              <w:tabs>
                <w:tab w:val="decimal" w:pos="360"/>
              </w:tabs>
              <w:spacing w:after="200"/>
              <w:rPr>
                <w:b/>
                <w:bCs/>
                <w:color w:val="000000" w:themeColor="text1"/>
                <w:sz w:val="20"/>
                <w:szCs w:val="20"/>
              </w:rPr>
            </w:pPr>
            <w:r>
              <w:rPr>
                <w:color w:val="000000" w:themeColor="text1"/>
                <w:sz w:val="20"/>
                <w:szCs w:val="20"/>
              </w:rPr>
              <w:t>5.2</w:t>
            </w:r>
          </w:p>
        </w:tc>
        <w:tc>
          <w:tcPr>
            <w:tcW w:w="607" w:type="dxa"/>
            <w:tcBorders>
              <w:right w:val="single" w:sz="18" w:space="0" w:color="auto"/>
            </w:tcBorders>
          </w:tcPr>
          <w:p w14:paraId="5A166D9D" w14:textId="77777777" w:rsidR="008D3CDC" w:rsidRPr="0095162E" w:rsidRDefault="008D3CDC" w:rsidP="000754F4">
            <w:pPr>
              <w:tabs>
                <w:tab w:val="decimal" w:pos="288"/>
              </w:tabs>
              <w:spacing w:after="200"/>
              <w:rPr>
                <w:b/>
                <w:bCs/>
                <w:color w:val="000000" w:themeColor="text1"/>
                <w:sz w:val="20"/>
                <w:szCs w:val="20"/>
              </w:rPr>
            </w:pPr>
            <w:r w:rsidRPr="0095162E">
              <w:rPr>
                <w:color w:val="000000" w:themeColor="text1"/>
                <w:sz w:val="20"/>
                <w:szCs w:val="20"/>
              </w:rPr>
              <w:t>5.2</w:t>
            </w:r>
          </w:p>
        </w:tc>
      </w:tr>
      <w:tr w:rsidR="008D3CDC" w:rsidRPr="0095162E" w14:paraId="79837644" w14:textId="77777777" w:rsidTr="000754F4">
        <w:trPr>
          <w:trHeight w:hRule="exact" w:val="230"/>
        </w:trPr>
        <w:tc>
          <w:tcPr>
            <w:tcW w:w="2947" w:type="dxa"/>
            <w:gridSpan w:val="2"/>
            <w:tcBorders>
              <w:left w:val="single" w:sz="18" w:space="0" w:color="auto"/>
            </w:tcBorders>
          </w:tcPr>
          <w:p w14:paraId="7F4603AB" w14:textId="77777777" w:rsidR="008D3CDC" w:rsidRPr="0095162E" w:rsidRDefault="008D3CDC" w:rsidP="000754F4">
            <w:pPr>
              <w:spacing w:after="200"/>
              <w:rPr>
                <w:color w:val="000000"/>
                <w:sz w:val="20"/>
                <w:szCs w:val="20"/>
              </w:rPr>
            </w:pPr>
            <w:r w:rsidRPr="0095162E">
              <w:rPr>
                <w:color w:val="000000" w:themeColor="text1"/>
                <w:sz w:val="20"/>
                <w:szCs w:val="20"/>
              </w:rPr>
              <w:t xml:space="preserve">  Some college</w:t>
            </w:r>
          </w:p>
        </w:tc>
        <w:tc>
          <w:tcPr>
            <w:tcW w:w="810" w:type="dxa"/>
          </w:tcPr>
          <w:p w14:paraId="3C07A378" w14:textId="77777777" w:rsidR="008D3CDC" w:rsidRPr="0095162E" w:rsidRDefault="008D3CDC" w:rsidP="000754F4">
            <w:pPr>
              <w:tabs>
                <w:tab w:val="decimal" w:pos="360"/>
              </w:tabs>
              <w:spacing w:after="200"/>
              <w:rPr>
                <w:color w:val="000000"/>
                <w:sz w:val="20"/>
                <w:szCs w:val="20"/>
              </w:rPr>
            </w:pPr>
            <w:r w:rsidRPr="0095162E">
              <w:rPr>
                <w:color w:val="000000" w:themeColor="text1"/>
                <w:sz w:val="20"/>
                <w:szCs w:val="20"/>
              </w:rPr>
              <w:t>32.6</w:t>
            </w:r>
          </w:p>
        </w:tc>
        <w:tc>
          <w:tcPr>
            <w:tcW w:w="630" w:type="dxa"/>
            <w:tcBorders>
              <w:right w:val="single" w:sz="18" w:space="0" w:color="auto"/>
            </w:tcBorders>
          </w:tcPr>
          <w:p w14:paraId="0C16FF40" w14:textId="77777777" w:rsidR="008D3CDC" w:rsidRPr="0095162E" w:rsidRDefault="008D3CDC" w:rsidP="000754F4">
            <w:pPr>
              <w:tabs>
                <w:tab w:val="decimal" w:pos="288"/>
              </w:tabs>
              <w:spacing w:after="200"/>
              <w:rPr>
                <w:color w:val="000000" w:themeColor="text1"/>
                <w:sz w:val="20"/>
                <w:szCs w:val="20"/>
              </w:rPr>
            </w:pPr>
            <w:r w:rsidRPr="0095162E">
              <w:rPr>
                <w:color w:val="000000" w:themeColor="text1"/>
                <w:sz w:val="20"/>
                <w:szCs w:val="20"/>
              </w:rPr>
              <w:t>2</w:t>
            </w:r>
            <w:r>
              <w:rPr>
                <w:color w:val="000000" w:themeColor="text1"/>
                <w:sz w:val="20"/>
                <w:szCs w:val="20"/>
              </w:rPr>
              <w:t>7.9</w:t>
            </w:r>
          </w:p>
        </w:tc>
        <w:tc>
          <w:tcPr>
            <w:tcW w:w="4927" w:type="dxa"/>
            <w:gridSpan w:val="3"/>
            <w:tcBorders>
              <w:left w:val="single" w:sz="18" w:space="0" w:color="auto"/>
              <w:right w:val="single" w:sz="18" w:space="0" w:color="auto"/>
            </w:tcBorders>
          </w:tcPr>
          <w:p w14:paraId="694AE6C1" w14:textId="77777777" w:rsidR="008D3CDC" w:rsidRPr="0095162E" w:rsidRDefault="008D3CDC" w:rsidP="000754F4">
            <w:pPr>
              <w:tabs>
                <w:tab w:val="decimal" w:pos="360"/>
              </w:tabs>
              <w:spacing w:after="200"/>
              <w:rPr>
                <w:color w:val="000000" w:themeColor="text1"/>
                <w:sz w:val="20"/>
                <w:szCs w:val="20"/>
              </w:rPr>
            </w:pPr>
            <w:r w:rsidRPr="0095162E">
              <w:rPr>
                <w:b/>
                <w:bCs/>
                <w:color w:val="000000" w:themeColor="text1"/>
                <w:sz w:val="20"/>
                <w:szCs w:val="20"/>
              </w:rPr>
              <w:t>Homeownership status</w:t>
            </w:r>
          </w:p>
        </w:tc>
      </w:tr>
      <w:tr w:rsidR="008D3CDC" w:rsidRPr="0095162E" w14:paraId="30A9BB34" w14:textId="77777777" w:rsidTr="000754F4">
        <w:trPr>
          <w:trHeight w:hRule="exact" w:val="230"/>
        </w:trPr>
        <w:tc>
          <w:tcPr>
            <w:tcW w:w="2947" w:type="dxa"/>
            <w:gridSpan w:val="2"/>
            <w:tcBorders>
              <w:left w:val="single" w:sz="18" w:space="0" w:color="auto"/>
            </w:tcBorders>
          </w:tcPr>
          <w:p w14:paraId="435D0E15" w14:textId="73147440" w:rsidR="008D3CDC" w:rsidRPr="0095162E" w:rsidRDefault="008D3CDC" w:rsidP="000754F4">
            <w:pPr>
              <w:spacing w:after="200"/>
              <w:rPr>
                <w:b/>
                <w:bCs/>
                <w:color w:val="000000"/>
                <w:sz w:val="20"/>
                <w:szCs w:val="20"/>
              </w:rPr>
            </w:pPr>
            <w:r w:rsidRPr="0095162E">
              <w:rPr>
                <w:color w:val="000000" w:themeColor="text1"/>
                <w:sz w:val="20"/>
                <w:szCs w:val="20"/>
              </w:rPr>
              <w:t xml:space="preserve">  Bachelor</w:t>
            </w:r>
            <w:r w:rsidR="000D7001">
              <w:rPr>
                <w:color w:val="000000" w:themeColor="text1"/>
                <w:sz w:val="20"/>
                <w:szCs w:val="20"/>
              </w:rPr>
              <w:t>’</w:t>
            </w:r>
            <w:r w:rsidRPr="0095162E">
              <w:rPr>
                <w:color w:val="000000" w:themeColor="text1"/>
                <w:sz w:val="20"/>
                <w:szCs w:val="20"/>
              </w:rPr>
              <w:t>s degree(s)</w:t>
            </w:r>
          </w:p>
        </w:tc>
        <w:tc>
          <w:tcPr>
            <w:tcW w:w="810" w:type="dxa"/>
          </w:tcPr>
          <w:p w14:paraId="63F20D60" w14:textId="77777777" w:rsidR="008D3CDC" w:rsidRPr="0095162E" w:rsidRDefault="008D3CDC" w:rsidP="000754F4">
            <w:pPr>
              <w:tabs>
                <w:tab w:val="decimal" w:pos="360"/>
              </w:tabs>
              <w:spacing w:after="200"/>
              <w:rPr>
                <w:b/>
                <w:bCs/>
                <w:color w:val="000000"/>
                <w:sz w:val="20"/>
                <w:szCs w:val="20"/>
              </w:rPr>
            </w:pPr>
            <w:r w:rsidRPr="0095162E">
              <w:rPr>
                <w:color w:val="000000" w:themeColor="text1"/>
                <w:sz w:val="20"/>
                <w:szCs w:val="20"/>
              </w:rPr>
              <w:t>17.3</w:t>
            </w:r>
          </w:p>
        </w:tc>
        <w:tc>
          <w:tcPr>
            <w:tcW w:w="630" w:type="dxa"/>
            <w:tcBorders>
              <w:right w:val="single" w:sz="18" w:space="0" w:color="auto"/>
            </w:tcBorders>
          </w:tcPr>
          <w:p w14:paraId="57F7FC3B" w14:textId="77777777" w:rsidR="008D3CDC" w:rsidRPr="0095162E" w:rsidRDefault="008D3CDC" w:rsidP="000754F4">
            <w:pPr>
              <w:tabs>
                <w:tab w:val="decimal" w:pos="288"/>
              </w:tabs>
              <w:spacing w:after="200"/>
              <w:rPr>
                <w:color w:val="000000" w:themeColor="text1"/>
                <w:sz w:val="20"/>
                <w:szCs w:val="20"/>
              </w:rPr>
            </w:pPr>
            <w:r w:rsidRPr="0095162E">
              <w:rPr>
                <w:color w:val="000000" w:themeColor="text1"/>
                <w:sz w:val="20"/>
                <w:szCs w:val="20"/>
              </w:rPr>
              <w:t>21</w:t>
            </w:r>
            <w:r>
              <w:rPr>
                <w:color w:val="000000" w:themeColor="text1"/>
                <w:sz w:val="20"/>
                <w:szCs w:val="20"/>
              </w:rPr>
              <w:t>.6</w:t>
            </w:r>
          </w:p>
        </w:tc>
        <w:tc>
          <w:tcPr>
            <w:tcW w:w="3510" w:type="dxa"/>
            <w:tcBorders>
              <w:left w:val="single" w:sz="18" w:space="0" w:color="auto"/>
            </w:tcBorders>
          </w:tcPr>
          <w:p w14:paraId="5F9453E6" w14:textId="77777777" w:rsidR="008D3CDC" w:rsidRPr="0095162E" w:rsidRDefault="008D3CDC" w:rsidP="000754F4">
            <w:pPr>
              <w:spacing w:after="200"/>
              <w:rPr>
                <w:color w:val="000000" w:themeColor="text1"/>
                <w:sz w:val="20"/>
                <w:szCs w:val="20"/>
              </w:rPr>
            </w:pPr>
            <w:r w:rsidRPr="0095162E">
              <w:rPr>
                <w:color w:val="000000" w:themeColor="text1"/>
                <w:sz w:val="20"/>
                <w:szCs w:val="20"/>
              </w:rPr>
              <w:t xml:space="preserve">  Own</w:t>
            </w:r>
          </w:p>
        </w:tc>
        <w:tc>
          <w:tcPr>
            <w:tcW w:w="810" w:type="dxa"/>
          </w:tcPr>
          <w:p w14:paraId="5863910B" w14:textId="77777777" w:rsidR="008D3CDC" w:rsidRPr="0095162E" w:rsidRDefault="008D3CDC" w:rsidP="000754F4">
            <w:pPr>
              <w:tabs>
                <w:tab w:val="decimal" w:pos="360"/>
              </w:tabs>
              <w:spacing w:after="200"/>
              <w:rPr>
                <w:color w:val="000000" w:themeColor="text1"/>
                <w:sz w:val="20"/>
                <w:szCs w:val="20"/>
              </w:rPr>
            </w:pPr>
            <w:r w:rsidRPr="0095162E">
              <w:rPr>
                <w:color w:val="000000" w:themeColor="text1"/>
                <w:sz w:val="20"/>
                <w:szCs w:val="20"/>
              </w:rPr>
              <w:t>60.8</w:t>
            </w:r>
          </w:p>
        </w:tc>
        <w:tc>
          <w:tcPr>
            <w:tcW w:w="607" w:type="dxa"/>
            <w:tcBorders>
              <w:right w:val="single" w:sz="18" w:space="0" w:color="auto"/>
            </w:tcBorders>
          </w:tcPr>
          <w:p w14:paraId="7EC041D0" w14:textId="77777777" w:rsidR="008D3CDC" w:rsidRPr="0095162E" w:rsidRDefault="008D3CDC" w:rsidP="000754F4">
            <w:pPr>
              <w:tabs>
                <w:tab w:val="decimal" w:pos="288"/>
              </w:tabs>
              <w:spacing w:after="200"/>
              <w:rPr>
                <w:color w:val="000000"/>
                <w:sz w:val="20"/>
                <w:szCs w:val="20"/>
              </w:rPr>
            </w:pPr>
            <w:r w:rsidRPr="0095162E">
              <w:rPr>
                <w:color w:val="000000" w:themeColor="text1"/>
                <w:sz w:val="20"/>
                <w:szCs w:val="20"/>
              </w:rPr>
              <w:t>60.0</w:t>
            </w:r>
          </w:p>
        </w:tc>
      </w:tr>
      <w:tr w:rsidR="008D3CDC" w:rsidRPr="0095162E" w14:paraId="74280D72" w14:textId="77777777" w:rsidTr="000754F4">
        <w:trPr>
          <w:trHeight w:hRule="exact" w:val="230"/>
        </w:trPr>
        <w:tc>
          <w:tcPr>
            <w:tcW w:w="2947" w:type="dxa"/>
            <w:gridSpan w:val="2"/>
            <w:tcBorders>
              <w:left w:val="single" w:sz="18" w:space="0" w:color="auto"/>
            </w:tcBorders>
          </w:tcPr>
          <w:p w14:paraId="7A7F906E" w14:textId="77777777" w:rsidR="008D3CDC" w:rsidRPr="0095162E" w:rsidRDefault="008D3CDC" w:rsidP="000754F4">
            <w:pPr>
              <w:spacing w:after="200"/>
              <w:rPr>
                <w:b/>
                <w:bCs/>
                <w:color w:val="000000"/>
                <w:sz w:val="20"/>
                <w:szCs w:val="20"/>
              </w:rPr>
            </w:pPr>
            <w:r w:rsidRPr="0095162E">
              <w:rPr>
                <w:color w:val="000000" w:themeColor="text1"/>
                <w:sz w:val="20"/>
                <w:szCs w:val="20"/>
              </w:rPr>
              <w:t xml:space="preserve">  Graduate degree(s)</w:t>
            </w:r>
          </w:p>
        </w:tc>
        <w:tc>
          <w:tcPr>
            <w:tcW w:w="810" w:type="dxa"/>
          </w:tcPr>
          <w:p w14:paraId="0AD4C44D" w14:textId="77777777" w:rsidR="008D3CDC" w:rsidRPr="0095162E" w:rsidRDefault="008D3CDC" w:rsidP="000754F4">
            <w:pPr>
              <w:tabs>
                <w:tab w:val="decimal" w:pos="360"/>
              </w:tabs>
              <w:spacing w:after="200"/>
              <w:rPr>
                <w:b/>
                <w:bCs/>
                <w:color w:val="000000"/>
                <w:sz w:val="20"/>
                <w:szCs w:val="20"/>
              </w:rPr>
            </w:pPr>
            <w:r w:rsidRPr="0095162E">
              <w:rPr>
                <w:color w:val="000000" w:themeColor="text1"/>
                <w:sz w:val="20"/>
                <w:szCs w:val="20"/>
              </w:rPr>
              <w:t>17.8</w:t>
            </w:r>
          </w:p>
        </w:tc>
        <w:tc>
          <w:tcPr>
            <w:tcW w:w="630" w:type="dxa"/>
            <w:tcBorders>
              <w:right w:val="single" w:sz="18" w:space="0" w:color="auto"/>
            </w:tcBorders>
          </w:tcPr>
          <w:p w14:paraId="1F7B66A9" w14:textId="77777777" w:rsidR="008D3CDC" w:rsidRPr="0095162E" w:rsidRDefault="008D3CDC" w:rsidP="000754F4">
            <w:pPr>
              <w:tabs>
                <w:tab w:val="decimal" w:pos="288"/>
              </w:tabs>
              <w:spacing w:after="200"/>
              <w:rPr>
                <w:color w:val="000000" w:themeColor="text1"/>
                <w:sz w:val="20"/>
                <w:szCs w:val="20"/>
              </w:rPr>
            </w:pPr>
            <w:r w:rsidRPr="0095162E">
              <w:rPr>
                <w:color w:val="000000" w:themeColor="text1"/>
                <w:sz w:val="20"/>
                <w:szCs w:val="20"/>
              </w:rPr>
              <w:t>1</w:t>
            </w:r>
            <w:r>
              <w:rPr>
                <w:color w:val="000000" w:themeColor="text1"/>
                <w:sz w:val="20"/>
                <w:szCs w:val="20"/>
              </w:rPr>
              <w:t>4.1</w:t>
            </w:r>
          </w:p>
        </w:tc>
        <w:tc>
          <w:tcPr>
            <w:tcW w:w="3510" w:type="dxa"/>
            <w:tcBorders>
              <w:left w:val="single" w:sz="18" w:space="0" w:color="auto"/>
            </w:tcBorders>
          </w:tcPr>
          <w:p w14:paraId="5C1E2D12" w14:textId="77777777" w:rsidR="008D3CDC" w:rsidRPr="0095162E" w:rsidRDefault="008D3CDC" w:rsidP="000754F4">
            <w:pPr>
              <w:spacing w:after="200"/>
              <w:rPr>
                <w:color w:val="000000" w:themeColor="text1"/>
                <w:sz w:val="20"/>
                <w:szCs w:val="20"/>
              </w:rPr>
            </w:pPr>
            <w:r w:rsidRPr="0095162E">
              <w:rPr>
                <w:color w:val="000000" w:themeColor="text1"/>
                <w:sz w:val="20"/>
                <w:szCs w:val="20"/>
              </w:rPr>
              <w:t xml:space="preserve">  Rent</w:t>
            </w:r>
          </w:p>
        </w:tc>
        <w:tc>
          <w:tcPr>
            <w:tcW w:w="810" w:type="dxa"/>
          </w:tcPr>
          <w:p w14:paraId="0CB3F6EA" w14:textId="77777777" w:rsidR="008D3CDC" w:rsidRPr="0095162E" w:rsidRDefault="008D3CDC" w:rsidP="000754F4">
            <w:pPr>
              <w:tabs>
                <w:tab w:val="decimal" w:pos="360"/>
              </w:tabs>
              <w:spacing w:after="200"/>
              <w:rPr>
                <w:color w:val="000000" w:themeColor="text1"/>
                <w:sz w:val="20"/>
                <w:szCs w:val="20"/>
              </w:rPr>
            </w:pPr>
            <w:r w:rsidRPr="0095162E">
              <w:rPr>
                <w:color w:val="000000" w:themeColor="text1"/>
                <w:sz w:val="20"/>
                <w:szCs w:val="20"/>
              </w:rPr>
              <w:t>39.2</w:t>
            </w:r>
          </w:p>
        </w:tc>
        <w:tc>
          <w:tcPr>
            <w:tcW w:w="607" w:type="dxa"/>
            <w:tcBorders>
              <w:right w:val="single" w:sz="18" w:space="0" w:color="auto"/>
            </w:tcBorders>
          </w:tcPr>
          <w:p w14:paraId="6F142DA5" w14:textId="77777777" w:rsidR="008D3CDC" w:rsidRPr="0095162E" w:rsidRDefault="008D3CDC" w:rsidP="000754F4">
            <w:pPr>
              <w:tabs>
                <w:tab w:val="decimal" w:pos="288"/>
              </w:tabs>
              <w:spacing w:after="200"/>
              <w:rPr>
                <w:color w:val="000000"/>
                <w:sz w:val="20"/>
                <w:szCs w:val="20"/>
              </w:rPr>
            </w:pPr>
            <w:r w:rsidRPr="0095162E">
              <w:rPr>
                <w:color w:val="000000" w:themeColor="text1"/>
                <w:sz w:val="20"/>
                <w:szCs w:val="20"/>
              </w:rPr>
              <w:t>40.0</w:t>
            </w:r>
          </w:p>
        </w:tc>
      </w:tr>
      <w:tr w:rsidR="008D3CDC" w:rsidRPr="0095162E" w14:paraId="610AFDAC" w14:textId="77777777" w:rsidTr="000754F4">
        <w:trPr>
          <w:trHeight w:hRule="exact" w:val="230"/>
        </w:trPr>
        <w:tc>
          <w:tcPr>
            <w:tcW w:w="4387" w:type="dxa"/>
            <w:gridSpan w:val="4"/>
            <w:tcBorders>
              <w:left w:val="single" w:sz="18" w:space="0" w:color="auto"/>
              <w:right w:val="single" w:sz="18" w:space="0" w:color="auto"/>
            </w:tcBorders>
          </w:tcPr>
          <w:p w14:paraId="3F98CE04" w14:textId="77777777" w:rsidR="008D3CDC" w:rsidRPr="0095162E" w:rsidRDefault="008D3CDC" w:rsidP="000754F4">
            <w:pPr>
              <w:spacing w:after="200"/>
              <w:rPr>
                <w:color w:val="000000" w:themeColor="text1"/>
                <w:sz w:val="20"/>
                <w:szCs w:val="20"/>
              </w:rPr>
            </w:pPr>
            <w:r w:rsidRPr="0095162E">
              <w:rPr>
                <w:b/>
                <w:bCs/>
                <w:color w:val="000000" w:themeColor="text1"/>
                <w:sz w:val="20"/>
                <w:szCs w:val="20"/>
              </w:rPr>
              <w:t>Race</w:t>
            </w:r>
          </w:p>
        </w:tc>
        <w:tc>
          <w:tcPr>
            <w:tcW w:w="4927" w:type="dxa"/>
            <w:gridSpan w:val="3"/>
            <w:tcBorders>
              <w:left w:val="single" w:sz="18" w:space="0" w:color="auto"/>
              <w:right w:val="single" w:sz="18" w:space="0" w:color="auto"/>
            </w:tcBorders>
          </w:tcPr>
          <w:p w14:paraId="6424562E" w14:textId="77777777" w:rsidR="008D3CDC" w:rsidRPr="0095162E" w:rsidRDefault="008D3CDC" w:rsidP="000754F4">
            <w:pPr>
              <w:tabs>
                <w:tab w:val="decimal" w:pos="360"/>
              </w:tabs>
              <w:spacing w:after="200"/>
              <w:rPr>
                <w:color w:val="000000"/>
                <w:sz w:val="20"/>
                <w:szCs w:val="20"/>
              </w:rPr>
            </w:pPr>
            <w:r w:rsidRPr="0095162E">
              <w:rPr>
                <w:b/>
                <w:bCs/>
                <w:color w:val="000000" w:themeColor="text1"/>
                <w:sz w:val="20"/>
                <w:szCs w:val="20"/>
              </w:rPr>
              <w:t xml:space="preserve">Presence of </w:t>
            </w:r>
            <w:r>
              <w:rPr>
                <w:b/>
                <w:bCs/>
                <w:color w:val="000000" w:themeColor="text1"/>
                <w:sz w:val="20"/>
                <w:szCs w:val="20"/>
              </w:rPr>
              <w:t>c</w:t>
            </w:r>
            <w:r w:rsidRPr="0095162E">
              <w:rPr>
                <w:b/>
                <w:bCs/>
                <w:color w:val="000000" w:themeColor="text1"/>
                <w:sz w:val="20"/>
                <w:szCs w:val="20"/>
              </w:rPr>
              <w:t>hildren</w:t>
            </w:r>
            <w:r w:rsidRPr="0095162E">
              <w:rPr>
                <w:color w:val="000000" w:themeColor="text1"/>
                <w:sz w:val="20"/>
                <w:szCs w:val="20"/>
              </w:rPr>
              <w:t xml:space="preserve">  </w:t>
            </w:r>
          </w:p>
        </w:tc>
      </w:tr>
      <w:tr w:rsidR="008D3CDC" w:rsidRPr="0095162E" w14:paraId="753189D1" w14:textId="77777777" w:rsidTr="000754F4">
        <w:trPr>
          <w:trHeight w:hRule="exact" w:val="230"/>
        </w:trPr>
        <w:tc>
          <w:tcPr>
            <w:tcW w:w="2947" w:type="dxa"/>
            <w:gridSpan w:val="2"/>
            <w:tcBorders>
              <w:left w:val="single" w:sz="18" w:space="0" w:color="auto"/>
            </w:tcBorders>
          </w:tcPr>
          <w:p w14:paraId="7DB29CF3" w14:textId="77777777" w:rsidR="008D3CDC" w:rsidRPr="0095162E" w:rsidRDefault="008D3CDC" w:rsidP="000754F4">
            <w:pPr>
              <w:spacing w:after="200"/>
              <w:rPr>
                <w:b/>
                <w:bCs/>
                <w:color w:val="000000"/>
                <w:sz w:val="20"/>
                <w:szCs w:val="20"/>
              </w:rPr>
            </w:pPr>
            <w:r w:rsidRPr="0095162E">
              <w:rPr>
                <w:color w:val="000000" w:themeColor="text1"/>
                <w:sz w:val="20"/>
                <w:szCs w:val="20"/>
              </w:rPr>
              <w:t xml:space="preserve">  White</w:t>
            </w:r>
          </w:p>
        </w:tc>
        <w:tc>
          <w:tcPr>
            <w:tcW w:w="810" w:type="dxa"/>
          </w:tcPr>
          <w:p w14:paraId="483C24F1" w14:textId="77777777" w:rsidR="008D3CDC" w:rsidRPr="0095162E" w:rsidRDefault="008D3CDC" w:rsidP="000754F4">
            <w:pPr>
              <w:tabs>
                <w:tab w:val="decimal" w:pos="360"/>
              </w:tabs>
              <w:spacing w:after="200"/>
              <w:rPr>
                <w:b/>
                <w:bCs/>
                <w:color w:val="000000"/>
                <w:sz w:val="20"/>
                <w:szCs w:val="20"/>
              </w:rPr>
            </w:pPr>
            <w:r w:rsidRPr="0095162E">
              <w:rPr>
                <w:color w:val="000000" w:themeColor="text1"/>
                <w:sz w:val="20"/>
                <w:szCs w:val="20"/>
              </w:rPr>
              <w:t>63.3</w:t>
            </w:r>
          </w:p>
        </w:tc>
        <w:tc>
          <w:tcPr>
            <w:tcW w:w="630" w:type="dxa"/>
            <w:tcBorders>
              <w:right w:val="single" w:sz="18" w:space="0" w:color="auto"/>
            </w:tcBorders>
          </w:tcPr>
          <w:p w14:paraId="46620565" w14:textId="77777777" w:rsidR="008D3CDC" w:rsidRPr="0095162E" w:rsidRDefault="008D3CDC" w:rsidP="000754F4">
            <w:pPr>
              <w:tabs>
                <w:tab w:val="decimal" w:pos="288"/>
              </w:tabs>
              <w:spacing w:after="200"/>
              <w:rPr>
                <w:color w:val="000000" w:themeColor="text1"/>
                <w:sz w:val="20"/>
                <w:szCs w:val="20"/>
              </w:rPr>
            </w:pPr>
            <w:r w:rsidRPr="0095162E">
              <w:rPr>
                <w:color w:val="000000" w:themeColor="text1"/>
                <w:sz w:val="20"/>
                <w:szCs w:val="20"/>
              </w:rPr>
              <w:t>61.0</w:t>
            </w:r>
          </w:p>
        </w:tc>
        <w:tc>
          <w:tcPr>
            <w:tcW w:w="3510" w:type="dxa"/>
            <w:tcBorders>
              <w:left w:val="single" w:sz="18" w:space="0" w:color="auto"/>
            </w:tcBorders>
          </w:tcPr>
          <w:p w14:paraId="3975D759" w14:textId="77777777" w:rsidR="008D3CDC" w:rsidRPr="0095162E" w:rsidRDefault="008D3CDC" w:rsidP="000754F4">
            <w:pPr>
              <w:spacing w:after="200"/>
              <w:rPr>
                <w:color w:val="000000" w:themeColor="text1"/>
                <w:sz w:val="20"/>
                <w:szCs w:val="20"/>
              </w:rPr>
            </w:pPr>
            <w:r w:rsidRPr="0095162E">
              <w:rPr>
                <w:color w:val="000000" w:themeColor="text1"/>
                <w:sz w:val="20"/>
                <w:szCs w:val="20"/>
              </w:rPr>
              <w:t xml:space="preserve">  </w:t>
            </w:r>
            <w:r>
              <w:rPr>
                <w:color w:val="000000" w:themeColor="text1"/>
                <w:sz w:val="20"/>
                <w:szCs w:val="20"/>
              </w:rPr>
              <w:t>One or more</w:t>
            </w:r>
          </w:p>
        </w:tc>
        <w:tc>
          <w:tcPr>
            <w:tcW w:w="810" w:type="dxa"/>
          </w:tcPr>
          <w:p w14:paraId="78D33B22" w14:textId="77777777" w:rsidR="008D3CDC" w:rsidRPr="0095162E" w:rsidRDefault="008D3CDC" w:rsidP="000754F4">
            <w:pPr>
              <w:tabs>
                <w:tab w:val="decimal" w:pos="360"/>
              </w:tabs>
              <w:spacing w:after="200"/>
              <w:rPr>
                <w:color w:val="000000" w:themeColor="text1"/>
                <w:sz w:val="20"/>
                <w:szCs w:val="20"/>
              </w:rPr>
            </w:pPr>
            <w:r w:rsidRPr="0095162E">
              <w:rPr>
                <w:color w:val="000000" w:themeColor="text1"/>
                <w:sz w:val="20"/>
                <w:szCs w:val="20"/>
              </w:rPr>
              <w:t>32.0</w:t>
            </w:r>
          </w:p>
        </w:tc>
        <w:tc>
          <w:tcPr>
            <w:tcW w:w="607" w:type="dxa"/>
            <w:tcBorders>
              <w:right w:val="single" w:sz="18" w:space="0" w:color="auto"/>
            </w:tcBorders>
          </w:tcPr>
          <w:p w14:paraId="5A908455" w14:textId="77777777" w:rsidR="008D3CDC" w:rsidRPr="0095162E" w:rsidRDefault="008D3CDC" w:rsidP="000754F4">
            <w:pPr>
              <w:tabs>
                <w:tab w:val="decimal" w:pos="288"/>
              </w:tabs>
              <w:spacing w:after="200"/>
              <w:rPr>
                <w:color w:val="000000"/>
                <w:sz w:val="20"/>
                <w:szCs w:val="20"/>
              </w:rPr>
            </w:pPr>
            <w:r w:rsidRPr="0095162E">
              <w:rPr>
                <w:color w:val="000000" w:themeColor="text1"/>
                <w:sz w:val="20"/>
                <w:szCs w:val="20"/>
              </w:rPr>
              <w:t>28.5</w:t>
            </w:r>
          </w:p>
        </w:tc>
      </w:tr>
      <w:tr w:rsidR="008D3CDC" w:rsidRPr="0095162E" w14:paraId="20DFC13D" w14:textId="77777777" w:rsidTr="000754F4">
        <w:trPr>
          <w:trHeight w:hRule="exact" w:val="230"/>
        </w:trPr>
        <w:tc>
          <w:tcPr>
            <w:tcW w:w="2947" w:type="dxa"/>
            <w:gridSpan w:val="2"/>
            <w:tcBorders>
              <w:left w:val="single" w:sz="18" w:space="0" w:color="auto"/>
            </w:tcBorders>
          </w:tcPr>
          <w:p w14:paraId="08810812" w14:textId="77777777" w:rsidR="008D3CDC" w:rsidRPr="0095162E" w:rsidRDefault="008D3CDC" w:rsidP="000754F4">
            <w:pPr>
              <w:spacing w:after="200"/>
              <w:rPr>
                <w:b/>
                <w:bCs/>
                <w:color w:val="000000"/>
                <w:sz w:val="20"/>
                <w:szCs w:val="20"/>
              </w:rPr>
            </w:pPr>
            <w:r w:rsidRPr="0095162E">
              <w:rPr>
                <w:color w:val="000000" w:themeColor="text1"/>
                <w:sz w:val="20"/>
                <w:szCs w:val="20"/>
              </w:rPr>
              <w:t xml:space="preserve">  Black</w:t>
            </w:r>
          </w:p>
        </w:tc>
        <w:tc>
          <w:tcPr>
            <w:tcW w:w="810" w:type="dxa"/>
          </w:tcPr>
          <w:p w14:paraId="591F58CE" w14:textId="77777777" w:rsidR="008D3CDC" w:rsidRPr="0095162E" w:rsidRDefault="008D3CDC" w:rsidP="000754F4">
            <w:pPr>
              <w:tabs>
                <w:tab w:val="decimal" w:pos="360"/>
              </w:tabs>
              <w:spacing w:after="200"/>
              <w:rPr>
                <w:b/>
                <w:bCs/>
                <w:color w:val="000000"/>
                <w:sz w:val="20"/>
                <w:szCs w:val="20"/>
              </w:rPr>
            </w:pPr>
            <w:r w:rsidRPr="0095162E">
              <w:rPr>
                <w:color w:val="000000" w:themeColor="text1"/>
                <w:sz w:val="20"/>
                <w:szCs w:val="20"/>
              </w:rPr>
              <w:t>16.0</w:t>
            </w:r>
          </w:p>
        </w:tc>
        <w:tc>
          <w:tcPr>
            <w:tcW w:w="630" w:type="dxa"/>
            <w:tcBorders>
              <w:right w:val="single" w:sz="18" w:space="0" w:color="auto"/>
            </w:tcBorders>
          </w:tcPr>
          <w:p w14:paraId="229EAE81" w14:textId="77777777" w:rsidR="008D3CDC" w:rsidRPr="0095162E" w:rsidRDefault="008D3CDC" w:rsidP="000754F4">
            <w:pPr>
              <w:tabs>
                <w:tab w:val="decimal" w:pos="288"/>
              </w:tabs>
              <w:spacing w:after="200"/>
              <w:rPr>
                <w:color w:val="000000" w:themeColor="text1"/>
                <w:sz w:val="20"/>
                <w:szCs w:val="20"/>
              </w:rPr>
            </w:pPr>
            <w:r w:rsidRPr="0095162E">
              <w:rPr>
                <w:color w:val="000000" w:themeColor="text1"/>
                <w:sz w:val="20"/>
                <w:szCs w:val="20"/>
              </w:rPr>
              <w:t>12.2</w:t>
            </w:r>
          </w:p>
        </w:tc>
        <w:tc>
          <w:tcPr>
            <w:tcW w:w="3510" w:type="dxa"/>
            <w:tcBorders>
              <w:left w:val="single" w:sz="18" w:space="0" w:color="auto"/>
            </w:tcBorders>
          </w:tcPr>
          <w:p w14:paraId="3C995245" w14:textId="77777777" w:rsidR="008D3CDC" w:rsidRPr="0095162E" w:rsidRDefault="008D3CDC" w:rsidP="000754F4">
            <w:pPr>
              <w:spacing w:after="200"/>
              <w:rPr>
                <w:color w:val="000000" w:themeColor="text1"/>
                <w:sz w:val="20"/>
                <w:szCs w:val="20"/>
              </w:rPr>
            </w:pPr>
            <w:r w:rsidRPr="0095162E">
              <w:rPr>
                <w:color w:val="000000" w:themeColor="text1"/>
                <w:sz w:val="20"/>
                <w:szCs w:val="20"/>
              </w:rPr>
              <w:t xml:space="preserve">  No</w:t>
            </w:r>
            <w:r>
              <w:rPr>
                <w:color w:val="000000" w:themeColor="text1"/>
                <w:sz w:val="20"/>
                <w:szCs w:val="20"/>
              </w:rPr>
              <w:t>ne</w:t>
            </w:r>
          </w:p>
        </w:tc>
        <w:tc>
          <w:tcPr>
            <w:tcW w:w="810" w:type="dxa"/>
          </w:tcPr>
          <w:p w14:paraId="60F5FEE0" w14:textId="77777777" w:rsidR="008D3CDC" w:rsidRPr="0095162E" w:rsidRDefault="008D3CDC" w:rsidP="000754F4">
            <w:pPr>
              <w:tabs>
                <w:tab w:val="decimal" w:pos="360"/>
              </w:tabs>
              <w:spacing w:after="200"/>
              <w:rPr>
                <w:color w:val="000000" w:themeColor="text1"/>
                <w:sz w:val="20"/>
                <w:szCs w:val="20"/>
              </w:rPr>
            </w:pPr>
            <w:r w:rsidRPr="0095162E">
              <w:rPr>
                <w:color w:val="000000" w:themeColor="text1"/>
                <w:sz w:val="20"/>
                <w:szCs w:val="20"/>
              </w:rPr>
              <w:t>68.0</w:t>
            </w:r>
          </w:p>
        </w:tc>
        <w:tc>
          <w:tcPr>
            <w:tcW w:w="607" w:type="dxa"/>
            <w:tcBorders>
              <w:right w:val="single" w:sz="18" w:space="0" w:color="auto"/>
            </w:tcBorders>
          </w:tcPr>
          <w:p w14:paraId="583FC119" w14:textId="77777777" w:rsidR="008D3CDC" w:rsidRPr="0095162E" w:rsidRDefault="008D3CDC" w:rsidP="000754F4">
            <w:pPr>
              <w:tabs>
                <w:tab w:val="decimal" w:pos="288"/>
              </w:tabs>
              <w:spacing w:after="200"/>
              <w:rPr>
                <w:color w:val="000000"/>
                <w:sz w:val="20"/>
                <w:szCs w:val="20"/>
              </w:rPr>
            </w:pPr>
            <w:r w:rsidRPr="0095162E">
              <w:rPr>
                <w:color w:val="000000" w:themeColor="text1"/>
                <w:sz w:val="20"/>
                <w:szCs w:val="20"/>
              </w:rPr>
              <w:t>71.5</w:t>
            </w:r>
          </w:p>
        </w:tc>
      </w:tr>
      <w:tr w:rsidR="008D3CDC" w:rsidRPr="0095162E" w14:paraId="5254E39D" w14:textId="77777777" w:rsidTr="000754F4">
        <w:trPr>
          <w:trHeight w:hRule="exact" w:val="230"/>
        </w:trPr>
        <w:tc>
          <w:tcPr>
            <w:tcW w:w="2947" w:type="dxa"/>
            <w:gridSpan w:val="2"/>
            <w:tcBorders>
              <w:left w:val="single" w:sz="18" w:space="0" w:color="auto"/>
            </w:tcBorders>
          </w:tcPr>
          <w:p w14:paraId="4304FCE1" w14:textId="77777777" w:rsidR="008D3CDC" w:rsidRPr="0095162E" w:rsidRDefault="008D3CDC" w:rsidP="000754F4">
            <w:pPr>
              <w:spacing w:after="200"/>
              <w:rPr>
                <w:b/>
                <w:bCs/>
                <w:color w:val="000000"/>
                <w:sz w:val="20"/>
                <w:szCs w:val="20"/>
              </w:rPr>
            </w:pPr>
            <w:r w:rsidRPr="0095162E">
              <w:rPr>
                <w:color w:val="000000" w:themeColor="text1"/>
                <w:sz w:val="20"/>
                <w:szCs w:val="20"/>
              </w:rPr>
              <w:t xml:space="preserve">  Asian</w:t>
            </w:r>
            <w:r>
              <w:rPr>
                <w:color w:val="000000" w:themeColor="text1"/>
                <w:sz w:val="20"/>
                <w:szCs w:val="20"/>
              </w:rPr>
              <w:t>/</w:t>
            </w:r>
            <w:r w:rsidRPr="0095162E">
              <w:rPr>
                <w:color w:val="000000" w:themeColor="text1"/>
                <w:sz w:val="20"/>
                <w:szCs w:val="20"/>
              </w:rPr>
              <w:t>Pacific Islander</w:t>
            </w:r>
          </w:p>
        </w:tc>
        <w:tc>
          <w:tcPr>
            <w:tcW w:w="810" w:type="dxa"/>
          </w:tcPr>
          <w:p w14:paraId="316614A9" w14:textId="77777777" w:rsidR="008D3CDC" w:rsidRPr="0095162E" w:rsidRDefault="008D3CDC" w:rsidP="000754F4">
            <w:pPr>
              <w:tabs>
                <w:tab w:val="decimal" w:pos="360"/>
              </w:tabs>
              <w:spacing w:after="200"/>
              <w:rPr>
                <w:b/>
                <w:bCs/>
                <w:color w:val="000000"/>
                <w:sz w:val="20"/>
                <w:szCs w:val="20"/>
              </w:rPr>
            </w:pPr>
            <w:r w:rsidRPr="0095162E">
              <w:rPr>
                <w:color w:val="000000" w:themeColor="text1"/>
                <w:sz w:val="20"/>
                <w:szCs w:val="20"/>
              </w:rPr>
              <w:t>7.</w:t>
            </w:r>
            <w:r>
              <w:rPr>
                <w:color w:val="000000" w:themeColor="text1"/>
                <w:sz w:val="20"/>
                <w:szCs w:val="20"/>
              </w:rPr>
              <w:t>9</w:t>
            </w:r>
          </w:p>
        </w:tc>
        <w:tc>
          <w:tcPr>
            <w:tcW w:w="630" w:type="dxa"/>
            <w:tcBorders>
              <w:right w:val="single" w:sz="18" w:space="0" w:color="auto"/>
            </w:tcBorders>
          </w:tcPr>
          <w:p w14:paraId="343377D4" w14:textId="77777777" w:rsidR="008D3CDC" w:rsidRPr="0095162E" w:rsidRDefault="008D3CDC" w:rsidP="000754F4">
            <w:pPr>
              <w:tabs>
                <w:tab w:val="decimal" w:pos="288"/>
              </w:tabs>
              <w:spacing w:after="200"/>
              <w:rPr>
                <w:color w:val="000000" w:themeColor="text1"/>
                <w:sz w:val="20"/>
                <w:szCs w:val="20"/>
              </w:rPr>
            </w:pPr>
            <w:r w:rsidRPr="0095162E">
              <w:rPr>
                <w:color w:val="000000" w:themeColor="text1"/>
                <w:sz w:val="20"/>
                <w:szCs w:val="20"/>
              </w:rPr>
              <w:t>9.8</w:t>
            </w:r>
          </w:p>
        </w:tc>
        <w:tc>
          <w:tcPr>
            <w:tcW w:w="4927" w:type="dxa"/>
            <w:gridSpan w:val="3"/>
            <w:tcBorders>
              <w:left w:val="single" w:sz="18" w:space="0" w:color="auto"/>
              <w:right w:val="single" w:sz="18" w:space="0" w:color="auto"/>
            </w:tcBorders>
          </w:tcPr>
          <w:p w14:paraId="3588D117" w14:textId="77777777" w:rsidR="008D3CDC" w:rsidRPr="0095162E" w:rsidRDefault="008D3CDC" w:rsidP="000754F4">
            <w:pPr>
              <w:tabs>
                <w:tab w:val="decimal" w:pos="288"/>
              </w:tabs>
              <w:spacing w:after="200"/>
              <w:rPr>
                <w:color w:val="000000" w:themeColor="text1"/>
                <w:sz w:val="20"/>
                <w:szCs w:val="20"/>
              </w:rPr>
            </w:pPr>
            <w:r w:rsidRPr="0095162E">
              <w:rPr>
                <w:b/>
                <w:bCs/>
                <w:color w:val="000000" w:themeColor="text1"/>
                <w:sz w:val="20"/>
                <w:szCs w:val="20"/>
              </w:rPr>
              <w:t xml:space="preserve">Vehicle </w:t>
            </w:r>
            <w:r>
              <w:rPr>
                <w:b/>
                <w:bCs/>
                <w:color w:val="000000" w:themeColor="text1"/>
                <w:sz w:val="20"/>
                <w:szCs w:val="20"/>
              </w:rPr>
              <w:t>o</w:t>
            </w:r>
            <w:r w:rsidRPr="0095162E">
              <w:rPr>
                <w:b/>
                <w:bCs/>
                <w:color w:val="000000" w:themeColor="text1"/>
                <w:sz w:val="20"/>
                <w:szCs w:val="20"/>
              </w:rPr>
              <w:t>wnership</w:t>
            </w:r>
          </w:p>
          <w:p w14:paraId="5CCA275C" w14:textId="77777777" w:rsidR="008D3CDC" w:rsidRPr="0095162E" w:rsidRDefault="008D3CDC" w:rsidP="000754F4">
            <w:pPr>
              <w:tabs>
                <w:tab w:val="decimal" w:pos="360"/>
              </w:tabs>
              <w:spacing w:after="200"/>
              <w:rPr>
                <w:color w:val="000000"/>
                <w:sz w:val="20"/>
                <w:szCs w:val="20"/>
              </w:rPr>
            </w:pPr>
          </w:p>
        </w:tc>
      </w:tr>
      <w:tr w:rsidR="008D3CDC" w:rsidRPr="0095162E" w14:paraId="337F48FD" w14:textId="77777777" w:rsidTr="000754F4">
        <w:trPr>
          <w:trHeight w:hRule="exact" w:val="230"/>
        </w:trPr>
        <w:tc>
          <w:tcPr>
            <w:tcW w:w="2947" w:type="dxa"/>
            <w:gridSpan w:val="2"/>
            <w:tcBorders>
              <w:left w:val="single" w:sz="18" w:space="0" w:color="auto"/>
            </w:tcBorders>
          </w:tcPr>
          <w:p w14:paraId="1DACED28" w14:textId="77777777" w:rsidR="008D3CDC" w:rsidRPr="0095162E" w:rsidRDefault="008D3CDC" w:rsidP="000754F4">
            <w:pPr>
              <w:spacing w:after="200"/>
              <w:rPr>
                <w:b/>
                <w:bCs/>
                <w:color w:val="000000"/>
                <w:sz w:val="20"/>
                <w:szCs w:val="20"/>
              </w:rPr>
            </w:pPr>
            <w:r w:rsidRPr="0095162E">
              <w:rPr>
                <w:color w:val="000000"/>
                <w:sz w:val="20"/>
                <w:szCs w:val="20"/>
              </w:rPr>
              <w:t xml:space="preserve">  </w:t>
            </w:r>
            <w:r w:rsidRPr="00637E5F">
              <w:rPr>
                <w:color w:val="000000" w:themeColor="text1"/>
                <w:sz w:val="20"/>
                <w:szCs w:val="20"/>
              </w:rPr>
              <w:t>Other*</w:t>
            </w:r>
          </w:p>
        </w:tc>
        <w:tc>
          <w:tcPr>
            <w:tcW w:w="810" w:type="dxa"/>
          </w:tcPr>
          <w:p w14:paraId="0E12D952" w14:textId="77777777" w:rsidR="008D3CDC" w:rsidRPr="0095162E" w:rsidRDefault="008D3CDC" w:rsidP="000754F4">
            <w:pPr>
              <w:tabs>
                <w:tab w:val="decimal" w:pos="360"/>
              </w:tabs>
              <w:spacing w:after="200"/>
              <w:rPr>
                <w:b/>
                <w:bCs/>
                <w:color w:val="000000"/>
                <w:sz w:val="20"/>
                <w:szCs w:val="20"/>
              </w:rPr>
            </w:pPr>
            <w:r w:rsidRPr="0095162E">
              <w:rPr>
                <w:color w:val="000000"/>
                <w:sz w:val="20"/>
                <w:szCs w:val="20"/>
              </w:rPr>
              <w:t>12.8</w:t>
            </w:r>
          </w:p>
        </w:tc>
        <w:tc>
          <w:tcPr>
            <w:tcW w:w="630" w:type="dxa"/>
            <w:tcBorders>
              <w:right w:val="single" w:sz="18" w:space="0" w:color="auto"/>
            </w:tcBorders>
          </w:tcPr>
          <w:p w14:paraId="0427E4B3" w14:textId="77777777" w:rsidR="008D3CDC" w:rsidRPr="0095162E" w:rsidRDefault="008D3CDC" w:rsidP="000754F4">
            <w:pPr>
              <w:tabs>
                <w:tab w:val="decimal" w:pos="288"/>
              </w:tabs>
              <w:spacing w:after="200"/>
              <w:rPr>
                <w:color w:val="000000" w:themeColor="text1"/>
                <w:sz w:val="20"/>
                <w:szCs w:val="20"/>
              </w:rPr>
            </w:pPr>
            <w:r w:rsidRPr="0095162E">
              <w:rPr>
                <w:color w:val="000000" w:themeColor="text1"/>
                <w:sz w:val="20"/>
                <w:szCs w:val="20"/>
              </w:rPr>
              <w:t>17.0</w:t>
            </w:r>
          </w:p>
        </w:tc>
        <w:tc>
          <w:tcPr>
            <w:tcW w:w="3510" w:type="dxa"/>
            <w:tcBorders>
              <w:left w:val="single" w:sz="18" w:space="0" w:color="auto"/>
            </w:tcBorders>
          </w:tcPr>
          <w:p w14:paraId="097D6C91" w14:textId="77777777" w:rsidR="008D3CDC" w:rsidRPr="0095162E" w:rsidRDefault="008D3CDC" w:rsidP="000754F4">
            <w:pPr>
              <w:spacing w:after="200"/>
              <w:rPr>
                <w:color w:val="000000" w:themeColor="text1"/>
                <w:sz w:val="20"/>
                <w:szCs w:val="20"/>
              </w:rPr>
            </w:pPr>
            <w:r w:rsidRPr="0095162E">
              <w:rPr>
                <w:color w:val="000000" w:themeColor="text1"/>
                <w:sz w:val="20"/>
                <w:szCs w:val="20"/>
              </w:rPr>
              <w:t xml:space="preserve">  </w:t>
            </w:r>
            <w:r>
              <w:rPr>
                <w:color w:val="000000" w:themeColor="text1"/>
                <w:sz w:val="20"/>
                <w:szCs w:val="20"/>
              </w:rPr>
              <w:t>None</w:t>
            </w:r>
          </w:p>
        </w:tc>
        <w:tc>
          <w:tcPr>
            <w:tcW w:w="810" w:type="dxa"/>
          </w:tcPr>
          <w:p w14:paraId="2BBA995F" w14:textId="77777777" w:rsidR="008D3CDC" w:rsidRPr="0095162E" w:rsidRDefault="008D3CDC" w:rsidP="000754F4">
            <w:pPr>
              <w:tabs>
                <w:tab w:val="decimal" w:pos="360"/>
              </w:tabs>
              <w:spacing w:after="200"/>
              <w:rPr>
                <w:color w:val="000000" w:themeColor="text1"/>
                <w:sz w:val="20"/>
                <w:szCs w:val="20"/>
              </w:rPr>
            </w:pPr>
            <w:r w:rsidRPr="0095162E">
              <w:rPr>
                <w:color w:val="000000" w:themeColor="text1"/>
                <w:sz w:val="20"/>
                <w:szCs w:val="20"/>
              </w:rPr>
              <w:t>10.9</w:t>
            </w:r>
          </w:p>
        </w:tc>
        <w:tc>
          <w:tcPr>
            <w:tcW w:w="607" w:type="dxa"/>
            <w:tcBorders>
              <w:right w:val="single" w:sz="18" w:space="0" w:color="auto"/>
            </w:tcBorders>
          </w:tcPr>
          <w:p w14:paraId="309A88CF" w14:textId="77777777" w:rsidR="008D3CDC" w:rsidRPr="0095162E" w:rsidRDefault="008D3CDC" w:rsidP="000754F4">
            <w:pPr>
              <w:tabs>
                <w:tab w:val="decimal" w:pos="288"/>
              </w:tabs>
              <w:spacing w:after="200"/>
              <w:rPr>
                <w:color w:val="000000"/>
                <w:sz w:val="20"/>
                <w:szCs w:val="20"/>
              </w:rPr>
            </w:pPr>
            <w:r w:rsidRPr="0095162E">
              <w:rPr>
                <w:color w:val="000000" w:themeColor="text1"/>
                <w:sz w:val="20"/>
                <w:szCs w:val="20"/>
              </w:rPr>
              <w:t>8.4</w:t>
            </w:r>
          </w:p>
        </w:tc>
      </w:tr>
      <w:tr w:rsidR="008D3CDC" w:rsidRPr="0095162E" w14:paraId="2F8ADCD5" w14:textId="77777777" w:rsidTr="000754F4">
        <w:trPr>
          <w:trHeight w:hRule="exact" w:val="230"/>
        </w:trPr>
        <w:tc>
          <w:tcPr>
            <w:tcW w:w="4387" w:type="dxa"/>
            <w:gridSpan w:val="4"/>
            <w:tcBorders>
              <w:left w:val="single" w:sz="18" w:space="0" w:color="auto"/>
              <w:right w:val="single" w:sz="18" w:space="0" w:color="auto"/>
            </w:tcBorders>
          </w:tcPr>
          <w:p w14:paraId="351FD8F1" w14:textId="77777777" w:rsidR="008D3CDC" w:rsidRPr="0095162E" w:rsidRDefault="008D3CDC" w:rsidP="000754F4">
            <w:pPr>
              <w:spacing w:after="200"/>
              <w:rPr>
                <w:color w:val="000000" w:themeColor="text1"/>
                <w:sz w:val="20"/>
                <w:szCs w:val="20"/>
              </w:rPr>
            </w:pPr>
            <w:r w:rsidRPr="0095162E">
              <w:rPr>
                <w:b/>
                <w:bCs/>
                <w:color w:val="000000" w:themeColor="text1"/>
                <w:sz w:val="20"/>
                <w:szCs w:val="20"/>
              </w:rPr>
              <w:t>Ethnicity</w:t>
            </w:r>
          </w:p>
        </w:tc>
        <w:tc>
          <w:tcPr>
            <w:tcW w:w="3510" w:type="dxa"/>
            <w:tcBorders>
              <w:left w:val="single" w:sz="18" w:space="0" w:color="auto"/>
            </w:tcBorders>
          </w:tcPr>
          <w:p w14:paraId="21D276E3" w14:textId="77777777" w:rsidR="008D3CDC" w:rsidRPr="0095162E" w:rsidRDefault="008D3CDC" w:rsidP="000754F4">
            <w:pPr>
              <w:spacing w:after="200"/>
              <w:rPr>
                <w:color w:val="000000" w:themeColor="text1"/>
                <w:sz w:val="20"/>
                <w:szCs w:val="20"/>
              </w:rPr>
            </w:pPr>
            <w:r w:rsidRPr="0095162E">
              <w:rPr>
                <w:color w:val="000000" w:themeColor="text1"/>
                <w:sz w:val="20"/>
                <w:szCs w:val="20"/>
              </w:rPr>
              <w:t xml:space="preserve">  One</w:t>
            </w:r>
          </w:p>
        </w:tc>
        <w:tc>
          <w:tcPr>
            <w:tcW w:w="810" w:type="dxa"/>
          </w:tcPr>
          <w:p w14:paraId="22279412" w14:textId="77777777" w:rsidR="008D3CDC" w:rsidRPr="0095162E" w:rsidRDefault="008D3CDC" w:rsidP="000754F4">
            <w:pPr>
              <w:tabs>
                <w:tab w:val="decimal" w:pos="360"/>
              </w:tabs>
              <w:spacing w:after="200"/>
              <w:rPr>
                <w:color w:val="000000" w:themeColor="text1"/>
                <w:sz w:val="20"/>
                <w:szCs w:val="20"/>
              </w:rPr>
            </w:pPr>
            <w:r w:rsidRPr="0095162E">
              <w:rPr>
                <w:color w:val="000000" w:themeColor="text1"/>
                <w:sz w:val="20"/>
                <w:szCs w:val="20"/>
              </w:rPr>
              <w:t>44.0</w:t>
            </w:r>
          </w:p>
        </w:tc>
        <w:tc>
          <w:tcPr>
            <w:tcW w:w="607" w:type="dxa"/>
            <w:tcBorders>
              <w:right w:val="single" w:sz="18" w:space="0" w:color="auto"/>
            </w:tcBorders>
          </w:tcPr>
          <w:p w14:paraId="63683374" w14:textId="77777777" w:rsidR="008D3CDC" w:rsidRPr="0095162E" w:rsidRDefault="008D3CDC" w:rsidP="000754F4">
            <w:pPr>
              <w:tabs>
                <w:tab w:val="decimal" w:pos="288"/>
              </w:tabs>
              <w:spacing w:after="200"/>
              <w:rPr>
                <w:color w:val="000000"/>
                <w:sz w:val="20"/>
                <w:szCs w:val="20"/>
              </w:rPr>
            </w:pPr>
            <w:r>
              <w:rPr>
                <w:color w:val="000000"/>
                <w:sz w:val="20"/>
                <w:szCs w:val="20"/>
              </w:rPr>
              <w:t>33.1</w:t>
            </w:r>
          </w:p>
        </w:tc>
      </w:tr>
      <w:tr w:rsidR="008D3CDC" w:rsidRPr="0095162E" w14:paraId="785F5A34" w14:textId="77777777" w:rsidTr="000754F4">
        <w:trPr>
          <w:trHeight w:hRule="exact" w:val="230"/>
        </w:trPr>
        <w:tc>
          <w:tcPr>
            <w:tcW w:w="2947" w:type="dxa"/>
            <w:gridSpan w:val="2"/>
            <w:tcBorders>
              <w:left w:val="single" w:sz="18" w:space="0" w:color="auto"/>
            </w:tcBorders>
          </w:tcPr>
          <w:p w14:paraId="7D469C3C" w14:textId="77777777" w:rsidR="008D3CDC" w:rsidRPr="0095162E" w:rsidRDefault="008D3CDC" w:rsidP="000754F4">
            <w:pPr>
              <w:spacing w:after="200"/>
              <w:rPr>
                <w:b/>
                <w:bCs/>
                <w:color w:val="000000"/>
                <w:sz w:val="20"/>
                <w:szCs w:val="20"/>
              </w:rPr>
            </w:pPr>
            <w:r w:rsidRPr="0095162E">
              <w:rPr>
                <w:color w:val="000000"/>
                <w:sz w:val="20"/>
                <w:szCs w:val="20"/>
              </w:rPr>
              <w:t xml:space="preserve">  Hispanic</w:t>
            </w:r>
          </w:p>
        </w:tc>
        <w:tc>
          <w:tcPr>
            <w:tcW w:w="810" w:type="dxa"/>
          </w:tcPr>
          <w:p w14:paraId="18E4A73B" w14:textId="77777777" w:rsidR="008D3CDC" w:rsidRPr="0095162E" w:rsidRDefault="008D3CDC" w:rsidP="000754F4">
            <w:pPr>
              <w:tabs>
                <w:tab w:val="decimal" w:pos="360"/>
              </w:tabs>
              <w:spacing w:after="200"/>
              <w:rPr>
                <w:b/>
                <w:bCs/>
                <w:color w:val="000000"/>
                <w:sz w:val="20"/>
                <w:szCs w:val="20"/>
              </w:rPr>
            </w:pPr>
            <w:r w:rsidRPr="0095162E">
              <w:rPr>
                <w:color w:val="000000"/>
                <w:sz w:val="20"/>
                <w:szCs w:val="20"/>
              </w:rPr>
              <w:t>19.2</w:t>
            </w:r>
          </w:p>
        </w:tc>
        <w:tc>
          <w:tcPr>
            <w:tcW w:w="630" w:type="dxa"/>
            <w:tcBorders>
              <w:right w:val="single" w:sz="18" w:space="0" w:color="auto"/>
            </w:tcBorders>
          </w:tcPr>
          <w:p w14:paraId="16F0389C" w14:textId="77777777" w:rsidR="008D3CDC" w:rsidRPr="0095162E" w:rsidRDefault="008D3CDC" w:rsidP="000754F4">
            <w:pPr>
              <w:tabs>
                <w:tab w:val="decimal" w:pos="288"/>
              </w:tabs>
              <w:spacing w:after="200"/>
              <w:rPr>
                <w:color w:val="000000" w:themeColor="text1"/>
                <w:sz w:val="20"/>
                <w:szCs w:val="20"/>
              </w:rPr>
            </w:pPr>
            <w:r w:rsidRPr="0095162E">
              <w:rPr>
                <w:color w:val="000000" w:themeColor="text1"/>
                <w:sz w:val="20"/>
                <w:szCs w:val="20"/>
              </w:rPr>
              <w:t>19.3</w:t>
            </w:r>
          </w:p>
        </w:tc>
        <w:tc>
          <w:tcPr>
            <w:tcW w:w="3510" w:type="dxa"/>
            <w:tcBorders>
              <w:left w:val="single" w:sz="18" w:space="0" w:color="auto"/>
            </w:tcBorders>
          </w:tcPr>
          <w:p w14:paraId="18B878AA" w14:textId="77777777" w:rsidR="008D3CDC" w:rsidRPr="0095162E" w:rsidRDefault="008D3CDC" w:rsidP="000754F4">
            <w:pPr>
              <w:spacing w:after="200"/>
              <w:rPr>
                <w:color w:val="000000" w:themeColor="text1"/>
                <w:sz w:val="20"/>
                <w:szCs w:val="20"/>
              </w:rPr>
            </w:pPr>
            <w:r w:rsidRPr="0095162E">
              <w:rPr>
                <w:color w:val="000000" w:themeColor="text1"/>
                <w:sz w:val="20"/>
                <w:szCs w:val="20"/>
              </w:rPr>
              <w:t xml:space="preserve">  Two</w:t>
            </w:r>
          </w:p>
        </w:tc>
        <w:tc>
          <w:tcPr>
            <w:tcW w:w="810" w:type="dxa"/>
          </w:tcPr>
          <w:p w14:paraId="77F9C9E0" w14:textId="77777777" w:rsidR="008D3CDC" w:rsidRPr="0095162E" w:rsidRDefault="008D3CDC" w:rsidP="000754F4">
            <w:pPr>
              <w:tabs>
                <w:tab w:val="decimal" w:pos="360"/>
              </w:tabs>
              <w:spacing w:after="200"/>
              <w:rPr>
                <w:color w:val="000000" w:themeColor="text1"/>
                <w:sz w:val="20"/>
                <w:szCs w:val="20"/>
              </w:rPr>
            </w:pPr>
            <w:r w:rsidRPr="0095162E">
              <w:rPr>
                <w:color w:val="000000" w:themeColor="text1"/>
                <w:sz w:val="20"/>
                <w:szCs w:val="20"/>
              </w:rPr>
              <w:t>32.</w:t>
            </w:r>
            <w:r>
              <w:rPr>
                <w:color w:val="000000" w:themeColor="text1"/>
                <w:sz w:val="20"/>
                <w:szCs w:val="20"/>
              </w:rPr>
              <w:t>9</w:t>
            </w:r>
          </w:p>
        </w:tc>
        <w:tc>
          <w:tcPr>
            <w:tcW w:w="607" w:type="dxa"/>
            <w:tcBorders>
              <w:right w:val="single" w:sz="18" w:space="0" w:color="auto"/>
            </w:tcBorders>
          </w:tcPr>
          <w:p w14:paraId="44C29873" w14:textId="77777777" w:rsidR="008D3CDC" w:rsidRPr="0095162E" w:rsidRDefault="008D3CDC" w:rsidP="000754F4">
            <w:pPr>
              <w:tabs>
                <w:tab w:val="decimal" w:pos="288"/>
              </w:tabs>
              <w:spacing w:after="200"/>
              <w:rPr>
                <w:color w:val="000000"/>
                <w:sz w:val="20"/>
                <w:szCs w:val="20"/>
              </w:rPr>
            </w:pPr>
            <w:r w:rsidRPr="0095162E">
              <w:rPr>
                <w:color w:val="000000"/>
                <w:sz w:val="20"/>
                <w:szCs w:val="20"/>
              </w:rPr>
              <w:t>36.6</w:t>
            </w:r>
          </w:p>
        </w:tc>
      </w:tr>
      <w:tr w:rsidR="008D3CDC" w:rsidRPr="0095162E" w14:paraId="196C25A2" w14:textId="77777777" w:rsidTr="000754F4">
        <w:trPr>
          <w:trHeight w:hRule="exact" w:val="230"/>
        </w:trPr>
        <w:tc>
          <w:tcPr>
            <w:tcW w:w="2947" w:type="dxa"/>
            <w:gridSpan w:val="2"/>
            <w:tcBorders>
              <w:left w:val="single" w:sz="18" w:space="0" w:color="auto"/>
              <w:bottom w:val="single" w:sz="18" w:space="0" w:color="auto"/>
            </w:tcBorders>
          </w:tcPr>
          <w:p w14:paraId="7D146257" w14:textId="77777777" w:rsidR="008D3CDC" w:rsidRPr="0095162E" w:rsidRDefault="008D3CDC" w:rsidP="000754F4">
            <w:pPr>
              <w:spacing w:after="200"/>
              <w:rPr>
                <w:color w:val="000000"/>
                <w:sz w:val="20"/>
                <w:szCs w:val="20"/>
              </w:rPr>
            </w:pPr>
            <w:r w:rsidRPr="0095162E">
              <w:rPr>
                <w:color w:val="000000"/>
                <w:sz w:val="20"/>
                <w:szCs w:val="20"/>
              </w:rPr>
              <w:t xml:space="preserve">  Non-Hispanic</w:t>
            </w:r>
          </w:p>
        </w:tc>
        <w:tc>
          <w:tcPr>
            <w:tcW w:w="810" w:type="dxa"/>
            <w:tcBorders>
              <w:bottom w:val="single" w:sz="18" w:space="0" w:color="auto"/>
            </w:tcBorders>
          </w:tcPr>
          <w:p w14:paraId="120DA1B7" w14:textId="77777777" w:rsidR="008D3CDC" w:rsidRPr="0095162E" w:rsidRDefault="008D3CDC" w:rsidP="000754F4">
            <w:pPr>
              <w:tabs>
                <w:tab w:val="decimal" w:pos="360"/>
              </w:tabs>
              <w:spacing w:after="200"/>
              <w:rPr>
                <w:color w:val="000000"/>
                <w:sz w:val="20"/>
                <w:szCs w:val="20"/>
              </w:rPr>
            </w:pPr>
            <w:r w:rsidRPr="0095162E">
              <w:rPr>
                <w:color w:val="000000"/>
                <w:sz w:val="20"/>
                <w:szCs w:val="20"/>
              </w:rPr>
              <w:t>80.8</w:t>
            </w:r>
          </w:p>
        </w:tc>
        <w:tc>
          <w:tcPr>
            <w:tcW w:w="630" w:type="dxa"/>
            <w:tcBorders>
              <w:bottom w:val="single" w:sz="18" w:space="0" w:color="auto"/>
              <w:right w:val="single" w:sz="18" w:space="0" w:color="auto"/>
            </w:tcBorders>
          </w:tcPr>
          <w:p w14:paraId="30019192" w14:textId="77777777" w:rsidR="008D3CDC" w:rsidRPr="0095162E" w:rsidRDefault="008D3CDC" w:rsidP="000754F4">
            <w:pPr>
              <w:tabs>
                <w:tab w:val="decimal" w:pos="288"/>
              </w:tabs>
              <w:spacing w:after="200"/>
              <w:rPr>
                <w:color w:val="000000" w:themeColor="text1"/>
                <w:sz w:val="20"/>
                <w:szCs w:val="20"/>
              </w:rPr>
            </w:pPr>
            <w:r w:rsidRPr="0095162E">
              <w:rPr>
                <w:color w:val="000000" w:themeColor="text1"/>
                <w:sz w:val="20"/>
                <w:szCs w:val="20"/>
              </w:rPr>
              <w:t>80.7</w:t>
            </w:r>
          </w:p>
        </w:tc>
        <w:tc>
          <w:tcPr>
            <w:tcW w:w="3510" w:type="dxa"/>
            <w:tcBorders>
              <w:left w:val="single" w:sz="18" w:space="0" w:color="auto"/>
              <w:bottom w:val="single" w:sz="18" w:space="0" w:color="auto"/>
            </w:tcBorders>
          </w:tcPr>
          <w:p w14:paraId="473A4855" w14:textId="77777777" w:rsidR="008D3CDC" w:rsidRPr="0095162E" w:rsidRDefault="008D3CDC" w:rsidP="000754F4">
            <w:pPr>
              <w:spacing w:after="200"/>
              <w:rPr>
                <w:color w:val="000000" w:themeColor="text1"/>
                <w:sz w:val="20"/>
                <w:szCs w:val="20"/>
              </w:rPr>
            </w:pPr>
            <w:r w:rsidRPr="0095162E">
              <w:rPr>
                <w:color w:val="000000" w:themeColor="text1"/>
                <w:sz w:val="20"/>
                <w:szCs w:val="20"/>
              </w:rPr>
              <w:t xml:space="preserve">  Three or more</w:t>
            </w:r>
          </w:p>
        </w:tc>
        <w:tc>
          <w:tcPr>
            <w:tcW w:w="810" w:type="dxa"/>
            <w:tcBorders>
              <w:bottom w:val="single" w:sz="18" w:space="0" w:color="auto"/>
            </w:tcBorders>
          </w:tcPr>
          <w:p w14:paraId="21F5CADC" w14:textId="77777777" w:rsidR="008D3CDC" w:rsidRPr="0095162E" w:rsidRDefault="008D3CDC" w:rsidP="000754F4">
            <w:pPr>
              <w:tabs>
                <w:tab w:val="decimal" w:pos="360"/>
              </w:tabs>
              <w:spacing w:after="200"/>
              <w:rPr>
                <w:color w:val="000000" w:themeColor="text1"/>
                <w:sz w:val="20"/>
                <w:szCs w:val="20"/>
              </w:rPr>
            </w:pPr>
            <w:r w:rsidRPr="0095162E">
              <w:rPr>
                <w:color w:val="000000" w:themeColor="text1"/>
                <w:sz w:val="20"/>
                <w:szCs w:val="20"/>
              </w:rPr>
              <w:t>12.2</w:t>
            </w:r>
          </w:p>
        </w:tc>
        <w:tc>
          <w:tcPr>
            <w:tcW w:w="607" w:type="dxa"/>
            <w:tcBorders>
              <w:right w:val="single" w:sz="18" w:space="0" w:color="auto"/>
            </w:tcBorders>
          </w:tcPr>
          <w:p w14:paraId="6D741590" w14:textId="77777777" w:rsidR="008D3CDC" w:rsidRPr="0095162E" w:rsidRDefault="008D3CDC" w:rsidP="000754F4">
            <w:pPr>
              <w:tabs>
                <w:tab w:val="decimal" w:pos="288"/>
              </w:tabs>
              <w:spacing w:after="200"/>
              <w:rPr>
                <w:color w:val="000000"/>
                <w:sz w:val="20"/>
                <w:szCs w:val="20"/>
              </w:rPr>
            </w:pPr>
            <w:r w:rsidRPr="0095162E">
              <w:rPr>
                <w:color w:val="000000"/>
                <w:sz w:val="20"/>
                <w:szCs w:val="20"/>
              </w:rPr>
              <w:t>21.9</w:t>
            </w:r>
          </w:p>
        </w:tc>
      </w:tr>
      <w:tr w:rsidR="008D3CDC" w:rsidRPr="0095162E" w14:paraId="5DF96615" w14:textId="77777777" w:rsidTr="000754F4">
        <w:trPr>
          <w:trHeight w:hRule="exact" w:val="259"/>
        </w:trPr>
        <w:tc>
          <w:tcPr>
            <w:tcW w:w="9314" w:type="dxa"/>
            <w:gridSpan w:val="7"/>
            <w:tcBorders>
              <w:top w:val="single" w:sz="18" w:space="0" w:color="auto"/>
              <w:left w:val="single" w:sz="18" w:space="0" w:color="auto"/>
              <w:bottom w:val="single" w:sz="8" w:space="0" w:color="auto"/>
              <w:right w:val="single" w:sz="18" w:space="0" w:color="auto"/>
            </w:tcBorders>
          </w:tcPr>
          <w:p w14:paraId="64EC761D" w14:textId="4C08D321" w:rsidR="008D3CDC" w:rsidRPr="0095162E" w:rsidRDefault="008D3CDC" w:rsidP="000754F4">
            <w:pPr>
              <w:tabs>
                <w:tab w:val="decimal" w:pos="425"/>
              </w:tabs>
              <w:spacing w:after="200"/>
              <w:jc w:val="center"/>
              <w:rPr>
                <w:b/>
                <w:bCs/>
                <w:i/>
                <w:iCs/>
                <w:color w:val="000000"/>
                <w:sz w:val="20"/>
                <w:szCs w:val="20"/>
              </w:rPr>
            </w:pPr>
            <w:r w:rsidRPr="0095162E">
              <w:rPr>
                <w:b/>
                <w:bCs/>
                <w:i/>
                <w:iCs/>
                <w:color w:val="000000"/>
                <w:sz w:val="20"/>
                <w:szCs w:val="20"/>
              </w:rPr>
              <w:t>Geographic context represented by the respondent</w:t>
            </w:r>
            <w:r w:rsidR="000D7001">
              <w:rPr>
                <w:b/>
                <w:bCs/>
                <w:i/>
                <w:iCs/>
                <w:color w:val="000000"/>
                <w:sz w:val="20"/>
                <w:szCs w:val="20"/>
              </w:rPr>
              <w:t>’</w:t>
            </w:r>
            <w:r w:rsidRPr="0095162E">
              <w:rPr>
                <w:b/>
                <w:bCs/>
                <w:i/>
                <w:iCs/>
                <w:color w:val="000000"/>
                <w:sz w:val="20"/>
                <w:szCs w:val="20"/>
              </w:rPr>
              <w:t xml:space="preserve">s </w:t>
            </w:r>
            <w:r>
              <w:rPr>
                <w:b/>
                <w:bCs/>
                <w:i/>
                <w:iCs/>
                <w:color w:val="000000"/>
                <w:sz w:val="20"/>
                <w:szCs w:val="20"/>
              </w:rPr>
              <w:t>c</w:t>
            </w:r>
            <w:r w:rsidRPr="0095162E">
              <w:rPr>
                <w:b/>
                <w:bCs/>
                <w:i/>
                <w:iCs/>
                <w:color w:val="000000"/>
                <w:sz w:val="20"/>
                <w:szCs w:val="20"/>
              </w:rPr>
              <w:t>ensus division of residence</w:t>
            </w:r>
            <w:r w:rsidRPr="00A57417">
              <w:rPr>
                <w:b/>
                <w:bCs/>
                <w:i/>
                <w:iCs/>
                <w:color w:val="000000"/>
                <w:sz w:val="20"/>
                <w:szCs w:val="20"/>
                <w:vertAlign w:val="superscript"/>
              </w:rPr>
              <w:t>‡</w:t>
            </w:r>
          </w:p>
          <w:p w14:paraId="5E7C3490" w14:textId="77777777" w:rsidR="008D3CDC" w:rsidRPr="0095162E" w:rsidRDefault="008D3CDC" w:rsidP="000754F4">
            <w:pPr>
              <w:tabs>
                <w:tab w:val="decimal" w:pos="425"/>
              </w:tabs>
              <w:spacing w:after="200"/>
              <w:jc w:val="center"/>
              <w:rPr>
                <w:b/>
                <w:bCs/>
                <w:i/>
                <w:iCs/>
                <w:color w:val="000000" w:themeColor="text1"/>
                <w:sz w:val="20"/>
                <w:szCs w:val="20"/>
              </w:rPr>
            </w:pPr>
          </w:p>
        </w:tc>
      </w:tr>
      <w:tr w:rsidR="008D3CDC" w:rsidRPr="0095162E" w14:paraId="3ECE0B0B" w14:textId="77777777" w:rsidTr="000754F4">
        <w:trPr>
          <w:trHeight w:hRule="exact" w:val="230"/>
        </w:trPr>
        <w:tc>
          <w:tcPr>
            <w:tcW w:w="2947" w:type="dxa"/>
            <w:gridSpan w:val="2"/>
            <w:tcBorders>
              <w:top w:val="single" w:sz="8" w:space="0" w:color="auto"/>
              <w:left w:val="single" w:sz="18" w:space="0" w:color="auto"/>
            </w:tcBorders>
          </w:tcPr>
          <w:p w14:paraId="43CE1170" w14:textId="77777777" w:rsidR="008D3CDC" w:rsidRPr="0095162E" w:rsidRDefault="008D3CDC" w:rsidP="000754F4">
            <w:pPr>
              <w:spacing w:after="200"/>
              <w:rPr>
                <w:color w:val="000000"/>
                <w:sz w:val="20"/>
                <w:szCs w:val="20"/>
              </w:rPr>
            </w:pPr>
            <w:r w:rsidRPr="0095162E">
              <w:rPr>
                <w:color w:val="000000"/>
                <w:sz w:val="20"/>
                <w:szCs w:val="20"/>
              </w:rPr>
              <w:t xml:space="preserve">  New England</w:t>
            </w:r>
          </w:p>
        </w:tc>
        <w:tc>
          <w:tcPr>
            <w:tcW w:w="810" w:type="dxa"/>
            <w:tcBorders>
              <w:top w:val="single" w:sz="8" w:space="0" w:color="auto"/>
            </w:tcBorders>
          </w:tcPr>
          <w:p w14:paraId="537FDF69" w14:textId="77777777" w:rsidR="008D3CDC" w:rsidRPr="0095162E" w:rsidRDefault="008D3CDC" w:rsidP="000754F4">
            <w:pPr>
              <w:tabs>
                <w:tab w:val="decimal" w:pos="360"/>
              </w:tabs>
              <w:spacing w:after="200"/>
              <w:rPr>
                <w:color w:val="000000"/>
                <w:sz w:val="20"/>
                <w:szCs w:val="20"/>
              </w:rPr>
            </w:pPr>
            <w:r w:rsidRPr="0095162E">
              <w:rPr>
                <w:color w:val="000000"/>
                <w:sz w:val="20"/>
                <w:szCs w:val="20"/>
              </w:rPr>
              <w:t>7.2</w:t>
            </w:r>
          </w:p>
        </w:tc>
        <w:tc>
          <w:tcPr>
            <w:tcW w:w="630" w:type="dxa"/>
            <w:tcBorders>
              <w:top w:val="single" w:sz="8" w:space="0" w:color="auto"/>
            </w:tcBorders>
          </w:tcPr>
          <w:p w14:paraId="6BAAA44C" w14:textId="77777777" w:rsidR="008D3CDC" w:rsidRPr="0095162E" w:rsidRDefault="008D3CDC" w:rsidP="000754F4">
            <w:pPr>
              <w:tabs>
                <w:tab w:val="decimal" w:pos="288"/>
              </w:tabs>
              <w:spacing w:after="200"/>
              <w:rPr>
                <w:color w:val="000000"/>
                <w:sz w:val="20"/>
                <w:szCs w:val="20"/>
              </w:rPr>
            </w:pPr>
            <w:r w:rsidRPr="0095162E">
              <w:rPr>
                <w:color w:val="000000"/>
                <w:sz w:val="20"/>
                <w:szCs w:val="20"/>
              </w:rPr>
              <w:t>4.7</w:t>
            </w:r>
          </w:p>
        </w:tc>
        <w:tc>
          <w:tcPr>
            <w:tcW w:w="3510" w:type="dxa"/>
            <w:tcBorders>
              <w:top w:val="single" w:sz="8" w:space="0" w:color="auto"/>
            </w:tcBorders>
          </w:tcPr>
          <w:p w14:paraId="0C6DD9B2" w14:textId="77777777" w:rsidR="008D3CDC" w:rsidRPr="0095162E" w:rsidRDefault="008D3CDC" w:rsidP="000754F4">
            <w:pPr>
              <w:spacing w:after="200"/>
              <w:rPr>
                <w:color w:val="000000"/>
                <w:sz w:val="20"/>
                <w:szCs w:val="20"/>
              </w:rPr>
            </w:pPr>
            <w:r w:rsidRPr="0095162E">
              <w:rPr>
                <w:color w:val="000000"/>
                <w:sz w:val="20"/>
                <w:szCs w:val="20"/>
              </w:rPr>
              <w:t xml:space="preserve">  East South Central</w:t>
            </w:r>
          </w:p>
        </w:tc>
        <w:tc>
          <w:tcPr>
            <w:tcW w:w="810" w:type="dxa"/>
            <w:tcBorders>
              <w:top w:val="single" w:sz="8" w:space="0" w:color="auto"/>
            </w:tcBorders>
          </w:tcPr>
          <w:p w14:paraId="6D452C4C" w14:textId="77777777" w:rsidR="008D3CDC" w:rsidRPr="0095162E" w:rsidRDefault="008D3CDC" w:rsidP="000754F4">
            <w:pPr>
              <w:tabs>
                <w:tab w:val="decimal" w:pos="360"/>
              </w:tabs>
              <w:spacing w:after="200"/>
              <w:rPr>
                <w:color w:val="000000"/>
                <w:sz w:val="20"/>
                <w:szCs w:val="20"/>
              </w:rPr>
            </w:pPr>
            <w:r w:rsidRPr="0095162E">
              <w:rPr>
                <w:color w:val="000000"/>
                <w:sz w:val="20"/>
                <w:szCs w:val="20"/>
              </w:rPr>
              <w:t>9.0</w:t>
            </w:r>
          </w:p>
        </w:tc>
        <w:tc>
          <w:tcPr>
            <w:tcW w:w="607" w:type="dxa"/>
            <w:tcBorders>
              <w:top w:val="single" w:sz="8" w:space="0" w:color="auto"/>
              <w:right w:val="single" w:sz="18" w:space="0" w:color="auto"/>
            </w:tcBorders>
          </w:tcPr>
          <w:p w14:paraId="11C14703" w14:textId="77777777" w:rsidR="008D3CDC" w:rsidRPr="0095162E" w:rsidRDefault="008D3CDC" w:rsidP="000754F4">
            <w:pPr>
              <w:tabs>
                <w:tab w:val="decimal" w:pos="288"/>
              </w:tabs>
              <w:spacing w:after="200"/>
              <w:rPr>
                <w:color w:val="000000"/>
                <w:sz w:val="20"/>
                <w:szCs w:val="20"/>
              </w:rPr>
            </w:pPr>
            <w:r w:rsidRPr="0095162E">
              <w:rPr>
                <w:color w:val="000000"/>
                <w:sz w:val="20"/>
                <w:szCs w:val="20"/>
              </w:rPr>
              <w:t>5.8</w:t>
            </w:r>
          </w:p>
        </w:tc>
      </w:tr>
      <w:tr w:rsidR="008D3CDC" w:rsidRPr="0095162E" w14:paraId="394E562E" w14:textId="77777777" w:rsidTr="000754F4">
        <w:trPr>
          <w:trHeight w:hRule="exact" w:val="230"/>
        </w:trPr>
        <w:tc>
          <w:tcPr>
            <w:tcW w:w="2947" w:type="dxa"/>
            <w:gridSpan w:val="2"/>
            <w:tcBorders>
              <w:left w:val="single" w:sz="18" w:space="0" w:color="auto"/>
            </w:tcBorders>
          </w:tcPr>
          <w:p w14:paraId="018A6D62" w14:textId="77777777" w:rsidR="008D3CDC" w:rsidRPr="0095162E" w:rsidRDefault="008D3CDC" w:rsidP="000754F4">
            <w:pPr>
              <w:spacing w:after="200"/>
              <w:rPr>
                <w:color w:val="000000"/>
                <w:sz w:val="20"/>
                <w:szCs w:val="20"/>
              </w:rPr>
            </w:pPr>
            <w:r w:rsidRPr="0095162E">
              <w:rPr>
                <w:color w:val="000000"/>
                <w:sz w:val="20"/>
                <w:szCs w:val="20"/>
              </w:rPr>
              <w:t xml:space="preserve">  Middle Atlantic</w:t>
            </w:r>
          </w:p>
        </w:tc>
        <w:tc>
          <w:tcPr>
            <w:tcW w:w="810" w:type="dxa"/>
          </w:tcPr>
          <w:p w14:paraId="3692E78C" w14:textId="77777777" w:rsidR="008D3CDC" w:rsidRPr="0095162E" w:rsidRDefault="008D3CDC" w:rsidP="000754F4">
            <w:pPr>
              <w:tabs>
                <w:tab w:val="decimal" w:pos="360"/>
              </w:tabs>
              <w:spacing w:after="200"/>
              <w:rPr>
                <w:color w:val="000000"/>
                <w:sz w:val="20"/>
                <w:szCs w:val="20"/>
              </w:rPr>
            </w:pPr>
            <w:r w:rsidRPr="0095162E">
              <w:rPr>
                <w:color w:val="000000"/>
                <w:sz w:val="20"/>
                <w:szCs w:val="20"/>
              </w:rPr>
              <w:t>13.5</w:t>
            </w:r>
          </w:p>
        </w:tc>
        <w:tc>
          <w:tcPr>
            <w:tcW w:w="630" w:type="dxa"/>
          </w:tcPr>
          <w:p w14:paraId="3CC9C060" w14:textId="77777777" w:rsidR="008D3CDC" w:rsidRPr="0095162E" w:rsidRDefault="008D3CDC" w:rsidP="000754F4">
            <w:pPr>
              <w:tabs>
                <w:tab w:val="decimal" w:pos="288"/>
              </w:tabs>
              <w:spacing w:after="200"/>
              <w:rPr>
                <w:color w:val="000000"/>
                <w:sz w:val="20"/>
                <w:szCs w:val="20"/>
              </w:rPr>
            </w:pPr>
            <w:r w:rsidRPr="0095162E">
              <w:rPr>
                <w:color w:val="000000"/>
                <w:sz w:val="20"/>
                <w:szCs w:val="20"/>
              </w:rPr>
              <w:t>12.8</w:t>
            </w:r>
          </w:p>
        </w:tc>
        <w:tc>
          <w:tcPr>
            <w:tcW w:w="3510" w:type="dxa"/>
          </w:tcPr>
          <w:p w14:paraId="22E5F200" w14:textId="77777777" w:rsidR="008D3CDC" w:rsidRPr="0095162E" w:rsidRDefault="008D3CDC" w:rsidP="000754F4">
            <w:pPr>
              <w:spacing w:after="200"/>
              <w:rPr>
                <w:color w:val="000000"/>
                <w:sz w:val="20"/>
                <w:szCs w:val="20"/>
              </w:rPr>
            </w:pPr>
            <w:r w:rsidRPr="0095162E">
              <w:rPr>
                <w:color w:val="000000"/>
                <w:sz w:val="20"/>
                <w:szCs w:val="20"/>
              </w:rPr>
              <w:t xml:space="preserve">  West South Central</w:t>
            </w:r>
          </w:p>
        </w:tc>
        <w:tc>
          <w:tcPr>
            <w:tcW w:w="810" w:type="dxa"/>
          </w:tcPr>
          <w:p w14:paraId="6A81BCA5" w14:textId="77777777" w:rsidR="008D3CDC" w:rsidRPr="0095162E" w:rsidRDefault="008D3CDC" w:rsidP="000754F4">
            <w:pPr>
              <w:tabs>
                <w:tab w:val="decimal" w:pos="360"/>
              </w:tabs>
              <w:spacing w:after="200"/>
              <w:rPr>
                <w:color w:val="000000"/>
                <w:sz w:val="20"/>
                <w:szCs w:val="20"/>
              </w:rPr>
            </w:pPr>
            <w:r w:rsidRPr="0095162E">
              <w:rPr>
                <w:color w:val="000000"/>
                <w:sz w:val="20"/>
                <w:szCs w:val="20"/>
              </w:rPr>
              <w:t>13.</w:t>
            </w:r>
            <w:r>
              <w:rPr>
                <w:color w:val="000000"/>
                <w:sz w:val="20"/>
                <w:szCs w:val="20"/>
              </w:rPr>
              <w:t>6</w:t>
            </w:r>
          </w:p>
        </w:tc>
        <w:tc>
          <w:tcPr>
            <w:tcW w:w="607" w:type="dxa"/>
            <w:tcBorders>
              <w:right w:val="single" w:sz="18" w:space="0" w:color="auto"/>
            </w:tcBorders>
          </w:tcPr>
          <w:p w14:paraId="0E2EED32" w14:textId="77777777" w:rsidR="008D3CDC" w:rsidRPr="0095162E" w:rsidRDefault="008D3CDC" w:rsidP="000754F4">
            <w:pPr>
              <w:tabs>
                <w:tab w:val="decimal" w:pos="288"/>
              </w:tabs>
              <w:spacing w:after="200"/>
              <w:rPr>
                <w:color w:val="000000"/>
                <w:sz w:val="20"/>
                <w:szCs w:val="20"/>
              </w:rPr>
            </w:pPr>
            <w:r w:rsidRPr="0095162E">
              <w:rPr>
                <w:color w:val="000000"/>
                <w:sz w:val="20"/>
                <w:szCs w:val="20"/>
              </w:rPr>
              <w:t>12.1</w:t>
            </w:r>
          </w:p>
        </w:tc>
      </w:tr>
      <w:tr w:rsidR="008D3CDC" w:rsidRPr="0095162E" w14:paraId="73D2EF04" w14:textId="77777777" w:rsidTr="000754F4">
        <w:trPr>
          <w:trHeight w:hRule="exact" w:val="230"/>
        </w:trPr>
        <w:tc>
          <w:tcPr>
            <w:tcW w:w="2947" w:type="dxa"/>
            <w:gridSpan w:val="2"/>
            <w:tcBorders>
              <w:left w:val="single" w:sz="18" w:space="0" w:color="auto"/>
            </w:tcBorders>
          </w:tcPr>
          <w:p w14:paraId="0D4CF356" w14:textId="77777777" w:rsidR="008D3CDC" w:rsidRPr="0095162E" w:rsidRDefault="008D3CDC" w:rsidP="000754F4">
            <w:pPr>
              <w:spacing w:after="200"/>
              <w:rPr>
                <w:color w:val="000000"/>
                <w:sz w:val="20"/>
                <w:szCs w:val="20"/>
              </w:rPr>
            </w:pPr>
            <w:r w:rsidRPr="0095162E">
              <w:rPr>
                <w:color w:val="000000"/>
                <w:sz w:val="20"/>
                <w:szCs w:val="20"/>
              </w:rPr>
              <w:t xml:space="preserve">  East North Central</w:t>
            </w:r>
          </w:p>
        </w:tc>
        <w:tc>
          <w:tcPr>
            <w:tcW w:w="810" w:type="dxa"/>
          </w:tcPr>
          <w:p w14:paraId="5C1FEECD" w14:textId="77777777" w:rsidR="008D3CDC" w:rsidRPr="0095162E" w:rsidRDefault="008D3CDC" w:rsidP="000754F4">
            <w:pPr>
              <w:tabs>
                <w:tab w:val="decimal" w:pos="360"/>
              </w:tabs>
              <w:spacing w:after="200"/>
              <w:rPr>
                <w:color w:val="000000"/>
                <w:sz w:val="20"/>
                <w:szCs w:val="20"/>
              </w:rPr>
            </w:pPr>
            <w:r w:rsidRPr="0095162E">
              <w:rPr>
                <w:color w:val="000000"/>
                <w:sz w:val="20"/>
                <w:szCs w:val="20"/>
              </w:rPr>
              <w:t>13.2</w:t>
            </w:r>
          </w:p>
        </w:tc>
        <w:tc>
          <w:tcPr>
            <w:tcW w:w="630" w:type="dxa"/>
          </w:tcPr>
          <w:p w14:paraId="50191007" w14:textId="77777777" w:rsidR="008D3CDC" w:rsidRPr="0095162E" w:rsidRDefault="008D3CDC" w:rsidP="000754F4">
            <w:pPr>
              <w:tabs>
                <w:tab w:val="decimal" w:pos="288"/>
              </w:tabs>
              <w:spacing w:after="200"/>
              <w:rPr>
                <w:color w:val="000000"/>
                <w:sz w:val="20"/>
                <w:szCs w:val="20"/>
              </w:rPr>
            </w:pPr>
            <w:r w:rsidRPr="0095162E">
              <w:rPr>
                <w:color w:val="000000"/>
                <w:sz w:val="20"/>
                <w:szCs w:val="20"/>
              </w:rPr>
              <w:t>14.2</w:t>
            </w:r>
          </w:p>
        </w:tc>
        <w:tc>
          <w:tcPr>
            <w:tcW w:w="3510" w:type="dxa"/>
          </w:tcPr>
          <w:p w14:paraId="6C88C969" w14:textId="77777777" w:rsidR="008D3CDC" w:rsidRPr="0095162E" w:rsidRDefault="008D3CDC" w:rsidP="000754F4">
            <w:pPr>
              <w:tabs>
                <w:tab w:val="left" w:pos="900"/>
              </w:tabs>
              <w:spacing w:after="200"/>
              <w:rPr>
                <w:color w:val="000000"/>
                <w:sz w:val="20"/>
                <w:szCs w:val="20"/>
              </w:rPr>
            </w:pPr>
            <w:r w:rsidRPr="0095162E">
              <w:rPr>
                <w:color w:val="000000"/>
                <w:sz w:val="20"/>
                <w:szCs w:val="20"/>
              </w:rPr>
              <w:t xml:space="preserve">  Mountain</w:t>
            </w:r>
            <w:r w:rsidRPr="0095162E">
              <w:rPr>
                <w:color w:val="000000"/>
                <w:sz w:val="20"/>
                <w:szCs w:val="20"/>
              </w:rPr>
              <w:tab/>
            </w:r>
          </w:p>
        </w:tc>
        <w:tc>
          <w:tcPr>
            <w:tcW w:w="810" w:type="dxa"/>
          </w:tcPr>
          <w:p w14:paraId="56A3BE6C" w14:textId="77777777" w:rsidR="008D3CDC" w:rsidRPr="0095162E" w:rsidRDefault="008D3CDC" w:rsidP="000754F4">
            <w:pPr>
              <w:tabs>
                <w:tab w:val="decimal" w:pos="360"/>
              </w:tabs>
              <w:spacing w:after="200"/>
              <w:rPr>
                <w:color w:val="000000"/>
                <w:sz w:val="20"/>
                <w:szCs w:val="20"/>
              </w:rPr>
            </w:pPr>
            <w:r w:rsidRPr="0095162E">
              <w:rPr>
                <w:color w:val="000000"/>
                <w:sz w:val="20"/>
                <w:szCs w:val="20"/>
              </w:rPr>
              <w:t>7.4</w:t>
            </w:r>
          </w:p>
        </w:tc>
        <w:tc>
          <w:tcPr>
            <w:tcW w:w="607" w:type="dxa"/>
            <w:tcBorders>
              <w:right w:val="single" w:sz="18" w:space="0" w:color="auto"/>
            </w:tcBorders>
          </w:tcPr>
          <w:p w14:paraId="62CD2A0C" w14:textId="77777777" w:rsidR="008D3CDC" w:rsidRPr="0095162E" w:rsidRDefault="008D3CDC" w:rsidP="000754F4">
            <w:pPr>
              <w:tabs>
                <w:tab w:val="decimal" w:pos="288"/>
              </w:tabs>
              <w:spacing w:after="200"/>
              <w:rPr>
                <w:color w:val="000000"/>
                <w:sz w:val="20"/>
                <w:szCs w:val="20"/>
              </w:rPr>
            </w:pPr>
            <w:r w:rsidRPr="0095162E">
              <w:rPr>
                <w:color w:val="000000"/>
                <w:sz w:val="20"/>
                <w:szCs w:val="20"/>
              </w:rPr>
              <w:t>7.6</w:t>
            </w:r>
          </w:p>
        </w:tc>
      </w:tr>
      <w:tr w:rsidR="008D3CDC" w:rsidRPr="0095162E" w14:paraId="354AD925" w14:textId="77777777" w:rsidTr="000754F4">
        <w:trPr>
          <w:trHeight w:hRule="exact" w:val="230"/>
        </w:trPr>
        <w:tc>
          <w:tcPr>
            <w:tcW w:w="2947" w:type="dxa"/>
            <w:gridSpan w:val="2"/>
            <w:tcBorders>
              <w:left w:val="single" w:sz="18" w:space="0" w:color="auto"/>
            </w:tcBorders>
          </w:tcPr>
          <w:p w14:paraId="7E28526D" w14:textId="77777777" w:rsidR="008D3CDC" w:rsidRPr="0095162E" w:rsidRDefault="008D3CDC" w:rsidP="000754F4">
            <w:pPr>
              <w:spacing w:after="200"/>
              <w:rPr>
                <w:color w:val="000000"/>
                <w:sz w:val="20"/>
                <w:szCs w:val="20"/>
              </w:rPr>
            </w:pPr>
            <w:r w:rsidRPr="0095162E">
              <w:rPr>
                <w:color w:val="000000"/>
                <w:sz w:val="20"/>
                <w:szCs w:val="20"/>
              </w:rPr>
              <w:t xml:space="preserve">  West North Central</w:t>
            </w:r>
          </w:p>
        </w:tc>
        <w:tc>
          <w:tcPr>
            <w:tcW w:w="810" w:type="dxa"/>
          </w:tcPr>
          <w:p w14:paraId="6BEF280A" w14:textId="77777777" w:rsidR="008D3CDC" w:rsidRPr="0095162E" w:rsidRDefault="008D3CDC" w:rsidP="000754F4">
            <w:pPr>
              <w:tabs>
                <w:tab w:val="decimal" w:pos="360"/>
              </w:tabs>
              <w:spacing w:after="200"/>
              <w:rPr>
                <w:color w:val="000000"/>
                <w:sz w:val="20"/>
                <w:szCs w:val="20"/>
              </w:rPr>
            </w:pPr>
            <w:r w:rsidRPr="0095162E">
              <w:rPr>
                <w:color w:val="000000"/>
                <w:sz w:val="20"/>
                <w:szCs w:val="20"/>
              </w:rPr>
              <w:t>7.7</w:t>
            </w:r>
          </w:p>
        </w:tc>
        <w:tc>
          <w:tcPr>
            <w:tcW w:w="630" w:type="dxa"/>
          </w:tcPr>
          <w:p w14:paraId="50DFFEFE" w14:textId="77777777" w:rsidR="008D3CDC" w:rsidRPr="0095162E" w:rsidRDefault="008D3CDC" w:rsidP="000754F4">
            <w:pPr>
              <w:tabs>
                <w:tab w:val="decimal" w:pos="288"/>
              </w:tabs>
              <w:spacing w:after="200"/>
              <w:rPr>
                <w:color w:val="000000"/>
                <w:sz w:val="20"/>
                <w:szCs w:val="20"/>
              </w:rPr>
            </w:pPr>
            <w:r w:rsidRPr="0095162E">
              <w:rPr>
                <w:color w:val="000000"/>
                <w:sz w:val="20"/>
                <w:szCs w:val="20"/>
              </w:rPr>
              <w:t>6.4</w:t>
            </w:r>
          </w:p>
        </w:tc>
        <w:tc>
          <w:tcPr>
            <w:tcW w:w="3510" w:type="dxa"/>
          </w:tcPr>
          <w:p w14:paraId="3C463DC0" w14:textId="77777777" w:rsidR="008D3CDC" w:rsidRPr="0095162E" w:rsidRDefault="008D3CDC" w:rsidP="000754F4">
            <w:pPr>
              <w:spacing w:after="200"/>
              <w:rPr>
                <w:color w:val="000000"/>
                <w:sz w:val="20"/>
                <w:szCs w:val="20"/>
              </w:rPr>
            </w:pPr>
            <w:r w:rsidRPr="0095162E">
              <w:rPr>
                <w:color w:val="000000"/>
                <w:sz w:val="20"/>
                <w:szCs w:val="20"/>
              </w:rPr>
              <w:t xml:space="preserve">  Pacific</w:t>
            </w:r>
          </w:p>
        </w:tc>
        <w:tc>
          <w:tcPr>
            <w:tcW w:w="810" w:type="dxa"/>
          </w:tcPr>
          <w:p w14:paraId="6DBBC2AB" w14:textId="77777777" w:rsidR="008D3CDC" w:rsidRPr="0095162E" w:rsidRDefault="008D3CDC" w:rsidP="000754F4">
            <w:pPr>
              <w:tabs>
                <w:tab w:val="decimal" w:pos="360"/>
              </w:tabs>
              <w:spacing w:after="200"/>
              <w:rPr>
                <w:color w:val="000000"/>
                <w:sz w:val="20"/>
                <w:szCs w:val="20"/>
              </w:rPr>
            </w:pPr>
            <w:r w:rsidRPr="0095162E">
              <w:rPr>
                <w:color w:val="000000"/>
                <w:sz w:val="20"/>
                <w:szCs w:val="20"/>
              </w:rPr>
              <w:t>13.6</w:t>
            </w:r>
          </w:p>
        </w:tc>
        <w:tc>
          <w:tcPr>
            <w:tcW w:w="607" w:type="dxa"/>
            <w:tcBorders>
              <w:right w:val="single" w:sz="18" w:space="0" w:color="auto"/>
            </w:tcBorders>
          </w:tcPr>
          <w:p w14:paraId="572804BE" w14:textId="77777777" w:rsidR="008D3CDC" w:rsidRPr="0095162E" w:rsidRDefault="008D3CDC" w:rsidP="000754F4">
            <w:pPr>
              <w:tabs>
                <w:tab w:val="decimal" w:pos="288"/>
              </w:tabs>
              <w:spacing w:after="200"/>
              <w:rPr>
                <w:color w:val="000000"/>
                <w:sz w:val="20"/>
                <w:szCs w:val="20"/>
              </w:rPr>
            </w:pPr>
            <w:r w:rsidRPr="0095162E">
              <w:rPr>
                <w:color w:val="000000"/>
                <w:sz w:val="20"/>
                <w:szCs w:val="20"/>
              </w:rPr>
              <w:t>16.0</w:t>
            </w:r>
          </w:p>
        </w:tc>
      </w:tr>
      <w:tr w:rsidR="008D3CDC" w:rsidRPr="0095162E" w14:paraId="2AE181C6" w14:textId="77777777" w:rsidTr="000754F4">
        <w:trPr>
          <w:trHeight w:hRule="exact" w:val="230"/>
        </w:trPr>
        <w:tc>
          <w:tcPr>
            <w:tcW w:w="2947" w:type="dxa"/>
            <w:gridSpan w:val="2"/>
            <w:tcBorders>
              <w:left w:val="single" w:sz="18" w:space="0" w:color="auto"/>
              <w:bottom w:val="single" w:sz="18" w:space="0" w:color="auto"/>
            </w:tcBorders>
          </w:tcPr>
          <w:p w14:paraId="13793E68" w14:textId="77777777" w:rsidR="008D3CDC" w:rsidRPr="0095162E" w:rsidRDefault="008D3CDC" w:rsidP="000754F4">
            <w:pPr>
              <w:spacing w:after="200"/>
              <w:rPr>
                <w:color w:val="000000"/>
                <w:sz w:val="20"/>
                <w:szCs w:val="20"/>
              </w:rPr>
            </w:pPr>
            <w:r w:rsidRPr="0095162E">
              <w:rPr>
                <w:color w:val="000000"/>
                <w:sz w:val="20"/>
                <w:szCs w:val="20"/>
              </w:rPr>
              <w:t xml:space="preserve">  South Atlantic</w:t>
            </w:r>
          </w:p>
        </w:tc>
        <w:tc>
          <w:tcPr>
            <w:tcW w:w="810" w:type="dxa"/>
            <w:tcBorders>
              <w:bottom w:val="single" w:sz="18" w:space="0" w:color="auto"/>
            </w:tcBorders>
          </w:tcPr>
          <w:p w14:paraId="2D5BC6B7" w14:textId="77777777" w:rsidR="008D3CDC" w:rsidRPr="0095162E" w:rsidRDefault="008D3CDC" w:rsidP="000754F4">
            <w:pPr>
              <w:tabs>
                <w:tab w:val="decimal" w:pos="360"/>
              </w:tabs>
              <w:spacing w:after="200"/>
              <w:rPr>
                <w:color w:val="000000"/>
                <w:sz w:val="20"/>
                <w:szCs w:val="20"/>
              </w:rPr>
            </w:pPr>
            <w:r w:rsidRPr="0095162E">
              <w:rPr>
                <w:color w:val="000000"/>
                <w:sz w:val="20"/>
                <w:szCs w:val="20"/>
              </w:rPr>
              <w:t>14.8</w:t>
            </w:r>
          </w:p>
        </w:tc>
        <w:tc>
          <w:tcPr>
            <w:tcW w:w="630" w:type="dxa"/>
            <w:tcBorders>
              <w:bottom w:val="single" w:sz="18" w:space="0" w:color="auto"/>
            </w:tcBorders>
          </w:tcPr>
          <w:p w14:paraId="34E33764" w14:textId="77777777" w:rsidR="008D3CDC" w:rsidRPr="0095162E" w:rsidRDefault="008D3CDC" w:rsidP="000754F4">
            <w:pPr>
              <w:tabs>
                <w:tab w:val="decimal" w:pos="288"/>
              </w:tabs>
              <w:spacing w:after="200"/>
              <w:rPr>
                <w:color w:val="000000"/>
                <w:sz w:val="20"/>
                <w:szCs w:val="20"/>
              </w:rPr>
            </w:pPr>
            <w:r w:rsidRPr="0095162E">
              <w:rPr>
                <w:color w:val="000000"/>
                <w:sz w:val="20"/>
                <w:szCs w:val="20"/>
              </w:rPr>
              <w:t>20.4</w:t>
            </w:r>
          </w:p>
        </w:tc>
        <w:tc>
          <w:tcPr>
            <w:tcW w:w="3510" w:type="dxa"/>
            <w:tcBorders>
              <w:bottom w:val="single" w:sz="18" w:space="0" w:color="auto"/>
            </w:tcBorders>
          </w:tcPr>
          <w:p w14:paraId="0BD0DA29" w14:textId="77777777" w:rsidR="008D3CDC" w:rsidRPr="0095162E" w:rsidRDefault="008D3CDC" w:rsidP="000754F4">
            <w:pPr>
              <w:spacing w:after="200"/>
              <w:rPr>
                <w:color w:val="000000"/>
                <w:sz w:val="20"/>
                <w:szCs w:val="20"/>
              </w:rPr>
            </w:pPr>
          </w:p>
        </w:tc>
        <w:tc>
          <w:tcPr>
            <w:tcW w:w="810" w:type="dxa"/>
            <w:tcBorders>
              <w:bottom w:val="single" w:sz="18" w:space="0" w:color="auto"/>
            </w:tcBorders>
          </w:tcPr>
          <w:p w14:paraId="664E20C6" w14:textId="77777777" w:rsidR="008D3CDC" w:rsidRPr="0095162E" w:rsidRDefault="008D3CDC" w:rsidP="000754F4">
            <w:pPr>
              <w:spacing w:after="200"/>
              <w:rPr>
                <w:color w:val="000000"/>
                <w:sz w:val="20"/>
                <w:szCs w:val="20"/>
              </w:rPr>
            </w:pPr>
          </w:p>
        </w:tc>
        <w:tc>
          <w:tcPr>
            <w:tcW w:w="607" w:type="dxa"/>
            <w:tcBorders>
              <w:bottom w:val="single" w:sz="18" w:space="0" w:color="auto"/>
              <w:right w:val="single" w:sz="18" w:space="0" w:color="auto"/>
            </w:tcBorders>
          </w:tcPr>
          <w:p w14:paraId="5E4C2983" w14:textId="77777777" w:rsidR="008D3CDC" w:rsidRPr="0095162E" w:rsidRDefault="008D3CDC" w:rsidP="000754F4">
            <w:pPr>
              <w:spacing w:after="200"/>
              <w:rPr>
                <w:color w:val="000000"/>
                <w:sz w:val="20"/>
                <w:szCs w:val="20"/>
              </w:rPr>
            </w:pPr>
          </w:p>
        </w:tc>
      </w:tr>
      <w:tr w:rsidR="008D3CDC" w:rsidRPr="0095162E" w14:paraId="2D728A96" w14:textId="77777777" w:rsidTr="000754F4">
        <w:trPr>
          <w:trHeight w:hRule="exact" w:val="259"/>
        </w:trPr>
        <w:tc>
          <w:tcPr>
            <w:tcW w:w="9314" w:type="dxa"/>
            <w:gridSpan w:val="7"/>
            <w:tcBorders>
              <w:top w:val="single" w:sz="18" w:space="0" w:color="auto"/>
              <w:left w:val="single" w:sz="18" w:space="0" w:color="auto"/>
              <w:bottom w:val="single" w:sz="8" w:space="0" w:color="auto"/>
              <w:right w:val="single" w:sz="18" w:space="0" w:color="auto"/>
            </w:tcBorders>
          </w:tcPr>
          <w:p w14:paraId="283C5416" w14:textId="77777777" w:rsidR="008D3CDC" w:rsidRPr="0095162E" w:rsidRDefault="008D3CDC" w:rsidP="000754F4">
            <w:pPr>
              <w:spacing w:after="200"/>
              <w:jc w:val="center"/>
              <w:rPr>
                <w:color w:val="000000"/>
                <w:sz w:val="20"/>
                <w:szCs w:val="20"/>
              </w:rPr>
            </w:pPr>
            <w:r w:rsidRPr="0095162E">
              <w:rPr>
                <w:b/>
                <w:bCs/>
                <w:i/>
                <w:iCs/>
                <w:color w:val="000000"/>
                <w:sz w:val="20"/>
                <w:szCs w:val="20"/>
              </w:rPr>
              <w:t>Residential built</w:t>
            </w:r>
            <w:r>
              <w:rPr>
                <w:b/>
                <w:bCs/>
                <w:i/>
                <w:iCs/>
                <w:color w:val="000000"/>
                <w:sz w:val="20"/>
                <w:szCs w:val="20"/>
              </w:rPr>
              <w:t>-</w:t>
            </w:r>
            <w:r w:rsidRPr="0095162E">
              <w:rPr>
                <w:b/>
                <w:bCs/>
                <w:i/>
                <w:iCs/>
                <w:color w:val="000000"/>
                <w:sz w:val="20"/>
                <w:szCs w:val="20"/>
              </w:rPr>
              <w:t xml:space="preserve">environment </w:t>
            </w:r>
            <w:r>
              <w:rPr>
                <w:b/>
                <w:bCs/>
                <w:i/>
                <w:iCs/>
                <w:color w:val="000000"/>
                <w:sz w:val="20"/>
                <w:szCs w:val="20"/>
              </w:rPr>
              <w:t xml:space="preserve">(BE) </w:t>
            </w:r>
            <w:r w:rsidRPr="0095162E">
              <w:rPr>
                <w:b/>
                <w:bCs/>
                <w:i/>
                <w:iCs/>
                <w:color w:val="000000"/>
                <w:sz w:val="20"/>
                <w:szCs w:val="20"/>
              </w:rPr>
              <w:t>characteristics</w:t>
            </w:r>
          </w:p>
        </w:tc>
      </w:tr>
      <w:tr w:rsidR="008D3CDC" w:rsidRPr="0095162E" w14:paraId="40DEADA3" w14:textId="77777777" w:rsidTr="000754F4">
        <w:trPr>
          <w:trHeight w:hRule="exact" w:val="230"/>
        </w:trPr>
        <w:tc>
          <w:tcPr>
            <w:tcW w:w="1867" w:type="dxa"/>
            <w:tcBorders>
              <w:top w:val="single" w:sz="8" w:space="0" w:color="auto"/>
              <w:left w:val="single" w:sz="18" w:space="0" w:color="auto"/>
              <w:bottom w:val="single" w:sz="8" w:space="0" w:color="auto"/>
              <w:right w:val="dotted" w:sz="4" w:space="0" w:color="auto"/>
            </w:tcBorders>
            <w:vAlign w:val="center"/>
          </w:tcPr>
          <w:p w14:paraId="1E3B77FB" w14:textId="77777777" w:rsidR="008D3CDC" w:rsidRPr="000633C8" w:rsidRDefault="008D3CDC" w:rsidP="000754F4">
            <w:pPr>
              <w:spacing w:after="200"/>
              <w:rPr>
                <w:b/>
                <w:bCs/>
                <w:color w:val="000000"/>
                <w:sz w:val="20"/>
                <w:szCs w:val="20"/>
              </w:rPr>
            </w:pPr>
            <w:r w:rsidRPr="000633C8">
              <w:rPr>
                <w:b/>
                <w:bCs/>
                <w:color w:val="000000"/>
                <w:sz w:val="20"/>
                <w:szCs w:val="20"/>
              </w:rPr>
              <w:t>Variable Group</w:t>
            </w:r>
          </w:p>
        </w:tc>
        <w:tc>
          <w:tcPr>
            <w:tcW w:w="2520" w:type="dxa"/>
            <w:gridSpan w:val="3"/>
            <w:tcBorders>
              <w:top w:val="single" w:sz="8" w:space="0" w:color="auto"/>
              <w:left w:val="dotted" w:sz="4" w:space="0" w:color="auto"/>
              <w:bottom w:val="single" w:sz="8" w:space="0" w:color="auto"/>
            </w:tcBorders>
          </w:tcPr>
          <w:p w14:paraId="6A76A9B4" w14:textId="77777777" w:rsidR="008D3CDC" w:rsidRPr="0095162E" w:rsidRDefault="008D3CDC" w:rsidP="000754F4">
            <w:pPr>
              <w:spacing w:after="200"/>
              <w:rPr>
                <w:b/>
                <w:bCs/>
                <w:color w:val="000000"/>
                <w:sz w:val="20"/>
                <w:szCs w:val="20"/>
              </w:rPr>
            </w:pPr>
            <w:r w:rsidRPr="000633C8">
              <w:rPr>
                <w:b/>
                <w:bCs/>
                <w:color w:val="000000"/>
                <w:sz w:val="20"/>
                <w:szCs w:val="20"/>
              </w:rPr>
              <w:t>Variable</w:t>
            </w:r>
          </w:p>
        </w:tc>
        <w:tc>
          <w:tcPr>
            <w:tcW w:w="3510" w:type="dxa"/>
            <w:tcBorders>
              <w:top w:val="single" w:sz="8" w:space="0" w:color="auto"/>
              <w:bottom w:val="single" w:sz="8" w:space="0" w:color="auto"/>
            </w:tcBorders>
          </w:tcPr>
          <w:p w14:paraId="65595034" w14:textId="77777777" w:rsidR="008D3CDC" w:rsidRPr="0095162E" w:rsidRDefault="008D3CDC" w:rsidP="000754F4">
            <w:pPr>
              <w:spacing w:after="200"/>
              <w:rPr>
                <w:b/>
                <w:bCs/>
                <w:color w:val="000000"/>
                <w:sz w:val="20"/>
                <w:szCs w:val="20"/>
              </w:rPr>
            </w:pPr>
            <w:r w:rsidRPr="0095162E">
              <w:rPr>
                <w:b/>
                <w:bCs/>
                <w:color w:val="000000"/>
                <w:sz w:val="20"/>
                <w:szCs w:val="20"/>
              </w:rPr>
              <w:t>Description</w:t>
            </w:r>
          </w:p>
        </w:tc>
        <w:tc>
          <w:tcPr>
            <w:tcW w:w="810" w:type="dxa"/>
            <w:tcBorders>
              <w:top w:val="single" w:sz="8" w:space="0" w:color="auto"/>
              <w:bottom w:val="single" w:sz="8" w:space="0" w:color="auto"/>
            </w:tcBorders>
          </w:tcPr>
          <w:p w14:paraId="2E66D7B9" w14:textId="77777777" w:rsidR="008D3CDC" w:rsidRPr="0095162E" w:rsidRDefault="008D3CDC" w:rsidP="000754F4">
            <w:pPr>
              <w:spacing w:after="200"/>
              <w:jc w:val="center"/>
              <w:rPr>
                <w:b/>
                <w:bCs/>
                <w:color w:val="000000"/>
                <w:sz w:val="20"/>
                <w:szCs w:val="20"/>
              </w:rPr>
            </w:pPr>
            <w:r w:rsidRPr="0095162E">
              <w:rPr>
                <w:b/>
                <w:bCs/>
                <w:color w:val="000000"/>
                <w:sz w:val="20"/>
                <w:szCs w:val="20"/>
              </w:rPr>
              <w:t>Mean</w:t>
            </w:r>
          </w:p>
        </w:tc>
        <w:tc>
          <w:tcPr>
            <w:tcW w:w="607" w:type="dxa"/>
            <w:tcBorders>
              <w:top w:val="single" w:sz="8" w:space="0" w:color="auto"/>
              <w:bottom w:val="single" w:sz="8" w:space="0" w:color="auto"/>
              <w:right w:val="single" w:sz="18" w:space="0" w:color="auto"/>
            </w:tcBorders>
          </w:tcPr>
          <w:p w14:paraId="3A6E9F36" w14:textId="77777777" w:rsidR="008D3CDC" w:rsidRPr="0095162E" w:rsidRDefault="008D3CDC" w:rsidP="000754F4">
            <w:pPr>
              <w:spacing w:after="200"/>
              <w:jc w:val="center"/>
              <w:rPr>
                <w:b/>
                <w:bCs/>
                <w:color w:val="000000"/>
                <w:sz w:val="20"/>
                <w:szCs w:val="20"/>
              </w:rPr>
            </w:pPr>
            <w:r w:rsidRPr="0095162E">
              <w:rPr>
                <w:b/>
                <w:bCs/>
                <w:color w:val="000000"/>
                <w:sz w:val="20"/>
                <w:szCs w:val="20"/>
              </w:rPr>
              <w:t>S</w:t>
            </w:r>
            <w:r>
              <w:rPr>
                <w:b/>
                <w:bCs/>
                <w:color w:val="000000"/>
                <w:sz w:val="20"/>
                <w:szCs w:val="20"/>
              </w:rPr>
              <w:t>D</w:t>
            </w:r>
          </w:p>
        </w:tc>
      </w:tr>
      <w:tr w:rsidR="008D3CDC" w:rsidRPr="0095162E" w14:paraId="309A699E" w14:textId="77777777" w:rsidTr="000754F4">
        <w:trPr>
          <w:trHeight w:hRule="exact" w:val="230"/>
        </w:trPr>
        <w:tc>
          <w:tcPr>
            <w:tcW w:w="1867" w:type="dxa"/>
            <w:vMerge w:val="restart"/>
            <w:tcBorders>
              <w:top w:val="single" w:sz="8" w:space="0" w:color="auto"/>
              <w:left w:val="single" w:sz="18" w:space="0" w:color="auto"/>
              <w:right w:val="dotted" w:sz="4" w:space="0" w:color="auto"/>
            </w:tcBorders>
            <w:vAlign w:val="center"/>
          </w:tcPr>
          <w:p w14:paraId="39B829F2" w14:textId="77777777" w:rsidR="008D3CDC" w:rsidRPr="0095162E" w:rsidRDefault="008D3CDC" w:rsidP="000754F4">
            <w:pPr>
              <w:spacing w:after="200"/>
              <w:rPr>
                <w:color w:val="000000"/>
                <w:sz w:val="20"/>
                <w:szCs w:val="20"/>
              </w:rPr>
            </w:pPr>
            <w:r>
              <w:rPr>
                <w:color w:val="000000"/>
                <w:sz w:val="20"/>
                <w:szCs w:val="20"/>
              </w:rPr>
              <w:t>Socio-economic variables</w:t>
            </w:r>
          </w:p>
        </w:tc>
        <w:tc>
          <w:tcPr>
            <w:tcW w:w="2520" w:type="dxa"/>
            <w:gridSpan w:val="3"/>
            <w:tcBorders>
              <w:top w:val="single" w:sz="8" w:space="0" w:color="auto"/>
              <w:left w:val="dotted" w:sz="4" w:space="0" w:color="auto"/>
            </w:tcBorders>
          </w:tcPr>
          <w:p w14:paraId="692DF9AF" w14:textId="77777777" w:rsidR="008D3CDC" w:rsidRPr="0095162E" w:rsidRDefault="008D3CDC" w:rsidP="000754F4">
            <w:pPr>
              <w:spacing w:after="200"/>
              <w:rPr>
                <w:color w:val="000000"/>
                <w:sz w:val="20"/>
                <w:szCs w:val="20"/>
              </w:rPr>
            </w:pPr>
            <w:r>
              <w:rPr>
                <w:color w:val="000000"/>
                <w:sz w:val="20"/>
                <w:szCs w:val="20"/>
              </w:rPr>
              <w:t>No</w:t>
            </w:r>
            <w:r w:rsidRPr="0095162E">
              <w:rPr>
                <w:color w:val="000000"/>
                <w:sz w:val="20"/>
                <w:szCs w:val="20"/>
              </w:rPr>
              <w:t>-vehicle households</w:t>
            </w:r>
          </w:p>
        </w:tc>
        <w:tc>
          <w:tcPr>
            <w:tcW w:w="3510" w:type="dxa"/>
            <w:tcBorders>
              <w:top w:val="single" w:sz="8" w:space="0" w:color="auto"/>
            </w:tcBorders>
          </w:tcPr>
          <w:p w14:paraId="23D0A770" w14:textId="77777777" w:rsidR="008D3CDC" w:rsidRPr="0095162E" w:rsidRDefault="008D3CDC" w:rsidP="000754F4">
            <w:pPr>
              <w:spacing w:after="200"/>
              <w:rPr>
                <w:color w:val="000000"/>
                <w:sz w:val="20"/>
                <w:szCs w:val="20"/>
              </w:rPr>
            </w:pPr>
            <w:r w:rsidRPr="0095162E">
              <w:rPr>
                <w:color w:val="000000"/>
                <w:sz w:val="20"/>
                <w:szCs w:val="20"/>
              </w:rPr>
              <w:t>Share of households with no motor vehicle</w:t>
            </w:r>
          </w:p>
        </w:tc>
        <w:tc>
          <w:tcPr>
            <w:tcW w:w="810" w:type="dxa"/>
            <w:tcBorders>
              <w:top w:val="single" w:sz="8" w:space="0" w:color="auto"/>
            </w:tcBorders>
          </w:tcPr>
          <w:p w14:paraId="16B426A4" w14:textId="77777777" w:rsidR="008D3CDC" w:rsidRPr="0095162E" w:rsidRDefault="008D3CDC" w:rsidP="000754F4">
            <w:pPr>
              <w:tabs>
                <w:tab w:val="decimal" w:pos="360"/>
              </w:tabs>
              <w:spacing w:after="200"/>
              <w:rPr>
                <w:color w:val="000000"/>
                <w:sz w:val="20"/>
                <w:szCs w:val="20"/>
              </w:rPr>
            </w:pPr>
            <w:r w:rsidRPr="0095162E">
              <w:rPr>
                <w:color w:val="000000"/>
                <w:sz w:val="20"/>
                <w:szCs w:val="20"/>
              </w:rPr>
              <w:t>0.10</w:t>
            </w:r>
          </w:p>
        </w:tc>
        <w:tc>
          <w:tcPr>
            <w:tcW w:w="607" w:type="dxa"/>
            <w:tcBorders>
              <w:top w:val="single" w:sz="8" w:space="0" w:color="auto"/>
              <w:right w:val="single" w:sz="18" w:space="0" w:color="auto"/>
            </w:tcBorders>
          </w:tcPr>
          <w:p w14:paraId="183B28D6" w14:textId="77777777" w:rsidR="008D3CDC" w:rsidRPr="0095162E" w:rsidRDefault="008D3CDC" w:rsidP="000754F4">
            <w:pPr>
              <w:tabs>
                <w:tab w:val="decimal" w:pos="288"/>
              </w:tabs>
              <w:spacing w:after="200"/>
              <w:rPr>
                <w:color w:val="000000"/>
                <w:sz w:val="20"/>
                <w:szCs w:val="20"/>
              </w:rPr>
            </w:pPr>
            <w:r w:rsidRPr="0095162E">
              <w:rPr>
                <w:color w:val="000000"/>
                <w:sz w:val="20"/>
                <w:szCs w:val="20"/>
              </w:rPr>
              <w:t>0.13</w:t>
            </w:r>
          </w:p>
        </w:tc>
      </w:tr>
      <w:tr w:rsidR="008D3CDC" w:rsidRPr="0095162E" w14:paraId="3F784CFF" w14:textId="77777777" w:rsidTr="000754F4">
        <w:trPr>
          <w:trHeight w:hRule="exact" w:val="230"/>
        </w:trPr>
        <w:tc>
          <w:tcPr>
            <w:tcW w:w="1867" w:type="dxa"/>
            <w:vMerge/>
            <w:tcBorders>
              <w:left w:val="single" w:sz="18" w:space="0" w:color="auto"/>
              <w:right w:val="dotted" w:sz="4" w:space="0" w:color="auto"/>
            </w:tcBorders>
            <w:vAlign w:val="center"/>
          </w:tcPr>
          <w:p w14:paraId="2ED29E01" w14:textId="77777777" w:rsidR="008D3CDC" w:rsidRPr="009705D7" w:rsidRDefault="008D3CDC" w:rsidP="000754F4">
            <w:pPr>
              <w:spacing w:after="200"/>
              <w:rPr>
                <w:color w:val="000000"/>
                <w:sz w:val="20"/>
                <w:szCs w:val="20"/>
              </w:rPr>
            </w:pPr>
          </w:p>
        </w:tc>
        <w:tc>
          <w:tcPr>
            <w:tcW w:w="2520" w:type="dxa"/>
            <w:gridSpan w:val="3"/>
            <w:tcBorders>
              <w:left w:val="dotted" w:sz="4" w:space="0" w:color="auto"/>
            </w:tcBorders>
          </w:tcPr>
          <w:p w14:paraId="61044A67" w14:textId="77777777" w:rsidR="008D3CDC" w:rsidRPr="009705D7" w:rsidRDefault="008D3CDC" w:rsidP="000754F4">
            <w:pPr>
              <w:spacing w:after="200"/>
              <w:rPr>
                <w:color w:val="000000"/>
                <w:sz w:val="20"/>
                <w:szCs w:val="20"/>
              </w:rPr>
            </w:pPr>
            <w:r w:rsidRPr="009705D7">
              <w:rPr>
                <w:color w:val="000000"/>
                <w:sz w:val="20"/>
                <w:szCs w:val="20"/>
              </w:rPr>
              <w:t>Low-wage workers</w:t>
            </w:r>
          </w:p>
        </w:tc>
        <w:tc>
          <w:tcPr>
            <w:tcW w:w="3510" w:type="dxa"/>
          </w:tcPr>
          <w:p w14:paraId="7CA73A8A" w14:textId="77777777" w:rsidR="008D3CDC" w:rsidRPr="009705D7" w:rsidRDefault="008D3CDC" w:rsidP="000754F4">
            <w:pPr>
              <w:spacing w:after="200"/>
              <w:rPr>
                <w:color w:val="000000"/>
                <w:sz w:val="20"/>
                <w:szCs w:val="20"/>
              </w:rPr>
            </w:pPr>
            <w:r w:rsidRPr="00C920E5">
              <w:rPr>
                <w:color w:val="000000"/>
                <w:sz w:val="20"/>
                <w:szCs w:val="20"/>
              </w:rPr>
              <w:t>Low-wage worker share</w:t>
            </w:r>
          </w:p>
        </w:tc>
        <w:tc>
          <w:tcPr>
            <w:tcW w:w="810" w:type="dxa"/>
          </w:tcPr>
          <w:p w14:paraId="367DBA44" w14:textId="77777777" w:rsidR="008D3CDC" w:rsidRPr="009705D7" w:rsidRDefault="008D3CDC" w:rsidP="000754F4">
            <w:pPr>
              <w:tabs>
                <w:tab w:val="decimal" w:pos="360"/>
              </w:tabs>
              <w:spacing w:after="200"/>
              <w:rPr>
                <w:color w:val="000000"/>
                <w:sz w:val="20"/>
                <w:szCs w:val="20"/>
              </w:rPr>
            </w:pPr>
            <w:r w:rsidRPr="009705D7">
              <w:rPr>
                <w:color w:val="000000"/>
                <w:sz w:val="20"/>
                <w:szCs w:val="20"/>
              </w:rPr>
              <w:t>0.24</w:t>
            </w:r>
          </w:p>
        </w:tc>
        <w:tc>
          <w:tcPr>
            <w:tcW w:w="607" w:type="dxa"/>
            <w:tcBorders>
              <w:right w:val="single" w:sz="18" w:space="0" w:color="auto"/>
            </w:tcBorders>
          </w:tcPr>
          <w:p w14:paraId="105F9F8B" w14:textId="77777777" w:rsidR="008D3CDC" w:rsidRPr="009705D7" w:rsidRDefault="008D3CDC" w:rsidP="000754F4">
            <w:pPr>
              <w:tabs>
                <w:tab w:val="decimal" w:pos="288"/>
              </w:tabs>
              <w:spacing w:after="200"/>
              <w:rPr>
                <w:color w:val="000000"/>
                <w:sz w:val="20"/>
                <w:szCs w:val="20"/>
              </w:rPr>
            </w:pPr>
            <w:r w:rsidRPr="009705D7">
              <w:rPr>
                <w:color w:val="000000"/>
                <w:sz w:val="20"/>
                <w:szCs w:val="20"/>
              </w:rPr>
              <w:t>0.04</w:t>
            </w:r>
          </w:p>
        </w:tc>
      </w:tr>
      <w:tr w:rsidR="008D3CDC" w:rsidRPr="0095162E" w14:paraId="7609EEBB" w14:textId="77777777" w:rsidTr="000754F4">
        <w:trPr>
          <w:trHeight w:hRule="exact" w:val="230"/>
        </w:trPr>
        <w:tc>
          <w:tcPr>
            <w:tcW w:w="1867" w:type="dxa"/>
            <w:vMerge/>
            <w:tcBorders>
              <w:left w:val="single" w:sz="18" w:space="0" w:color="auto"/>
              <w:bottom w:val="single" w:sz="8" w:space="0" w:color="auto"/>
              <w:right w:val="dotted" w:sz="4" w:space="0" w:color="auto"/>
            </w:tcBorders>
            <w:vAlign w:val="center"/>
          </w:tcPr>
          <w:p w14:paraId="052EA0A4" w14:textId="77777777" w:rsidR="008D3CDC" w:rsidRPr="0095162E" w:rsidRDefault="008D3CDC" w:rsidP="000754F4">
            <w:pPr>
              <w:spacing w:after="200"/>
              <w:rPr>
                <w:color w:val="000000"/>
                <w:sz w:val="20"/>
                <w:szCs w:val="20"/>
              </w:rPr>
            </w:pPr>
          </w:p>
        </w:tc>
        <w:tc>
          <w:tcPr>
            <w:tcW w:w="2520" w:type="dxa"/>
            <w:gridSpan w:val="3"/>
            <w:tcBorders>
              <w:left w:val="dotted" w:sz="4" w:space="0" w:color="auto"/>
              <w:bottom w:val="single" w:sz="8" w:space="0" w:color="auto"/>
            </w:tcBorders>
          </w:tcPr>
          <w:p w14:paraId="68D56A6C" w14:textId="77777777" w:rsidR="008D3CDC" w:rsidRPr="0095162E" w:rsidRDefault="008D3CDC" w:rsidP="000754F4">
            <w:pPr>
              <w:spacing w:after="200"/>
              <w:rPr>
                <w:color w:val="000000"/>
                <w:sz w:val="20"/>
                <w:szCs w:val="20"/>
              </w:rPr>
            </w:pPr>
            <w:r w:rsidRPr="0095162E">
              <w:rPr>
                <w:color w:val="000000"/>
                <w:sz w:val="20"/>
                <w:szCs w:val="20"/>
              </w:rPr>
              <w:t>Medium-wage workers</w:t>
            </w:r>
          </w:p>
        </w:tc>
        <w:tc>
          <w:tcPr>
            <w:tcW w:w="3510" w:type="dxa"/>
            <w:tcBorders>
              <w:bottom w:val="single" w:sz="8" w:space="0" w:color="auto"/>
            </w:tcBorders>
          </w:tcPr>
          <w:p w14:paraId="5E60AFF0" w14:textId="77777777" w:rsidR="008D3CDC" w:rsidRPr="0095162E" w:rsidRDefault="008D3CDC" w:rsidP="000754F4">
            <w:pPr>
              <w:spacing w:after="200"/>
              <w:rPr>
                <w:color w:val="000000"/>
                <w:sz w:val="20"/>
                <w:szCs w:val="20"/>
              </w:rPr>
            </w:pPr>
            <w:r w:rsidRPr="00C920E5">
              <w:rPr>
                <w:color w:val="000000"/>
                <w:sz w:val="20"/>
                <w:szCs w:val="20"/>
              </w:rPr>
              <w:t>Mid-wage worker share</w:t>
            </w:r>
          </w:p>
        </w:tc>
        <w:tc>
          <w:tcPr>
            <w:tcW w:w="810" w:type="dxa"/>
            <w:tcBorders>
              <w:bottom w:val="single" w:sz="8" w:space="0" w:color="auto"/>
            </w:tcBorders>
          </w:tcPr>
          <w:p w14:paraId="3E4A69F2" w14:textId="77777777" w:rsidR="008D3CDC" w:rsidRPr="0095162E" w:rsidRDefault="008D3CDC" w:rsidP="000754F4">
            <w:pPr>
              <w:tabs>
                <w:tab w:val="decimal" w:pos="360"/>
              </w:tabs>
              <w:spacing w:after="200"/>
              <w:rPr>
                <w:color w:val="000000"/>
                <w:sz w:val="20"/>
                <w:szCs w:val="20"/>
              </w:rPr>
            </w:pPr>
            <w:r w:rsidRPr="0095162E">
              <w:rPr>
                <w:color w:val="000000"/>
                <w:sz w:val="20"/>
                <w:szCs w:val="20"/>
              </w:rPr>
              <w:t>0.34</w:t>
            </w:r>
          </w:p>
        </w:tc>
        <w:tc>
          <w:tcPr>
            <w:tcW w:w="607" w:type="dxa"/>
            <w:tcBorders>
              <w:bottom w:val="single" w:sz="8" w:space="0" w:color="auto"/>
              <w:right w:val="single" w:sz="18" w:space="0" w:color="auto"/>
            </w:tcBorders>
          </w:tcPr>
          <w:p w14:paraId="47CF47FF" w14:textId="77777777" w:rsidR="008D3CDC" w:rsidRPr="0095162E" w:rsidRDefault="008D3CDC" w:rsidP="000754F4">
            <w:pPr>
              <w:tabs>
                <w:tab w:val="decimal" w:pos="288"/>
              </w:tabs>
              <w:spacing w:after="200"/>
              <w:rPr>
                <w:color w:val="000000"/>
                <w:sz w:val="20"/>
                <w:szCs w:val="20"/>
              </w:rPr>
            </w:pPr>
            <w:r w:rsidRPr="0095162E">
              <w:rPr>
                <w:color w:val="000000"/>
                <w:sz w:val="20"/>
                <w:szCs w:val="20"/>
              </w:rPr>
              <w:t>0.08</w:t>
            </w:r>
          </w:p>
        </w:tc>
      </w:tr>
      <w:tr w:rsidR="008D3CDC" w:rsidRPr="0095162E" w14:paraId="043D87EE" w14:textId="77777777" w:rsidTr="000754F4">
        <w:trPr>
          <w:trHeight w:hRule="exact" w:val="230"/>
        </w:trPr>
        <w:tc>
          <w:tcPr>
            <w:tcW w:w="1867" w:type="dxa"/>
            <w:vMerge w:val="restart"/>
            <w:tcBorders>
              <w:top w:val="single" w:sz="8" w:space="0" w:color="auto"/>
              <w:left w:val="single" w:sz="18" w:space="0" w:color="auto"/>
              <w:right w:val="dotted" w:sz="4" w:space="0" w:color="auto"/>
            </w:tcBorders>
            <w:vAlign w:val="center"/>
          </w:tcPr>
          <w:p w14:paraId="761867C1" w14:textId="77777777" w:rsidR="008D3CDC" w:rsidRPr="0095162E" w:rsidRDefault="008D3CDC" w:rsidP="000754F4">
            <w:pPr>
              <w:spacing w:after="200"/>
              <w:rPr>
                <w:color w:val="000000"/>
                <w:sz w:val="20"/>
                <w:szCs w:val="20"/>
              </w:rPr>
            </w:pPr>
            <w:r>
              <w:rPr>
                <w:color w:val="000000"/>
                <w:sz w:val="20"/>
                <w:szCs w:val="20"/>
              </w:rPr>
              <w:t>Development density measures</w:t>
            </w:r>
          </w:p>
          <w:p w14:paraId="21513FA4" w14:textId="77777777" w:rsidR="008D3CDC" w:rsidRPr="0095162E" w:rsidRDefault="008D3CDC" w:rsidP="000754F4">
            <w:pPr>
              <w:spacing w:after="200"/>
              <w:rPr>
                <w:color w:val="000000"/>
                <w:sz w:val="20"/>
                <w:szCs w:val="20"/>
              </w:rPr>
            </w:pPr>
          </w:p>
        </w:tc>
        <w:tc>
          <w:tcPr>
            <w:tcW w:w="2520" w:type="dxa"/>
            <w:gridSpan w:val="3"/>
            <w:tcBorders>
              <w:top w:val="single" w:sz="8" w:space="0" w:color="auto"/>
              <w:left w:val="dotted" w:sz="4" w:space="0" w:color="auto"/>
            </w:tcBorders>
          </w:tcPr>
          <w:p w14:paraId="4503390A" w14:textId="77777777" w:rsidR="008D3CDC" w:rsidRPr="0095162E" w:rsidRDefault="008D3CDC" w:rsidP="000754F4">
            <w:pPr>
              <w:spacing w:after="200"/>
              <w:rPr>
                <w:color w:val="000000"/>
                <w:sz w:val="20"/>
                <w:szCs w:val="20"/>
              </w:rPr>
            </w:pPr>
            <w:r w:rsidRPr="0095162E">
              <w:rPr>
                <w:color w:val="000000"/>
                <w:sz w:val="20"/>
                <w:szCs w:val="20"/>
              </w:rPr>
              <w:t>Population density</w:t>
            </w:r>
          </w:p>
        </w:tc>
        <w:tc>
          <w:tcPr>
            <w:tcW w:w="3510" w:type="dxa"/>
            <w:tcBorders>
              <w:top w:val="single" w:sz="8" w:space="0" w:color="auto"/>
            </w:tcBorders>
          </w:tcPr>
          <w:p w14:paraId="27B012E5" w14:textId="77777777" w:rsidR="008D3CDC" w:rsidRPr="0095162E" w:rsidRDefault="008D3CDC" w:rsidP="000754F4">
            <w:pPr>
              <w:spacing w:after="200"/>
              <w:rPr>
                <w:color w:val="000000"/>
                <w:sz w:val="20"/>
                <w:szCs w:val="20"/>
              </w:rPr>
            </w:pPr>
            <w:r w:rsidRPr="0095162E">
              <w:rPr>
                <w:color w:val="000000"/>
                <w:sz w:val="20"/>
                <w:szCs w:val="20"/>
              </w:rPr>
              <w:t>Person</w:t>
            </w:r>
            <w:r>
              <w:rPr>
                <w:color w:val="000000"/>
                <w:sz w:val="20"/>
                <w:szCs w:val="20"/>
              </w:rPr>
              <w:t>s</w:t>
            </w:r>
            <w:r w:rsidRPr="0095162E">
              <w:rPr>
                <w:color w:val="000000"/>
                <w:sz w:val="20"/>
                <w:szCs w:val="20"/>
              </w:rPr>
              <w:t xml:space="preserve"> per acre</w:t>
            </w:r>
            <w:r>
              <w:rPr>
                <w:color w:val="000000"/>
                <w:sz w:val="20"/>
                <w:szCs w:val="20"/>
              </w:rPr>
              <w:t xml:space="preserve"> </w:t>
            </w:r>
          </w:p>
        </w:tc>
        <w:tc>
          <w:tcPr>
            <w:tcW w:w="810" w:type="dxa"/>
            <w:tcBorders>
              <w:top w:val="single" w:sz="8" w:space="0" w:color="auto"/>
            </w:tcBorders>
          </w:tcPr>
          <w:p w14:paraId="28D1A200" w14:textId="77777777" w:rsidR="008D3CDC" w:rsidRPr="0095162E" w:rsidRDefault="008D3CDC" w:rsidP="000754F4">
            <w:pPr>
              <w:tabs>
                <w:tab w:val="decimal" w:pos="360"/>
              </w:tabs>
              <w:spacing w:after="200"/>
              <w:rPr>
                <w:color w:val="000000"/>
                <w:sz w:val="20"/>
                <w:szCs w:val="20"/>
              </w:rPr>
            </w:pPr>
            <w:r w:rsidRPr="0095162E">
              <w:rPr>
                <w:color w:val="000000"/>
                <w:sz w:val="20"/>
                <w:szCs w:val="20"/>
              </w:rPr>
              <w:t>11.32</w:t>
            </w:r>
          </w:p>
        </w:tc>
        <w:tc>
          <w:tcPr>
            <w:tcW w:w="607" w:type="dxa"/>
            <w:tcBorders>
              <w:top w:val="single" w:sz="8" w:space="0" w:color="auto"/>
              <w:right w:val="single" w:sz="18" w:space="0" w:color="auto"/>
            </w:tcBorders>
          </w:tcPr>
          <w:p w14:paraId="0D40A66E" w14:textId="77777777" w:rsidR="008D3CDC" w:rsidRPr="0095162E" w:rsidRDefault="008D3CDC" w:rsidP="000754F4">
            <w:pPr>
              <w:tabs>
                <w:tab w:val="decimal" w:pos="288"/>
              </w:tabs>
              <w:spacing w:after="200"/>
              <w:rPr>
                <w:color w:val="000000"/>
                <w:sz w:val="20"/>
                <w:szCs w:val="20"/>
              </w:rPr>
            </w:pPr>
            <w:r w:rsidRPr="0095162E">
              <w:rPr>
                <w:color w:val="000000"/>
                <w:sz w:val="20"/>
                <w:szCs w:val="20"/>
              </w:rPr>
              <w:t>22.98</w:t>
            </w:r>
          </w:p>
        </w:tc>
      </w:tr>
      <w:tr w:rsidR="008D3CDC" w:rsidRPr="0095162E" w14:paraId="46485DCF" w14:textId="77777777" w:rsidTr="000754F4">
        <w:trPr>
          <w:trHeight w:hRule="exact" w:val="230"/>
        </w:trPr>
        <w:tc>
          <w:tcPr>
            <w:tcW w:w="1867" w:type="dxa"/>
            <w:vMerge/>
            <w:tcBorders>
              <w:left w:val="single" w:sz="18" w:space="0" w:color="auto"/>
              <w:bottom w:val="single" w:sz="8" w:space="0" w:color="auto"/>
              <w:right w:val="dotted" w:sz="4" w:space="0" w:color="auto"/>
            </w:tcBorders>
            <w:vAlign w:val="center"/>
          </w:tcPr>
          <w:p w14:paraId="47947141" w14:textId="77777777" w:rsidR="008D3CDC" w:rsidRPr="0095162E" w:rsidRDefault="008D3CDC" w:rsidP="000754F4">
            <w:pPr>
              <w:spacing w:after="200"/>
              <w:rPr>
                <w:color w:val="000000"/>
                <w:sz w:val="20"/>
                <w:szCs w:val="20"/>
              </w:rPr>
            </w:pPr>
          </w:p>
        </w:tc>
        <w:tc>
          <w:tcPr>
            <w:tcW w:w="2520" w:type="dxa"/>
            <w:gridSpan w:val="3"/>
            <w:tcBorders>
              <w:left w:val="dotted" w:sz="4" w:space="0" w:color="auto"/>
              <w:bottom w:val="single" w:sz="8" w:space="0" w:color="auto"/>
            </w:tcBorders>
          </w:tcPr>
          <w:p w14:paraId="24C9A282" w14:textId="77777777" w:rsidR="008D3CDC" w:rsidRPr="0095162E" w:rsidRDefault="008D3CDC" w:rsidP="000754F4">
            <w:pPr>
              <w:spacing w:after="200"/>
              <w:rPr>
                <w:color w:val="000000"/>
                <w:sz w:val="20"/>
                <w:szCs w:val="20"/>
              </w:rPr>
            </w:pPr>
            <w:r w:rsidRPr="0095162E">
              <w:rPr>
                <w:color w:val="000000"/>
                <w:sz w:val="20"/>
                <w:szCs w:val="20"/>
              </w:rPr>
              <w:t>Activity density</w:t>
            </w:r>
          </w:p>
        </w:tc>
        <w:tc>
          <w:tcPr>
            <w:tcW w:w="3510" w:type="dxa"/>
            <w:tcBorders>
              <w:bottom w:val="single" w:sz="8" w:space="0" w:color="auto"/>
            </w:tcBorders>
          </w:tcPr>
          <w:p w14:paraId="666C0B2C" w14:textId="77777777" w:rsidR="008D3CDC" w:rsidRPr="0095162E" w:rsidRDefault="008D3CDC" w:rsidP="000754F4">
            <w:pPr>
              <w:spacing w:after="200"/>
              <w:rPr>
                <w:color w:val="000000"/>
                <w:sz w:val="20"/>
                <w:szCs w:val="20"/>
              </w:rPr>
            </w:pPr>
            <w:r w:rsidRPr="0095162E">
              <w:rPr>
                <w:color w:val="000000"/>
                <w:sz w:val="20"/>
                <w:szCs w:val="20"/>
              </w:rPr>
              <w:t>Employment</w:t>
            </w:r>
            <w:r>
              <w:rPr>
                <w:color w:val="000000"/>
                <w:sz w:val="20"/>
                <w:szCs w:val="20"/>
              </w:rPr>
              <w:t xml:space="preserve"> and </w:t>
            </w:r>
            <w:r w:rsidRPr="0095162E">
              <w:rPr>
                <w:color w:val="000000"/>
                <w:sz w:val="20"/>
                <w:szCs w:val="20"/>
              </w:rPr>
              <w:t xml:space="preserve">housing units per acre </w:t>
            </w:r>
          </w:p>
        </w:tc>
        <w:tc>
          <w:tcPr>
            <w:tcW w:w="810" w:type="dxa"/>
            <w:tcBorders>
              <w:bottom w:val="single" w:sz="8" w:space="0" w:color="auto"/>
            </w:tcBorders>
          </w:tcPr>
          <w:p w14:paraId="59F58ECB" w14:textId="77777777" w:rsidR="008D3CDC" w:rsidRPr="0095162E" w:rsidRDefault="008D3CDC" w:rsidP="000754F4">
            <w:pPr>
              <w:tabs>
                <w:tab w:val="decimal" w:pos="360"/>
              </w:tabs>
              <w:spacing w:after="200"/>
              <w:rPr>
                <w:color w:val="000000"/>
                <w:sz w:val="20"/>
                <w:szCs w:val="20"/>
              </w:rPr>
            </w:pPr>
            <w:r w:rsidRPr="0095162E">
              <w:rPr>
                <w:color w:val="000000"/>
                <w:sz w:val="20"/>
                <w:szCs w:val="20"/>
              </w:rPr>
              <w:t>13.06</w:t>
            </w:r>
          </w:p>
        </w:tc>
        <w:tc>
          <w:tcPr>
            <w:tcW w:w="607" w:type="dxa"/>
            <w:tcBorders>
              <w:bottom w:val="single" w:sz="8" w:space="0" w:color="auto"/>
              <w:right w:val="single" w:sz="18" w:space="0" w:color="auto"/>
            </w:tcBorders>
          </w:tcPr>
          <w:p w14:paraId="3C73EC98" w14:textId="77777777" w:rsidR="008D3CDC" w:rsidRPr="0095162E" w:rsidRDefault="008D3CDC" w:rsidP="000754F4">
            <w:pPr>
              <w:tabs>
                <w:tab w:val="decimal" w:pos="288"/>
              </w:tabs>
              <w:spacing w:after="200"/>
              <w:rPr>
                <w:color w:val="000000"/>
                <w:sz w:val="20"/>
                <w:szCs w:val="20"/>
              </w:rPr>
            </w:pPr>
            <w:r w:rsidRPr="0095162E">
              <w:rPr>
                <w:color w:val="000000"/>
                <w:sz w:val="20"/>
                <w:szCs w:val="20"/>
              </w:rPr>
              <w:t>59.09</w:t>
            </w:r>
          </w:p>
        </w:tc>
      </w:tr>
      <w:tr w:rsidR="008D3CDC" w:rsidRPr="0095162E" w14:paraId="56529217" w14:textId="77777777" w:rsidTr="000754F4">
        <w:trPr>
          <w:trHeight w:hRule="exact" w:val="230"/>
        </w:trPr>
        <w:tc>
          <w:tcPr>
            <w:tcW w:w="1867" w:type="dxa"/>
            <w:vMerge w:val="restart"/>
            <w:tcBorders>
              <w:top w:val="single" w:sz="8" w:space="0" w:color="auto"/>
              <w:left w:val="single" w:sz="18" w:space="0" w:color="auto"/>
              <w:right w:val="dotted" w:sz="4" w:space="0" w:color="auto"/>
            </w:tcBorders>
            <w:vAlign w:val="center"/>
          </w:tcPr>
          <w:p w14:paraId="614398D3" w14:textId="77777777" w:rsidR="008D3CDC" w:rsidRPr="009336E9" w:rsidRDefault="008D3CDC" w:rsidP="000754F4">
            <w:pPr>
              <w:spacing w:after="200"/>
              <w:rPr>
                <w:sz w:val="20"/>
                <w:szCs w:val="20"/>
              </w:rPr>
            </w:pPr>
            <w:r>
              <w:rPr>
                <w:color w:val="000000"/>
                <w:sz w:val="20"/>
                <w:szCs w:val="20"/>
              </w:rPr>
              <w:t>Local activity mix attributes</w:t>
            </w:r>
          </w:p>
          <w:p w14:paraId="794AD38E" w14:textId="77777777" w:rsidR="008D3CDC" w:rsidRPr="009336E9" w:rsidRDefault="008D3CDC" w:rsidP="000754F4">
            <w:pPr>
              <w:spacing w:after="200"/>
              <w:rPr>
                <w:sz w:val="20"/>
                <w:szCs w:val="20"/>
              </w:rPr>
            </w:pPr>
          </w:p>
        </w:tc>
        <w:tc>
          <w:tcPr>
            <w:tcW w:w="2520" w:type="dxa"/>
            <w:gridSpan w:val="3"/>
            <w:tcBorders>
              <w:top w:val="single" w:sz="8" w:space="0" w:color="auto"/>
              <w:left w:val="dotted" w:sz="4" w:space="0" w:color="auto"/>
            </w:tcBorders>
          </w:tcPr>
          <w:p w14:paraId="46A2E6EC" w14:textId="77777777" w:rsidR="008D3CDC" w:rsidRPr="0095162E" w:rsidRDefault="008D3CDC" w:rsidP="000754F4">
            <w:pPr>
              <w:spacing w:after="200"/>
              <w:rPr>
                <w:color w:val="000000"/>
                <w:sz w:val="20"/>
                <w:szCs w:val="20"/>
              </w:rPr>
            </w:pPr>
            <w:r>
              <w:rPr>
                <w:color w:val="000000"/>
                <w:sz w:val="20"/>
                <w:szCs w:val="20"/>
              </w:rPr>
              <w:t>Employment mix</w:t>
            </w:r>
          </w:p>
        </w:tc>
        <w:tc>
          <w:tcPr>
            <w:tcW w:w="3510" w:type="dxa"/>
            <w:tcBorders>
              <w:top w:val="single" w:sz="8" w:space="0" w:color="auto"/>
            </w:tcBorders>
          </w:tcPr>
          <w:p w14:paraId="7281BAC8" w14:textId="77777777" w:rsidR="008D3CDC" w:rsidRPr="0095162E" w:rsidRDefault="008D3CDC" w:rsidP="000754F4">
            <w:pPr>
              <w:spacing w:after="200"/>
              <w:rPr>
                <w:color w:val="000000"/>
                <w:sz w:val="20"/>
                <w:szCs w:val="20"/>
              </w:rPr>
            </w:pPr>
            <w:r>
              <w:rPr>
                <w:color w:val="000000"/>
                <w:sz w:val="20"/>
                <w:szCs w:val="20"/>
              </w:rPr>
              <w:t>Eight</w:t>
            </w:r>
            <w:r w:rsidRPr="0095162E">
              <w:rPr>
                <w:color w:val="000000"/>
                <w:sz w:val="20"/>
                <w:szCs w:val="20"/>
              </w:rPr>
              <w:t xml:space="preserve">-tier employment entropy </w:t>
            </w:r>
          </w:p>
        </w:tc>
        <w:tc>
          <w:tcPr>
            <w:tcW w:w="810" w:type="dxa"/>
            <w:tcBorders>
              <w:top w:val="single" w:sz="8" w:space="0" w:color="auto"/>
            </w:tcBorders>
          </w:tcPr>
          <w:p w14:paraId="75E77CB2" w14:textId="77777777" w:rsidR="008D3CDC" w:rsidRPr="0095162E" w:rsidRDefault="008D3CDC" w:rsidP="000754F4">
            <w:pPr>
              <w:tabs>
                <w:tab w:val="decimal" w:pos="360"/>
              </w:tabs>
              <w:spacing w:after="200"/>
              <w:rPr>
                <w:color w:val="000000"/>
                <w:sz w:val="20"/>
                <w:szCs w:val="20"/>
              </w:rPr>
            </w:pPr>
            <w:r w:rsidRPr="0095162E">
              <w:rPr>
                <w:color w:val="000000"/>
                <w:sz w:val="20"/>
                <w:szCs w:val="20"/>
              </w:rPr>
              <w:t>0.54</w:t>
            </w:r>
          </w:p>
        </w:tc>
        <w:tc>
          <w:tcPr>
            <w:tcW w:w="607" w:type="dxa"/>
            <w:tcBorders>
              <w:top w:val="single" w:sz="8" w:space="0" w:color="auto"/>
              <w:right w:val="single" w:sz="18" w:space="0" w:color="auto"/>
            </w:tcBorders>
          </w:tcPr>
          <w:p w14:paraId="4CA7A430" w14:textId="77777777" w:rsidR="008D3CDC" w:rsidRPr="0095162E" w:rsidRDefault="008D3CDC" w:rsidP="000754F4">
            <w:pPr>
              <w:tabs>
                <w:tab w:val="decimal" w:pos="288"/>
              </w:tabs>
              <w:spacing w:after="200"/>
              <w:rPr>
                <w:color w:val="000000"/>
                <w:sz w:val="20"/>
                <w:szCs w:val="20"/>
              </w:rPr>
            </w:pPr>
            <w:r w:rsidRPr="0095162E">
              <w:rPr>
                <w:color w:val="000000"/>
                <w:sz w:val="20"/>
                <w:szCs w:val="20"/>
              </w:rPr>
              <w:t>0.11</w:t>
            </w:r>
          </w:p>
        </w:tc>
      </w:tr>
      <w:tr w:rsidR="008D3CDC" w:rsidRPr="0095162E" w14:paraId="70ED2B24" w14:textId="77777777" w:rsidTr="000754F4">
        <w:trPr>
          <w:trHeight w:hRule="exact" w:val="230"/>
        </w:trPr>
        <w:tc>
          <w:tcPr>
            <w:tcW w:w="1867" w:type="dxa"/>
            <w:vMerge/>
            <w:tcBorders>
              <w:left w:val="single" w:sz="18" w:space="0" w:color="auto"/>
              <w:right w:val="dotted" w:sz="4" w:space="0" w:color="auto"/>
            </w:tcBorders>
            <w:vAlign w:val="center"/>
          </w:tcPr>
          <w:p w14:paraId="38BB4F3A" w14:textId="77777777" w:rsidR="008D3CDC" w:rsidRPr="0095162E" w:rsidRDefault="008D3CDC" w:rsidP="000754F4">
            <w:pPr>
              <w:spacing w:after="200"/>
              <w:rPr>
                <w:color w:val="000000"/>
                <w:sz w:val="20"/>
                <w:szCs w:val="20"/>
              </w:rPr>
            </w:pPr>
          </w:p>
        </w:tc>
        <w:tc>
          <w:tcPr>
            <w:tcW w:w="2520" w:type="dxa"/>
            <w:gridSpan w:val="3"/>
            <w:tcBorders>
              <w:left w:val="dotted" w:sz="4" w:space="0" w:color="auto"/>
            </w:tcBorders>
          </w:tcPr>
          <w:p w14:paraId="04DB39DE" w14:textId="77777777" w:rsidR="008D3CDC" w:rsidRPr="0095162E" w:rsidRDefault="008D3CDC" w:rsidP="000754F4">
            <w:pPr>
              <w:spacing w:after="200"/>
              <w:rPr>
                <w:color w:val="000000"/>
                <w:sz w:val="20"/>
                <w:szCs w:val="20"/>
              </w:rPr>
            </w:pPr>
            <w:r w:rsidRPr="0095162E">
              <w:rPr>
                <w:sz w:val="20"/>
                <w:szCs w:val="20"/>
              </w:rPr>
              <w:t>Jobs-per-household ratio</w:t>
            </w:r>
          </w:p>
        </w:tc>
        <w:tc>
          <w:tcPr>
            <w:tcW w:w="3510" w:type="dxa"/>
          </w:tcPr>
          <w:p w14:paraId="6947AC4C" w14:textId="77777777" w:rsidR="008D3CDC" w:rsidRPr="0095162E" w:rsidRDefault="008D3CDC" w:rsidP="000754F4">
            <w:pPr>
              <w:spacing w:after="200"/>
              <w:rPr>
                <w:color w:val="000000"/>
                <w:sz w:val="20"/>
                <w:szCs w:val="20"/>
              </w:rPr>
            </w:pPr>
            <w:r w:rsidRPr="0095162E">
              <w:rPr>
                <w:color w:val="000000"/>
                <w:sz w:val="20"/>
                <w:szCs w:val="20"/>
              </w:rPr>
              <w:t xml:space="preserve">Ratio of jobs to households </w:t>
            </w:r>
          </w:p>
        </w:tc>
        <w:tc>
          <w:tcPr>
            <w:tcW w:w="810" w:type="dxa"/>
          </w:tcPr>
          <w:p w14:paraId="7DA9D7B7" w14:textId="77777777" w:rsidR="008D3CDC" w:rsidRPr="0095162E" w:rsidRDefault="008D3CDC" w:rsidP="000754F4">
            <w:pPr>
              <w:tabs>
                <w:tab w:val="decimal" w:pos="360"/>
              </w:tabs>
              <w:spacing w:after="200"/>
              <w:rPr>
                <w:color w:val="000000"/>
                <w:sz w:val="20"/>
                <w:szCs w:val="20"/>
              </w:rPr>
            </w:pPr>
            <w:r w:rsidRPr="0095162E">
              <w:rPr>
                <w:color w:val="000000"/>
                <w:sz w:val="20"/>
                <w:szCs w:val="20"/>
              </w:rPr>
              <w:t>2.25</w:t>
            </w:r>
          </w:p>
        </w:tc>
        <w:tc>
          <w:tcPr>
            <w:tcW w:w="607" w:type="dxa"/>
            <w:tcBorders>
              <w:right w:val="single" w:sz="18" w:space="0" w:color="auto"/>
            </w:tcBorders>
          </w:tcPr>
          <w:p w14:paraId="77C58E33" w14:textId="77777777" w:rsidR="008D3CDC" w:rsidRPr="0095162E" w:rsidRDefault="008D3CDC" w:rsidP="000754F4">
            <w:pPr>
              <w:tabs>
                <w:tab w:val="decimal" w:pos="288"/>
              </w:tabs>
              <w:spacing w:after="200"/>
              <w:rPr>
                <w:color w:val="000000"/>
                <w:sz w:val="20"/>
                <w:szCs w:val="20"/>
              </w:rPr>
            </w:pPr>
            <w:r w:rsidRPr="0095162E">
              <w:rPr>
                <w:color w:val="000000"/>
                <w:sz w:val="20"/>
                <w:szCs w:val="20"/>
              </w:rPr>
              <w:t>11.66</w:t>
            </w:r>
          </w:p>
        </w:tc>
      </w:tr>
      <w:tr w:rsidR="008D3CDC" w:rsidRPr="0095162E" w14:paraId="4807AEA8" w14:textId="77777777" w:rsidTr="000754F4">
        <w:trPr>
          <w:trHeight w:hRule="exact" w:val="230"/>
        </w:trPr>
        <w:tc>
          <w:tcPr>
            <w:tcW w:w="1867" w:type="dxa"/>
            <w:vMerge/>
            <w:tcBorders>
              <w:left w:val="single" w:sz="18" w:space="0" w:color="auto"/>
              <w:bottom w:val="single" w:sz="8" w:space="0" w:color="auto"/>
              <w:right w:val="dotted" w:sz="4" w:space="0" w:color="auto"/>
            </w:tcBorders>
            <w:vAlign w:val="center"/>
          </w:tcPr>
          <w:p w14:paraId="559D0494" w14:textId="77777777" w:rsidR="008D3CDC" w:rsidRPr="0095162E" w:rsidRDefault="008D3CDC" w:rsidP="000754F4">
            <w:pPr>
              <w:spacing w:after="200"/>
              <w:rPr>
                <w:color w:val="000000"/>
                <w:sz w:val="20"/>
                <w:szCs w:val="20"/>
              </w:rPr>
            </w:pPr>
          </w:p>
        </w:tc>
        <w:tc>
          <w:tcPr>
            <w:tcW w:w="2520" w:type="dxa"/>
            <w:gridSpan w:val="3"/>
            <w:tcBorders>
              <w:left w:val="dotted" w:sz="4" w:space="0" w:color="auto"/>
              <w:bottom w:val="single" w:sz="8" w:space="0" w:color="auto"/>
            </w:tcBorders>
          </w:tcPr>
          <w:p w14:paraId="03C58F64" w14:textId="77777777" w:rsidR="008D3CDC" w:rsidRPr="0095162E" w:rsidRDefault="008D3CDC" w:rsidP="000754F4">
            <w:pPr>
              <w:spacing w:after="200"/>
              <w:rPr>
                <w:color w:val="000000"/>
                <w:sz w:val="20"/>
                <w:szCs w:val="20"/>
              </w:rPr>
            </w:pPr>
            <w:r w:rsidRPr="0095162E">
              <w:rPr>
                <w:color w:val="000000"/>
                <w:sz w:val="20"/>
                <w:szCs w:val="20"/>
              </w:rPr>
              <w:t>Land-use mix</w:t>
            </w:r>
          </w:p>
        </w:tc>
        <w:tc>
          <w:tcPr>
            <w:tcW w:w="3510" w:type="dxa"/>
            <w:tcBorders>
              <w:bottom w:val="single" w:sz="8" w:space="0" w:color="auto"/>
            </w:tcBorders>
          </w:tcPr>
          <w:p w14:paraId="4D1A98D7" w14:textId="77777777" w:rsidR="008D3CDC" w:rsidRPr="0095162E" w:rsidRDefault="008D3CDC" w:rsidP="000754F4">
            <w:pPr>
              <w:spacing w:after="200"/>
              <w:rPr>
                <w:color w:val="000000"/>
                <w:sz w:val="20"/>
                <w:szCs w:val="20"/>
              </w:rPr>
            </w:pPr>
            <w:r>
              <w:rPr>
                <w:color w:val="000000"/>
                <w:sz w:val="20"/>
                <w:szCs w:val="20"/>
              </w:rPr>
              <w:t>Employment and household entropy</w:t>
            </w:r>
            <w:r w:rsidRPr="0095162E">
              <w:rPr>
                <w:color w:val="000000"/>
                <w:sz w:val="20"/>
                <w:szCs w:val="20"/>
              </w:rPr>
              <w:t xml:space="preserve"> </w:t>
            </w:r>
          </w:p>
        </w:tc>
        <w:tc>
          <w:tcPr>
            <w:tcW w:w="810" w:type="dxa"/>
            <w:tcBorders>
              <w:bottom w:val="single" w:sz="8" w:space="0" w:color="auto"/>
            </w:tcBorders>
          </w:tcPr>
          <w:p w14:paraId="10663BB6" w14:textId="77777777" w:rsidR="008D3CDC" w:rsidRPr="0095162E" w:rsidRDefault="008D3CDC" w:rsidP="000754F4">
            <w:pPr>
              <w:tabs>
                <w:tab w:val="decimal" w:pos="360"/>
              </w:tabs>
              <w:spacing w:after="200"/>
              <w:rPr>
                <w:color w:val="000000"/>
                <w:sz w:val="20"/>
                <w:szCs w:val="20"/>
              </w:rPr>
            </w:pPr>
            <w:r w:rsidRPr="0095162E">
              <w:rPr>
                <w:color w:val="000000"/>
                <w:sz w:val="20"/>
                <w:szCs w:val="20"/>
              </w:rPr>
              <w:t>0.50</w:t>
            </w:r>
          </w:p>
        </w:tc>
        <w:tc>
          <w:tcPr>
            <w:tcW w:w="607" w:type="dxa"/>
            <w:tcBorders>
              <w:bottom w:val="single" w:sz="8" w:space="0" w:color="auto"/>
              <w:right w:val="single" w:sz="18" w:space="0" w:color="auto"/>
            </w:tcBorders>
          </w:tcPr>
          <w:p w14:paraId="3D0D7329" w14:textId="77777777" w:rsidR="008D3CDC" w:rsidRPr="0095162E" w:rsidRDefault="008D3CDC" w:rsidP="000754F4">
            <w:pPr>
              <w:tabs>
                <w:tab w:val="decimal" w:pos="288"/>
              </w:tabs>
              <w:spacing w:after="200"/>
              <w:rPr>
                <w:color w:val="000000"/>
                <w:sz w:val="20"/>
                <w:szCs w:val="20"/>
              </w:rPr>
            </w:pPr>
            <w:r w:rsidRPr="0095162E">
              <w:rPr>
                <w:color w:val="000000"/>
                <w:sz w:val="20"/>
                <w:szCs w:val="20"/>
              </w:rPr>
              <w:t>0.11</w:t>
            </w:r>
          </w:p>
        </w:tc>
      </w:tr>
      <w:tr w:rsidR="008D3CDC" w:rsidRPr="0095162E" w14:paraId="7AF2E807" w14:textId="77777777" w:rsidTr="000754F4">
        <w:trPr>
          <w:trHeight w:hRule="exact" w:val="230"/>
        </w:trPr>
        <w:tc>
          <w:tcPr>
            <w:tcW w:w="1867" w:type="dxa"/>
            <w:vMerge w:val="restart"/>
            <w:tcBorders>
              <w:top w:val="single" w:sz="8" w:space="0" w:color="auto"/>
              <w:left w:val="single" w:sz="18" w:space="0" w:color="auto"/>
              <w:right w:val="dotted" w:sz="4" w:space="0" w:color="auto"/>
            </w:tcBorders>
            <w:vAlign w:val="center"/>
          </w:tcPr>
          <w:p w14:paraId="69C436CD" w14:textId="77777777" w:rsidR="008D3CDC" w:rsidRPr="0095162E" w:rsidRDefault="008D3CDC" w:rsidP="000754F4">
            <w:pPr>
              <w:spacing w:after="200"/>
              <w:rPr>
                <w:color w:val="000000"/>
                <w:sz w:val="20"/>
                <w:szCs w:val="20"/>
              </w:rPr>
            </w:pPr>
            <w:r>
              <w:rPr>
                <w:color w:val="000000"/>
                <w:sz w:val="20"/>
                <w:szCs w:val="20"/>
              </w:rPr>
              <w:t>Network design measures</w:t>
            </w:r>
          </w:p>
        </w:tc>
        <w:tc>
          <w:tcPr>
            <w:tcW w:w="2520" w:type="dxa"/>
            <w:gridSpan w:val="3"/>
            <w:tcBorders>
              <w:top w:val="single" w:sz="8" w:space="0" w:color="auto"/>
              <w:left w:val="dotted" w:sz="4" w:space="0" w:color="auto"/>
            </w:tcBorders>
          </w:tcPr>
          <w:p w14:paraId="27773329" w14:textId="77777777" w:rsidR="008D3CDC" w:rsidRPr="0095162E" w:rsidRDefault="008D3CDC" w:rsidP="000754F4">
            <w:pPr>
              <w:spacing w:after="200"/>
              <w:rPr>
                <w:color w:val="000000"/>
                <w:sz w:val="20"/>
                <w:szCs w:val="20"/>
              </w:rPr>
            </w:pPr>
            <w:r w:rsidRPr="0095162E">
              <w:rPr>
                <w:color w:val="000000"/>
                <w:sz w:val="20"/>
                <w:szCs w:val="20"/>
              </w:rPr>
              <w:t>Pedestrian network density</w:t>
            </w:r>
          </w:p>
        </w:tc>
        <w:tc>
          <w:tcPr>
            <w:tcW w:w="3510" w:type="dxa"/>
            <w:tcBorders>
              <w:top w:val="single" w:sz="8" w:space="0" w:color="auto"/>
            </w:tcBorders>
          </w:tcPr>
          <w:p w14:paraId="22F279D2" w14:textId="77777777" w:rsidR="008D3CDC" w:rsidRPr="0095162E" w:rsidRDefault="008D3CDC" w:rsidP="000754F4">
            <w:pPr>
              <w:spacing w:after="200"/>
              <w:rPr>
                <w:color w:val="000000"/>
                <w:sz w:val="20"/>
                <w:szCs w:val="20"/>
              </w:rPr>
            </w:pPr>
            <w:r w:rsidRPr="0095162E">
              <w:rPr>
                <w:color w:val="000000"/>
                <w:sz w:val="20"/>
                <w:szCs w:val="20"/>
              </w:rPr>
              <w:t>Pedestrian facility-miles per sq-mi</w:t>
            </w:r>
          </w:p>
        </w:tc>
        <w:tc>
          <w:tcPr>
            <w:tcW w:w="810" w:type="dxa"/>
            <w:tcBorders>
              <w:top w:val="single" w:sz="8" w:space="0" w:color="auto"/>
            </w:tcBorders>
          </w:tcPr>
          <w:p w14:paraId="4B384388" w14:textId="77777777" w:rsidR="008D3CDC" w:rsidRPr="0095162E" w:rsidRDefault="008D3CDC" w:rsidP="000754F4">
            <w:pPr>
              <w:tabs>
                <w:tab w:val="decimal" w:pos="360"/>
              </w:tabs>
              <w:spacing w:after="200"/>
              <w:rPr>
                <w:color w:val="000000"/>
                <w:sz w:val="20"/>
                <w:szCs w:val="20"/>
              </w:rPr>
            </w:pPr>
            <w:r w:rsidRPr="0095162E">
              <w:rPr>
                <w:color w:val="000000"/>
                <w:sz w:val="20"/>
                <w:szCs w:val="20"/>
              </w:rPr>
              <w:t>12.07</w:t>
            </w:r>
          </w:p>
        </w:tc>
        <w:tc>
          <w:tcPr>
            <w:tcW w:w="607" w:type="dxa"/>
            <w:tcBorders>
              <w:top w:val="single" w:sz="8" w:space="0" w:color="auto"/>
              <w:right w:val="single" w:sz="18" w:space="0" w:color="auto"/>
            </w:tcBorders>
          </w:tcPr>
          <w:p w14:paraId="488394DE" w14:textId="77777777" w:rsidR="008D3CDC" w:rsidRPr="0095162E" w:rsidRDefault="008D3CDC" w:rsidP="000754F4">
            <w:pPr>
              <w:tabs>
                <w:tab w:val="decimal" w:pos="288"/>
              </w:tabs>
              <w:spacing w:after="200"/>
              <w:rPr>
                <w:color w:val="000000"/>
                <w:sz w:val="20"/>
                <w:szCs w:val="20"/>
              </w:rPr>
            </w:pPr>
            <w:r w:rsidRPr="0095162E">
              <w:rPr>
                <w:color w:val="000000"/>
                <w:sz w:val="20"/>
                <w:szCs w:val="20"/>
              </w:rPr>
              <w:t>6.84</w:t>
            </w:r>
          </w:p>
        </w:tc>
      </w:tr>
      <w:tr w:rsidR="008D3CDC" w:rsidRPr="0095162E" w14:paraId="3D10F589" w14:textId="77777777" w:rsidTr="000754F4">
        <w:trPr>
          <w:trHeight w:hRule="exact" w:val="230"/>
        </w:trPr>
        <w:tc>
          <w:tcPr>
            <w:tcW w:w="1867" w:type="dxa"/>
            <w:vMerge/>
            <w:tcBorders>
              <w:left w:val="single" w:sz="18" w:space="0" w:color="auto"/>
              <w:right w:val="dotted" w:sz="4" w:space="0" w:color="auto"/>
            </w:tcBorders>
            <w:vAlign w:val="center"/>
          </w:tcPr>
          <w:p w14:paraId="53BC5D83" w14:textId="77777777" w:rsidR="008D3CDC" w:rsidRPr="0095162E" w:rsidRDefault="008D3CDC" w:rsidP="000754F4">
            <w:pPr>
              <w:spacing w:after="200"/>
              <w:rPr>
                <w:color w:val="000000"/>
                <w:sz w:val="20"/>
                <w:szCs w:val="20"/>
              </w:rPr>
            </w:pPr>
          </w:p>
        </w:tc>
        <w:tc>
          <w:tcPr>
            <w:tcW w:w="2520" w:type="dxa"/>
            <w:gridSpan w:val="3"/>
            <w:tcBorders>
              <w:left w:val="dotted" w:sz="4" w:space="0" w:color="auto"/>
            </w:tcBorders>
          </w:tcPr>
          <w:p w14:paraId="7C5C45ED" w14:textId="77777777" w:rsidR="008D3CDC" w:rsidRPr="0095162E" w:rsidRDefault="008D3CDC" w:rsidP="000754F4">
            <w:pPr>
              <w:spacing w:after="200"/>
              <w:rPr>
                <w:color w:val="000000"/>
                <w:sz w:val="20"/>
                <w:szCs w:val="20"/>
              </w:rPr>
            </w:pPr>
            <w:r w:rsidRPr="0095162E">
              <w:rPr>
                <w:color w:val="000000"/>
                <w:sz w:val="20"/>
                <w:szCs w:val="20"/>
              </w:rPr>
              <w:t>Intersection density</w:t>
            </w:r>
          </w:p>
        </w:tc>
        <w:tc>
          <w:tcPr>
            <w:tcW w:w="3510" w:type="dxa"/>
          </w:tcPr>
          <w:p w14:paraId="7AF37F0B" w14:textId="77777777" w:rsidR="008D3CDC" w:rsidRPr="0095162E" w:rsidRDefault="008D3CDC" w:rsidP="000754F4">
            <w:pPr>
              <w:spacing w:after="200"/>
              <w:rPr>
                <w:color w:val="000000"/>
                <w:sz w:val="20"/>
                <w:szCs w:val="20"/>
              </w:rPr>
            </w:pPr>
            <w:r w:rsidRPr="00463FFE">
              <w:rPr>
                <w:color w:val="000000"/>
                <w:sz w:val="20"/>
                <w:szCs w:val="20"/>
              </w:rPr>
              <w:t>Weighted street intersections per sq-mi</w:t>
            </w:r>
          </w:p>
        </w:tc>
        <w:tc>
          <w:tcPr>
            <w:tcW w:w="810" w:type="dxa"/>
          </w:tcPr>
          <w:p w14:paraId="6A5DC334" w14:textId="77777777" w:rsidR="008D3CDC" w:rsidRPr="0095162E" w:rsidRDefault="008D3CDC" w:rsidP="000754F4">
            <w:pPr>
              <w:tabs>
                <w:tab w:val="decimal" w:pos="360"/>
              </w:tabs>
              <w:spacing w:after="200"/>
              <w:rPr>
                <w:color w:val="000000"/>
                <w:sz w:val="20"/>
                <w:szCs w:val="20"/>
              </w:rPr>
            </w:pPr>
            <w:r w:rsidRPr="0095162E">
              <w:rPr>
                <w:color w:val="000000"/>
                <w:sz w:val="20"/>
                <w:szCs w:val="20"/>
              </w:rPr>
              <w:t>81.78</w:t>
            </w:r>
          </w:p>
        </w:tc>
        <w:tc>
          <w:tcPr>
            <w:tcW w:w="607" w:type="dxa"/>
            <w:tcBorders>
              <w:right w:val="single" w:sz="18" w:space="0" w:color="auto"/>
            </w:tcBorders>
          </w:tcPr>
          <w:p w14:paraId="2A16859F" w14:textId="77777777" w:rsidR="008D3CDC" w:rsidRPr="0095162E" w:rsidRDefault="008D3CDC" w:rsidP="000754F4">
            <w:pPr>
              <w:tabs>
                <w:tab w:val="decimal" w:pos="288"/>
              </w:tabs>
              <w:spacing w:after="200"/>
              <w:rPr>
                <w:color w:val="000000"/>
                <w:sz w:val="20"/>
                <w:szCs w:val="20"/>
              </w:rPr>
            </w:pPr>
            <w:r w:rsidRPr="0095162E">
              <w:rPr>
                <w:color w:val="000000"/>
                <w:sz w:val="20"/>
                <w:szCs w:val="20"/>
              </w:rPr>
              <w:t>62.78</w:t>
            </w:r>
          </w:p>
        </w:tc>
      </w:tr>
      <w:tr w:rsidR="008D3CDC" w:rsidRPr="0095162E" w14:paraId="428C3298" w14:textId="77777777" w:rsidTr="000754F4">
        <w:trPr>
          <w:trHeight w:hRule="exact" w:val="230"/>
        </w:trPr>
        <w:tc>
          <w:tcPr>
            <w:tcW w:w="1867" w:type="dxa"/>
            <w:vMerge/>
            <w:tcBorders>
              <w:left w:val="single" w:sz="18" w:space="0" w:color="auto"/>
              <w:right w:val="dotted" w:sz="4" w:space="0" w:color="auto"/>
            </w:tcBorders>
            <w:vAlign w:val="center"/>
          </w:tcPr>
          <w:p w14:paraId="4EA85B44" w14:textId="77777777" w:rsidR="008D3CDC" w:rsidRPr="0095162E" w:rsidRDefault="008D3CDC" w:rsidP="000754F4">
            <w:pPr>
              <w:spacing w:after="200"/>
              <w:rPr>
                <w:color w:val="000000"/>
                <w:sz w:val="20"/>
                <w:szCs w:val="20"/>
              </w:rPr>
            </w:pPr>
          </w:p>
        </w:tc>
        <w:tc>
          <w:tcPr>
            <w:tcW w:w="2520" w:type="dxa"/>
            <w:gridSpan w:val="3"/>
            <w:tcBorders>
              <w:left w:val="dotted" w:sz="4" w:space="0" w:color="auto"/>
            </w:tcBorders>
          </w:tcPr>
          <w:p w14:paraId="2BC21905" w14:textId="77777777" w:rsidR="008D3CDC" w:rsidRPr="0095162E" w:rsidRDefault="008D3CDC" w:rsidP="000754F4">
            <w:pPr>
              <w:spacing w:after="200"/>
              <w:rPr>
                <w:color w:val="000000"/>
                <w:sz w:val="20"/>
                <w:szCs w:val="20"/>
              </w:rPr>
            </w:pPr>
            <w:r w:rsidRPr="0095162E">
              <w:rPr>
                <w:color w:val="000000"/>
                <w:sz w:val="20"/>
                <w:szCs w:val="20"/>
              </w:rPr>
              <w:t>Pedestrian 3</w:t>
            </w:r>
            <w:r>
              <w:rPr>
                <w:color w:val="000000"/>
                <w:sz w:val="20"/>
                <w:szCs w:val="20"/>
              </w:rPr>
              <w:t xml:space="preserve"> </w:t>
            </w:r>
            <w:r w:rsidRPr="0095162E">
              <w:rPr>
                <w:color w:val="000000"/>
                <w:sz w:val="20"/>
                <w:szCs w:val="20"/>
              </w:rPr>
              <w:t>leg intersections</w:t>
            </w:r>
          </w:p>
        </w:tc>
        <w:tc>
          <w:tcPr>
            <w:tcW w:w="3510" w:type="dxa"/>
          </w:tcPr>
          <w:p w14:paraId="50469C13" w14:textId="77777777" w:rsidR="008D3CDC" w:rsidRPr="0095162E" w:rsidRDefault="008D3CDC" w:rsidP="000754F4">
            <w:pPr>
              <w:spacing w:after="200"/>
              <w:rPr>
                <w:color w:val="000000"/>
                <w:sz w:val="20"/>
                <w:szCs w:val="20"/>
              </w:rPr>
            </w:pPr>
            <w:r w:rsidRPr="008009CB">
              <w:rPr>
                <w:color w:val="000000"/>
                <w:sz w:val="20"/>
                <w:szCs w:val="20"/>
              </w:rPr>
              <w:t>Pedestrian 3</w:t>
            </w:r>
            <w:r>
              <w:rPr>
                <w:color w:val="000000"/>
                <w:sz w:val="20"/>
                <w:szCs w:val="20"/>
              </w:rPr>
              <w:t xml:space="preserve"> </w:t>
            </w:r>
            <w:r w:rsidRPr="008009CB">
              <w:rPr>
                <w:color w:val="000000"/>
                <w:sz w:val="20"/>
                <w:szCs w:val="20"/>
              </w:rPr>
              <w:t>leg intersections per sq-mi</w:t>
            </w:r>
          </w:p>
        </w:tc>
        <w:tc>
          <w:tcPr>
            <w:tcW w:w="810" w:type="dxa"/>
          </w:tcPr>
          <w:p w14:paraId="3FDE54C7" w14:textId="77777777" w:rsidR="008D3CDC" w:rsidRPr="0095162E" w:rsidRDefault="008D3CDC" w:rsidP="000754F4">
            <w:pPr>
              <w:tabs>
                <w:tab w:val="decimal" w:pos="360"/>
              </w:tabs>
              <w:spacing w:after="200"/>
              <w:rPr>
                <w:color w:val="000000"/>
                <w:sz w:val="20"/>
                <w:szCs w:val="20"/>
              </w:rPr>
            </w:pPr>
            <w:r w:rsidRPr="0095162E">
              <w:rPr>
                <w:color w:val="000000"/>
                <w:sz w:val="20"/>
                <w:szCs w:val="20"/>
              </w:rPr>
              <w:t>60.76</w:t>
            </w:r>
          </w:p>
        </w:tc>
        <w:tc>
          <w:tcPr>
            <w:tcW w:w="607" w:type="dxa"/>
            <w:tcBorders>
              <w:right w:val="single" w:sz="18" w:space="0" w:color="auto"/>
            </w:tcBorders>
          </w:tcPr>
          <w:p w14:paraId="4F6721E5" w14:textId="77777777" w:rsidR="008D3CDC" w:rsidRPr="0095162E" w:rsidRDefault="008D3CDC" w:rsidP="000754F4">
            <w:pPr>
              <w:tabs>
                <w:tab w:val="decimal" w:pos="288"/>
              </w:tabs>
              <w:spacing w:after="200"/>
              <w:rPr>
                <w:color w:val="000000"/>
                <w:sz w:val="20"/>
                <w:szCs w:val="20"/>
              </w:rPr>
            </w:pPr>
            <w:r w:rsidRPr="0095162E">
              <w:rPr>
                <w:color w:val="000000"/>
                <w:sz w:val="20"/>
                <w:szCs w:val="20"/>
              </w:rPr>
              <w:t>46.81</w:t>
            </w:r>
          </w:p>
        </w:tc>
      </w:tr>
      <w:tr w:rsidR="008D3CDC" w:rsidRPr="0095162E" w14:paraId="029F46CF" w14:textId="77777777" w:rsidTr="000754F4">
        <w:trPr>
          <w:trHeight w:hRule="exact" w:val="230"/>
        </w:trPr>
        <w:tc>
          <w:tcPr>
            <w:tcW w:w="1867" w:type="dxa"/>
            <w:vMerge/>
            <w:tcBorders>
              <w:left w:val="single" w:sz="18" w:space="0" w:color="auto"/>
              <w:bottom w:val="single" w:sz="8" w:space="0" w:color="auto"/>
              <w:right w:val="dotted" w:sz="4" w:space="0" w:color="auto"/>
            </w:tcBorders>
            <w:vAlign w:val="center"/>
          </w:tcPr>
          <w:p w14:paraId="177DDA59" w14:textId="77777777" w:rsidR="008D3CDC" w:rsidRPr="0095162E" w:rsidRDefault="008D3CDC" w:rsidP="000754F4">
            <w:pPr>
              <w:spacing w:after="200"/>
              <w:rPr>
                <w:color w:val="000000"/>
                <w:sz w:val="20"/>
                <w:szCs w:val="20"/>
              </w:rPr>
            </w:pPr>
          </w:p>
        </w:tc>
        <w:tc>
          <w:tcPr>
            <w:tcW w:w="2520" w:type="dxa"/>
            <w:gridSpan w:val="3"/>
            <w:tcBorders>
              <w:left w:val="dotted" w:sz="4" w:space="0" w:color="auto"/>
              <w:bottom w:val="single" w:sz="8" w:space="0" w:color="auto"/>
            </w:tcBorders>
          </w:tcPr>
          <w:p w14:paraId="522E35BD" w14:textId="77777777" w:rsidR="008D3CDC" w:rsidRPr="0095162E" w:rsidRDefault="008D3CDC" w:rsidP="000754F4">
            <w:pPr>
              <w:spacing w:after="200"/>
              <w:rPr>
                <w:color w:val="000000"/>
                <w:sz w:val="20"/>
                <w:szCs w:val="20"/>
              </w:rPr>
            </w:pPr>
            <w:r w:rsidRPr="0095162E">
              <w:rPr>
                <w:color w:val="000000"/>
                <w:sz w:val="20"/>
                <w:szCs w:val="20"/>
              </w:rPr>
              <w:t>Pedestrian 4</w:t>
            </w:r>
            <w:r>
              <w:rPr>
                <w:color w:val="000000"/>
                <w:sz w:val="20"/>
                <w:szCs w:val="20"/>
              </w:rPr>
              <w:t xml:space="preserve">+ </w:t>
            </w:r>
            <w:r w:rsidRPr="0095162E">
              <w:rPr>
                <w:color w:val="000000"/>
                <w:sz w:val="20"/>
                <w:szCs w:val="20"/>
              </w:rPr>
              <w:t>leg intersections</w:t>
            </w:r>
          </w:p>
        </w:tc>
        <w:tc>
          <w:tcPr>
            <w:tcW w:w="3510" w:type="dxa"/>
            <w:tcBorders>
              <w:bottom w:val="single" w:sz="8" w:space="0" w:color="auto"/>
            </w:tcBorders>
          </w:tcPr>
          <w:p w14:paraId="51D07058" w14:textId="77777777" w:rsidR="008D3CDC" w:rsidRPr="0095162E" w:rsidRDefault="008D3CDC" w:rsidP="000754F4">
            <w:pPr>
              <w:spacing w:after="200"/>
              <w:rPr>
                <w:color w:val="000000"/>
                <w:sz w:val="20"/>
                <w:szCs w:val="20"/>
              </w:rPr>
            </w:pPr>
            <w:r w:rsidRPr="001E6864">
              <w:rPr>
                <w:color w:val="000000"/>
                <w:sz w:val="20"/>
                <w:szCs w:val="20"/>
              </w:rPr>
              <w:t>Pedestrian 4</w:t>
            </w:r>
            <w:r>
              <w:rPr>
                <w:color w:val="000000"/>
                <w:sz w:val="20"/>
                <w:szCs w:val="20"/>
              </w:rPr>
              <w:t xml:space="preserve">+ </w:t>
            </w:r>
            <w:r w:rsidRPr="001E6864">
              <w:rPr>
                <w:color w:val="000000"/>
                <w:sz w:val="20"/>
                <w:szCs w:val="20"/>
              </w:rPr>
              <w:t>leg intersections per sq-mi</w:t>
            </w:r>
          </w:p>
        </w:tc>
        <w:tc>
          <w:tcPr>
            <w:tcW w:w="810" w:type="dxa"/>
            <w:tcBorders>
              <w:bottom w:val="single" w:sz="8" w:space="0" w:color="auto"/>
            </w:tcBorders>
          </w:tcPr>
          <w:p w14:paraId="4472D442" w14:textId="77777777" w:rsidR="008D3CDC" w:rsidRPr="0095162E" w:rsidRDefault="008D3CDC" w:rsidP="000754F4">
            <w:pPr>
              <w:tabs>
                <w:tab w:val="decimal" w:pos="360"/>
              </w:tabs>
              <w:spacing w:after="200"/>
              <w:rPr>
                <w:color w:val="000000"/>
                <w:sz w:val="20"/>
                <w:szCs w:val="20"/>
              </w:rPr>
            </w:pPr>
            <w:r w:rsidRPr="0095162E">
              <w:rPr>
                <w:color w:val="000000"/>
                <w:sz w:val="20"/>
                <w:szCs w:val="20"/>
              </w:rPr>
              <w:t>22.42</w:t>
            </w:r>
          </w:p>
        </w:tc>
        <w:tc>
          <w:tcPr>
            <w:tcW w:w="607" w:type="dxa"/>
            <w:tcBorders>
              <w:bottom w:val="single" w:sz="8" w:space="0" w:color="auto"/>
              <w:right w:val="single" w:sz="18" w:space="0" w:color="auto"/>
            </w:tcBorders>
          </w:tcPr>
          <w:p w14:paraId="0445BE39" w14:textId="77777777" w:rsidR="008D3CDC" w:rsidRPr="0095162E" w:rsidRDefault="008D3CDC" w:rsidP="000754F4">
            <w:pPr>
              <w:tabs>
                <w:tab w:val="decimal" w:pos="288"/>
              </w:tabs>
              <w:spacing w:after="200"/>
              <w:rPr>
                <w:color w:val="000000"/>
                <w:sz w:val="20"/>
                <w:szCs w:val="20"/>
              </w:rPr>
            </w:pPr>
            <w:r w:rsidRPr="0095162E">
              <w:rPr>
                <w:color w:val="000000"/>
                <w:sz w:val="20"/>
                <w:szCs w:val="20"/>
              </w:rPr>
              <w:t>24.60</w:t>
            </w:r>
          </w:p>
        </w:tc>
      </w:tr>
      <w:tr w:rsidR="008D3CDC" w:rsidRPr="0095162E" w14:paraId="7D8C547D" w14:textId="77777777" w:rsidTr="000754F4">
        <w:trPr>
          <w:trHeight w:hRule="exact" w:val="230"/>
        </w:trPr>
        <w:tc>
          <w:tcPr>
            <w:tcW w:w="1867" w:type="dxa"/>
            <w:tcBorders>
              <w:top w:val="single" w:sz="8" w:space="0" w:color="auto"/>
              <w:left w:val="single" w:sz="18" w:space="0" w:color="auto"/>
              <w:bottom w:val="single" w:sz="18" w:space="0" w:color="auto"/>
              <w:right w:val="dotted" w:sz="4" w:space="0" w:color="auto"/>
            </w:tcBorders>
            <w:vAlign w:val="center"/>
          </w:tcPr>
          <w:p w14:paraId="336C2C39" w14:textId="77777777" w:rsidR="008D3CDC" w:rsidRPr="0095162E" w:rsidRDefault="008D3CDC" w:rsidP="000754F4">
            <w:pPr>
              <w:spacing w:after="200"/>
              <w:rPr>
                <w:color w:val="000000"/>
                <w:sz w:val="20"/>
                <w:szCs w:val="20"/>
              </w:rPr>
            </w:pPr>
            <w:r>
              <w:rPr>
                <w:color w:val="000000"/>
                <w:sz w:val="20"/>
                <w:szCs w:val="20"/>
              </w:rPr>
              <w:t>Walkability</w:t>
            </w:r>
          </w:p>
        </w:tc>
        <w:tc>
          <w:tcPr>
            <w:tcW w:w="2520" w:type="dxa"/>
            <w:gridSpan w:val="3"/>
            <w:tcBorders>
              <w:top w:val="single" w:sz="8" w:space="0" w:color="auto"/>
              <w:left w:val="dotted" w:sz="4" w:space="0" w:color="auto"/>
              <w:bottom w:val="single" w:sz="18" w:space="0" w:color="auto"/>
            </w:tcBorders>
          </w:tcPr>
          <w:p w14:paraId="57E942F3" w14:textId="77777777" w:rsidR="008D3CDC" w:rsidRPr="0095162E" w:rsidRDefault="008D3CDC" w:rsidP="000754F4">
            <w:pPr>
              <w:spacing w:after="200"/>
              <w:rPr>
                <w:color w:val="000000"/>
                <w:sz w:val="20"/>
                <w:szCs w:val="20"/>
              </w:rPr>
            </w:pPr>
            <w:r w:rsidRPr="0095162E">
              <w:rPr>
                <w:color w:val="000000"/>
                <w:sz w:val="20"/>
                <w:szCs w:val="20"/>
              </w:rPr>
              <w:t>National Walkability Index</w:t>
            </w:r>
          </w:p>
        </w:tc>
        <w:tc>
          <w:tcPr>
            <w:tcW w:w="3510" w:type="dxa"/>
            <w:tcBorders>
              <w:top w:val="single" w:sz="8" w:space="0" w:color="auto"/>
              <w:bottom w:val="single" w:sz="18" w:space="0" w:color="auto"/>
            </w:tcBorders>
          </w:tcPr>
          <w:p w14:paraId="2ABA569F" w14:textId="77777777" w:rsidR="008D3CDC" w:rsidRPr="0095162E" w:rsidRDefault="008D3CDC" w:rsidP="000754F4">
            <w:pPr>
              <w:spacing w:after="200"/>
              <w:rPr>
                <w:color w:val="000000"/>
                <w:sz w:val="20"/>
                <w:szCs w:val="20"/>
              </w:rPr>
            </w:pPr>
            <w:r w:rsidRPr="0095162E">
              <w:rPr>
                <w:color w:val="000000"/>
                <w:sz w:val="20"/>
                <w:szCs w:val="20"/>
              </w:rPr>
              <w:t xml:space="preserve">EPA composite </w:t>
            </w:r>
            <w:r>
              <w:rPr>
                <w:color w:val="000000"/>
                <w:sz w:val="20"/>
                <w:szCs w:val="20"/>
              </w:rPr>
              <w:t>walkability score</w:t>
            </w:r>
          </w:p>
        </w:tc>
        <w:tc>
          <w:tcPr>
            <w:tcW w:w="810" w:type="dxa"/>
            <w:tcBorders>
              <w:top w:val="single" w:sz="8" w:space="0" w:color="auto"/>
              <w:bottom w:val="single" w:sz="18" w:space="0" w:color="auto"/>
            </w:tcBorders>
          </w:tcPr>
          <w:p w14:paraId="4999CC48" w14:textId="77777777" w:rsidR="008D3CDC" w:rsidRPr="0095162E" w:rsidRDefault="008D3CDC" w:rsidP="000754F4">
            <w:pPr>
              <w:tabs>
                <w:tab w:val="decimal" w:pos="360"/>
              </w:tabs>
              <w:spacing w:after="200"/>
              <w:rPr>
                <w:color w:val="000000"/>
                <w:sz w:val="20"/>
                <w:szCs w:val="20"/>
              </w:rPr>
            </w:pPr>
            <w:r w:rsidRPr="0095162E">
              <w:rPr>
                <w:color w:val="000000"/>
                <w:sz w:val="20"/>
                <w:szCs w:val="20"/>
              </w:rPr>
              <w:t>9.78</w:t>
            </w:r>
          </w:p>
        </w:tc>
        <w:tc>
          <w:tcPr>
            <w:tcW w:w="607" w:type="dxa"/>
            <w:tcBorders>
              <w:top w:val="single" w:sz="8" w:space="0" w:color="auto"/>
              <w:bottom w:val="single" w:sz="18" w:space="0" w:color="auto"/>
              <w:right w:val="single" w:sz="18" w:space="0" w:color="auto"/>
            </w:tcBorders>
          </w:tcPr>
          <w:p w14:paraId="2C3EBAAD" w14:textId="77777777" w:rsidR="008D3CDC" w:rsidRPr="0095162E" w:rsidRDefault="008D3CDC" w:rsidP="000754F4">
            <w:pPr>
              <w:tabs>
                <w:tab w:val="decimal" w:pos="288"/>
              </w:tabs>
              <w:spacing w:after="200"/>
              <w:rPr>
                <w:color w:val="000000"/>
                <w:sz w:val="20"/>
                <w:szCs w:val="20"/>
              </w:rPr>
            </w:pPr>
            <w:r w:rsidRPr="0095162E">
              <w:rPr>
                <w:color w:val="000000"/>
                <w:sz w:val="20"/>
                <w:szCs w:val="20"/>
              </w:rPr>
              <w:t>3.61</w:t>
            </w:r>
          </w:p>
        </w:tc>
      </w:tr>
    </w:tbl>
    <w:p w14:paraId="0B9230DB" w14:textId="4ADBC15A" w:rsidR="008D3CDC" w:rsidRDefault="008D3CDC" w:rsidP="008D3CDC">
      <w:pPr>
        <w:jc w:val="both"/>
        <w:rPr>
          <w:color w:val="000000" w:themeColor="text1"/>
          <w:sz w:val="20"/>
          <w:szCs w:val="20"/>
        </w:rPr>
      </w:pPr>
      <w:r w:rsidRPr="00FC7C1B">
        <w:rPr>
          <w:color w:val="000000" w:themeColor="text1"/>
          <w:sz w:val="20"/>
          <w:szCs w:val="20"/>
        </w:rPr>
        <w:t>*</w:t>
      </w:r>
      <w:r>
        <w:rPr>
          <w:color w:val="000000" w:themeColor="text1"/>
          <w:sz w:val="20"/>
          <w:szCs w:val="20"/>
        </w:rPr>
        <w:t xml:space="preserve"> Other race includes Native American, Middle Eastern or North African, and other write-in responses (e.g., Moorish</w:t>
      </w:r>
      <w:r w:rsidR="005711FD">
        <w:rPr>
          <w:color w:val="000000" w:themeColor="text1"/>
          <w:sz w:val="20"/>
          <w:szCs w:val="20"/>
        </w:rPr>
        <w:t xml:space="preserve"> </w:t>
      </w:r>
      <w:r>
        <w:rPr>
          <w:color w:val="000000" w:themeColor="text1"/>
          <w:sz w:val="20"/>
          <w:szCs w:val="20"/>
        </w:rPr>
        <w:t>American, multiracial).</w:t>
      </w:r>
    </w:p>
    <w:p w14:paraId="0268F557" w14:textId="66E6330A" w:rsidR="008D3CDC" w:rsidRDefault="008D3CDC" w:rsidP="008D3CDC">
      <w:pPr>
        <w:jc w:val="both"/>
        <w:rPr>
          <w:color w:val="000000" w:themeColor="text1"/>
          <w:sz w:val="20"/>
          <w:szCs w:val="20"/>
        </w:rPr>
      </w:pPr>
      <w:r w:rsidRPr="00A57417">
        <w:rPr>
          <w:color w:val="000000" w:themeColor="text1"/>
          <w:sz w:val="20"/>
          <w:szCs w:val="20"/>
          <w:vertAlign w:val="superscript"/>
        </w:rPr>
        <w:t>†</w:t>
      </w:r>
      <w:r w:rsidR="00AE2290">
        <w:rPr>
          <w:color w:val="000000" w:themeColor="text1"/>
          <w:sz w:val="20"/>
          <w:szCs w:val="20"/>
        </w:rPr>
        <w:t xml:space="preserve"> </w:t>
      </w:r>
      <w:r>
        <w:rPr>
          <w:color w:val="000000" w:themeColor="text1"/>
          <w:sz w:val="20"/>
          <w:szCs w:val="20"/>
        </w:rPr>
        <w:t xml:space="preserve">Other housing type includes manufactured homes, group quarters </w:t>
      </w:r>
      <w:r w:rsidRPr="00CF2C13">
        <w:rPr>
          <w:color w:val="000000" w:themeColor="text1"/>
          <w:sz w:val="20"/>
          <w:szCs w:val="20"/>
        </w:rPr>
        <w:t>(e.g., dormitories, nursing and assisted-living facilities)</w:t>
      </w:r>
      <w:r>
        <w:rPr>
          <w:color w:val="000000" w:themeColor="text1"/>
          <w:sz w:val="20"/>
          <w:szCs w:val="20"/>
        </w:rPr>
        <w:t xml:space="preserve">, </w:t>
      </w:r>
      <w:r w:rsidRPr="00FF52F1">
        <w:rPr>
          <w:color w:val="000000" w:themeColor="text1"/>
          <w:sz w:val="20"/>
          <w:szCs w:val="20"/>
        </w:rPr>
        <w:t>and other non-standard arrangements</w:t>
      </w:r>
      <w:r>
        <w:rPr>
          <w:color w:val="000000" w:themeColor="text1"/>
          <w:sz w:val="20"/>
          <w:szCs w:val="20"/>
        </w:rPr>
        <w:t xml:space="preserve"> </w:t>
      </w:r>
      <w:r w:rsidRPr="00FF52F1">
        <w:rPr>
          <w:color w:val="000000" w:themeColor="text1"/>
          <w:sz w:val="20"/>
          <w:szCs w:val="20"/>
        </w:rPr>
        <w:t>(e.g., shelters, hotels).</w:t>
      </w:r>
    </w:p>
    <w:p w14:paraId="058A3906" w14:textId="6E30CFE4" w:rsidR="008D3CDC" w:rsidRDefault="008D3CDC" w:rsidP="008D3CDC">
      <w:pPr>
        <w:jc w:val="both"/>
        <w:rPr>
          <w:color w:val="000000" w:themeColor="text1"/>
          <w:sz w:val="20"/>
          <w:szCs w:val="20"/>
        </w:rPr>
      </w:pPr>
      <w:r w:rsidRPr="00A57417">
        <w:rPr>
          <w:color w:val="000000" w:themeColor="text1"/>
          <w:sz w:val="20"/>
          <w:szCs w:val="20"/>
          <w:vertAlign w:val="superscript"/>
        </w:rPr>
        <w:lastRenderedPageBreak/>
        <w:t>‡</w:t>
      </w:r>
      <w:r>
        <w:rPr>
          <w:color w:val="000000" w:themeColor="text1"/>
          <w:sz w:val="20"/>
          <w:szCs w:val="20"/>
        </w:rPr>
        <w:t xml:space="preserve"> </w:t>
      </w:r>
      <w:r w:rsidRPr="00615BA3">
        <w:rPr>
          <w:color w:val="000000" w:themeColor="text1"/>
          <w:sz w:val="20"/>
          <w:szCs w:val="20"/>
        </w:rPr>
        <w:t>Census divisions comprise the following states: New England (Connecticut, Maine, Massachusetts, New Hampshire, Rhode Island, Vermont); Middle Atlantic (New Jersey, New York, Pennsylvania); East North Central (Illinois, Indiana, Michigan, Ohio, Wisconsin); West North Central (Iowa, Kansas, Minnesota, Missouri, Nebraska, North Dakota, South Dakota); South Atlantic (Delaware, District of Columbia, Florida, Georgia, Maryland, North Carolina, South Carolina, Virginia, West Virginia); East South Central (Alabama, Kentucky, Mississippi, Tennessee); West South Central (Arkansas, Louisiana, Oklahoma, Texas); Mountain (Arizona, Colorado, Idaho, Montana, Nevada, New Mexico, Utah, Wyoming); and Pacific (Alaska, California, Hawaii, Oregon, Washington).</w:t>
      </w:r>
    </w:p>
    <w:p w14:paraId="77F4DF07" w14:textId="77777777" w:rsidR="008D3CDC" w:rsidRPr="00B9201B" w:rsidRDefault="008D3CDC" w:rsidP="008D3CDC">
      <w:pPr>
        <w:jc w:val="both"/>
        <w:rPr>
          <w:color w:val="000000" w:themeColor="text1"/>
          <w:sz w:val="24"/>
          <w:szCs w:val="24"/>
        </w:rPr>
      </w:pPr>
    </w:p>
    <w:p w14:paraId="370D8FDC" w14:textId="425F9B09" w:rsidR="006B56B9" w:rsidRDefault="006B56B9" w:rsidP="007A41A4">
      <w:pPr>
        <w:pStyle w:val="FootnoteText"/>
        <w:ind w:firstLine="720"/>
        <w:jc w:val="both"/>
        <w:rPr>
          <w:color w:val="000000"/>
          <w:sz w:val="24"/>
          <w:szCs w:val="24"/>
        </w:rPr>
      </w:pPr>
      <w:r w:rsidRPr="00D12A3D">
        <w:rPr>
          <w:color w:val="000000"/>
          <w:sz w:val="24"/>
          <w:szCs w:val="24"/>
        </w:rPr>
        <w:t xml:space="preserve">The analysis sample diverges from the ACS </w:t>
      </w:r>
      <w:r>
        <w:rPr>
          <w:color w:val="000000"/>
          <w:sz w:val="24"/>
          <w:szCs w:val="24"/>
        </w:rPr>
        <w:t xml:space="preserve">estimates </w:t>
      </w:r>
      <w:r w:rsidRPr="00D12A3D">
        <w:rPr>
          <w:color w:val="000000"/>
          <w:sz w:val="24"/>
          <w:szCs w:val="24"/>
        </w:rPr>
        <w:t xml:space="preserve">along a few notable dimensions. The most prominent divergences appear in </w:t>
      </w:r>
      <w:r w:rsidR="006556EA">
        <w:rPr>
          <w:color w:val="000000"/>
          <w:sz w:val="24"/>
          <w:szCs w:val="24"/>
        </w:rPr>
        <w:t xml:space="preserve">the </w:t>
      </w:r>
      <w:r w:rsidR="006F1882" w:rsidRPr="00D12A3D">
        <w:rPr>
          <w:color w:val="000000"/>
          <w:sz w:val="24"/>
          <w:szCs w:val="24"/>
        </w:rPr>
        <w:t>age</w:t>
      </w:r>
      <w:r w:rsidRPr="00D12A3D">
        <w:rPr>
          <w:color w:val="000000"/>
          <w:sz w:val="24"/>
          <w:szCs w:val="24"/>
        </w:rPr>
        <w:t xml:space="preserve"> and employment distributions, with older adults aged 65 or older and </w:t>
      </w:r>
      <w:r w:rsidR="006556EA">
        <w:rPr>
          <w:color w:val="000000"/>
          <w:sz w:val="24"/>
          <w:szCs w:val="24"/>
        </w:rPr>
        <w:t>“retired/</w:t>
      </w:r>
      <w:r w:rsidRPr="00D12A3D">
        <w:rPr>
          <w:color w:val="000000"/>
          <w:sz w:val="24"/>
          <w:szCs w:val="24"/>
        </w:rPr>
        <w:t>n</w:t>
      </w:r>
      <w:r w:rsidR="006556EA">
        <w:rPr>
          <w:color w:val="000000"/>
          <w:sz w:val="24"/>
          <w:szCs w:val="24"/>
        </w:rPr>
        <w:t>ot employed”</w:t>
      </w:r>
      <w:r w:rsidRPr="00D12A3D">
        <w:rPr>
          <w:color w:val="000000"/>
          <w:sz w:val="24"/>
          <w:szCs w:val="24"/>
        </w:rPr>
        <w:t xml:space="preserve"> respondents both over-represented</w:t>
      </w:r>
      <w:r>
        <w:rPr>
          <w:color w:val="000000"/>
          <w:sz w:val="24"/>
          <w:szCs w:val="24"/>
        </w:rPr>
        <w:t xml:space="preserve">. At the </w:t>
      </w:r>
      <w:r w:rsidRPr="00D12A3D">
        <w:rPr>
          <w:color w:val="000000"/>
          <w:sz w:val="24"/>
          <w:szCs w:val="24"/>
        </w:rPr>
        <w:t>household</w:t>
      </w:r>
      <w:r>
        <w:rPr>
          <w:color w:val="000000"/>
          <w:sz w:val="24"/>
          <w:szCs w:val="24"/>
        </w:rPr>
        <w:t xml:space="preserve"> </w:t>
      </w:r>
      <w:r w:rsidRPr="00D12A3D">
        <w:rPr>
          <w:color w:val="000000"/>
          <w:sz w:val="24"/>
          <w:szCs w:val="24"/>
        </w:rPr>
        <w:t xml:space="preserve">level, </w:t>
      </w:r>
      <w:r w:rsidR="005D6052">
        <w:rPr>
          <w:color w:val="000000"/>
          <w:sz w:val="24"/>
          <w:szCs w:val="24"/>
        </w:rPr>
        <w:t>apartment</w:t>
      </w:r>
      <w:r w:rsidR="006556EA" w:rsidRPr="00D12A3D">
        <w:rPr>
          <w:color w:val="000000"/>
          <w:sz w:val="24"/>
          <w:szCs w:val="24"/>
        </w:rPr>
        <w:t xml:space="preserve"> residents </w:t>
      </w:r>
      <w:r w:rsidRPr="00D12A3D">
        <w:rPr>
          <w:color w:val="000000"/>
          <w:sz w:val="24"/>
          <w:szCs w:val="24"/>
        </w:rPr>
        <w:t>and households owning three or more vehicles</w:t>
      </w:r>
      <w:r w:rsidR="00501531">
        <w:rPr>
          <w:color w:val="000000"/>
          <w:sz w:val="24"/>
          <w:szCs w:val="24"/>
        </w:rPr>
        <w:t xml:space="preserve"> are</w:t>
      </w:r>
      <w:r w:rsidRPr="00D12A3D">
        <w:rPr>
          <w:color w:val="000000"/>
          <w:sz w:val="24"/>
          <w:szCs w:val="24"/>
        </w:rPr>
        <w:t xml:space="preserve"> each under-represented relative to their national shares.</w:t>
      </w:r>
      <w:r w:rsidR="00567AC9">
        <w:rPr>
          <w:color w:val="000000"/>
          <w:sz w:val="24"/>
          <w:szCs w:val="24"/>
        </w:rPr>
        <w:t xml:space="preserve"> </w:t>
      </w:r>
      <w:r w:rsidR="005B389B" w:rsidRPr="005B389B">
        <w:rPr>
          <w:color w:val="000000"/>
          <w:sz w:val="24"/>
          <w:szCs w:val="24"/>
        </w:rPr>
        <w:t>These divergences are consistent with patterns documented for online opinion panel</w:t>
      </w:r>
      <w:r w:rsidR="00F47886">
        <w:rPr>
          <w:color w:val="000000"/>
          <w:sz w:val="24"/>
          <w:szCs w:val="24"/>
        </w:rPr>
        <w:t>-based databases</w:t>
      </w:r>
      <w:r w:rsidR="005B389B" w:rsidRPr="005B389B">
        <w:rPr>
          <w:color w:val="000000"/>
          <w:sz w:val="24"/>
          <w:szCs w:val="24"/>
        </w:rPr>
        <w:t>, which, even when recruitment is governed by demographic quotas, draw on a pool of individuals who have self-selected into the panel and so tend to differ from the general population along certain dimensions</w:t>
      </w:r>
      <w:r w:rsidR="005B389B">
        <w:rPr>
          <w:color w:val="000000"/>
          <w:sz w:val="24"/>
          <w:szCs w:val="24"/>
        </w:rPr>
        <w:t xml:space="preserve"> </w:t>
      </w:r>
      <w:sdt>
        <w:sdtPr>
          <w:rPr>
            <w:color w:val="000000"/>
            <w:sz w:val="24"/>
            <w:szCs w:val="24"/>
          </w:rPr>
          <w:tag w:val="MENDELEY_CITATION_v3_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"/>
          <w:id w:val="1642007384"/>
          <w:placeholder>
            <w:docPart w:val="DefaultPlaceholder_-1854013440"/>
          </w:placeholder>
        </w:sdtPr>
        <w:sdtEndPr/>
        <w:sdtContent>
          <w:r w:rsidR="000C5DDA" w:rsidRPr="000C5DDA">
            <w:rPr>
              <w:color w:val="000000"/>
              <w:sz w:val="24"/>
              <w:szCs w:val="24"/>
            </w:rPr>
            <w:t>(Wang et al., 2023)</w:t>
          </w:r>
        </w:sdtContent>
      </w:sdt>
      <w:r w:rsidR="00236276">
        <w:rPr>
          <w:color w:val="000000"/>
          <w:sz w:val="24"/>
          <w:szCs w:val="24"/>
        </w:rPr>
        <w:t xml:space="preserve">. </w:t>
      </w:r>
      <w:r w:rsidR="00236276" w:rsidRPr="00236276">
        <w:rPr>
          <w:color w:val="000000"/>
          <w:sz w:val="24"/>
          <w:szCs w:val="24"/>
        </w:rPr>
        <w:t>Those with more available time, such as older adults and individuals outside the labor force, tend to be more readily recruited, wh</w:t>
      </w:r>
      <w:r w:rsidR="00F47886">
        <w:rPr>
          <w:color w:val="000000"/>
          <w:sz w:val="24"/>
          <w:szCs w:val="24"/>
        </w:rPr>
        <w:t>ile</w:t>
      </w:r>
      <w:r w:rsidR="00236276" w:rsidRPr="00236276">
        <w:rPr>
          <w:color w:val="000000"/>
          <w:sz w:val="24"/>
          <w:szCs w:val="24"/>
        </w:rPr>
        <w:t xml:space="preserve"> harder-to-reach higher-income and apartment-dwelling groups tend to be under-represented.</w:t>
      </w:r>
      <w:r w:rsidR="00236276">
        <w:rPr>
          <w:color w:val="000000"/>
          <w:sz w:val="24"/>
          <w:szCs w:val="24"/>
        </w:rPr>
        <w:t xml:space="preserve"> </w:t>
      </w:r>
      <w:r w:rsidR="00234B19" w:rsidRPr="00234B19">
        <w:rPr>
          <w:color w:val="000000"/>
          <w:sz w:val="24"/>
          <w:szCs w:val="24"/>
        </w:rPr>
        <w:t xml:space="preserve">The sample includes broad geographic coverage across all </w:t>
      </w:r>
      <w:r w:rsidR="005A5F22">
        <w:rPr>
          <w:color w:val="000000"/>
          <w:sz w:val="24"/>
          <w:szCs w:val="24"/>
        </w:rPr>
        <w:t>c</w:t>
      </w:r>
      <w:r w:rsidR="00234B19" w:rsidRPr="00234B19">
        <w:rPr>
          <w:color w:val="000000"/>
          <w:sz w:val="24"/>
          <w:szCs w:val="24"/>
        </w:rPr>
        <w:t xml:space="preserve">ensus divisions, as shown in the central panel of </w:t>
      </w:r>
      <w:r w:rsidR="008D5659">
        <w:rPr>
          <w:color w:val="000000"/>
          <w:sz w:val="24"/>
          <w:szCs w:val="24"/>
        </w:rPr>
        <w:t>T</w:t>
      </w:r>
      <w:r w:rsidR="00234B19" w:rsidRPr="00234B19">
        <w:rPr>
          <w:color w:val="000000"/>
          <w:sz w:val="24"/>
          <w:szCs w:val="24"/>
        </w:rPr>
        <w:t xml:space="preserve">able 2. </w:t>
      </w:r>
      <w:r w:rsidR="00F47886">
        <w:rPr>
          <w:color w:val="000000"/>
          <w:sz w:val="24"/>
          <w:szCs w:val="24"/>
        </w:rPr>
        <w:t xml:space="preserve">Overall, </w:t>
      </w:r>
      <w:r w:rsidR="00234B19" w:rsidRPr="00234B19">
        <w:rPr>
          <w:color w:val="000000"/>
          <w:sz w:val="24"/>
          <w:szCs w:val="24"/>
        </w:rPr>
        <w:t>despite some differences in the distributions of exogenous variables in the current sample and the ACS data, there is substantial variation across all the variables considered. Given this variation in exogenous variables and the fact that the sample was collected exogenously (rather than being targeted towards NRATs specifically), an unweighted estimation approach is preferred to a sampling-weighted one for the purpose of estimating the individual-level relationships between exogenous variables and active transportation outcomes</w:t>
      </w:r>
      <w:r w:rsidR="00234B19">
        <w:rPr>
          <w:color w:val="000000"/>
          <w:sz w:val="24"/>
          <w:szCs w:val="24"/>
        </w:rPr>
        <w:t xml:space="preserve"> </w:t>
      </w:r>
      <w:sdt>
        <w:sdtPr>
          <w:rPr>
            <w:color w:val="000000"/>
            <w:sz w:val="24"/>
            <w:szCs w:val="24"/>
          </w:rPr>
          <w:tag w:val="MENDELEY_CITATION_v3_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"/>
          <w:id w:val="-799150583"/>
          <w:placeholder>
            <w:docPart w:val="DefaultPlaceholder_-1854013440"/>
          </w:placeholder>
        </w:sdtPr>
        <w:sdtEndPr/>
        <w:sdtContent>
          <w:r w:rsidR="000C5DDA" w:rsidRPr="000C5DDA">
            <w:rPr>
              <w:color w:val="000000"/>
              <w:sz w:val="24"/>
              <w:szCs w:val="24"/>
            </w:rPr>
            <w:t>(Solon et al., 2015; Robbennolt et al., 2026)</w:t>
          </w:r>
        </w:sdtContent>
      </w:sdt>
      <w:r>
        <w:rPr>
          <w:color w:val="000000"/>
          <w:sz w:val="24"/>
          <w:szCs w:val="24"/>
        </w:rPr>
        <w:t>.</w:t>
      </w:r>
    </w:p>
    <w:p w14:paraId="6835F8FD" w14:textId="00EBB9B6" w:rsidR="00F858C9" w:rsidRDefault="00943B91" w:rsidP="00B9201B">
      <w:pPr>
        <w:pStyle w:val="FootnoteText"/>
        <w:ind w:firstLine="720"/>
        <w:jc w:val="both"/>
        <w:rPr>
          <w:color w:val="000000"/>
          <w:sz w:val="24"/>
          <w:szCs w:val="24"/>
        </w:rPr>
      </w:pPr>
      <w:r w:rsidRPr="00943B91">
        <w:rPr>
          <w:color w:val="000000"/>
          <w:sz w:val="24"/>
          <w:szCs w:val="24"/>
        </w:rPr>
        <w:t>Finally, the residential BE context for each respondent is summarized through thirteen measures drawn from the EPA Smart Location Database</w:t>
      </w:r>
      <w:r>
        <w:rPr>
          <w:color w:val="000000"/>
          <w:sz w:val="24"/>
          <w:szCs w:val="24"/>
        </w:rPr>
        <w:t xml:space="preserve"> </w:t>
      </w:r>
      <w:sdt>
        <w:sdtPr>
          <w:rPr>
            <w:color w:val="000000"/>
            <w:sz w:val="24"/>
            <w:szCs w:val="24"/>
          </w:rPr>
          <w:tag w:val="MENDELEY_CITATION_v3_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"/>
          <w:id w:val="340511963"/>
          <w:placeholder>
            <w:docPart w:val="DefaultPlaceholder_-1854013440"/>
          </w:placeholder>
        </w:sdtPr>
        <w:sdtEndPr/>
        <w:sdtContent>
          <w:r w:rsidR="000C5DDA" w:rsidRPr="000C5DDA">
            <w:rPr>
              <w:color w:val="000000"/>
              <w:sz w:val="24"/>
              <w:szCs w:val="24"/>
            </w:rPr>
            <w:t>(Chapman et al., 2021)</w:t>
          </w:r>
        </w:sdtContent>
      </w:sdt>
      <w:r w:rsidR="00A3548D">
        <w:rPr>
          <w:color w:val="000000"/>
          <w:sz w:val="24"/>
          <w:szCs w:val="24"/>
        </w:rPr>
        <w:t xml:space="preserve"> </w:t>
      </w:r>
      <w:r w:rsidRPr="00943B91">
        <w:rPr>
          <w:color w:val="000000"/>
          <w:sz w:val="24"/>
          <w:szCs w:val="24"/>
        </w:rPr>
        <w:t xml:space="preserve">and reported in the lower panel of Table 2. </w:t>
      </w:r>
      <w:r w:rsidR="00865276">
        <w:rPr>
          <w:color w:val="000000"/>
          <w:sz w:val="24"/>
          <w:szCs w:val="24"/>
        </w:rPr>
        <w:t>As indicated earlier, these measures correspond to the zip code of the respondent</w:t>
      </w:r>
      <w:r w:rsidR="000D7001">
        <w:rPr>
          <w:color w:val="000000"/>
          <w:sz w:val="24"/>
          <w:szCs w:val="24"/>
        </w:rPr>
        <w:t>’</w:t>
      </w:r>
      <w:r w:rsidR="00865276">
        <w:rPr>
          <w:color w:val="000000"/>
          <w:sz w:val="24"/>
          <w:szCs w:val="24"/>
        </w:rPr>
        <w:t>s residence</w:t>
      </w:r>
      <w:r w:rsidR="00090A0D">
        <w:rPr>
          <w:color w:val="000000"/>
          <w:sz w:val="24"/>
          <w:szCs w:val="24"/>
        </w:rPr>
        <w:t xml:space="preserve"> (for presentation ease, we will refer to the zip code of the respondent</w:t>
      </w:r>
      <w:r w:rsidR="000D7001">
        <w:rPr>
          <w:color w:val="000000"/>
          <w:sz w:val="24"/>
          <w:szCs w:val="24"/>
        </w:rPr>
        <w:t>’</w:t>
      </w:r>
      <w:r w:rsidR="00090A0D">
        <w:rPr>
          <w:color w:val="000000"/>
          <w:sz w:val="24"/>
          <w:szCs w:val="24"/>
        </w:rPr>
        <w:t>s residence as the respondent</w:t>
      </w:r>
      <w:r w:rsidR="000D7001">
        <w:rPr>
          <w:color w:val="000000"/>
          <w:sz w:val="24"/>
          <w:szCs w:val="24"/>
        </w:rPr>
        <w:t>’</w:t>
      </w:r>
      <w:r w:rsidR="00090A0D">
        <w:rPr>
          <w:color w:val="000000"/>
          <w:sz w:val="24"/>
          <w:szCs w:val="24"/>
        </w:rPr>
        <w:t>s neighborhood or simply “neighborhood”)</w:t>
      </w:r>
      <w:r w:rsidR="00865276">
        <w:rPr>
          <w:color w:val="000000"/>
          <w:sz w:val="24"/>
          <w:szCs w:val="24"/>
        </w:rPr>
        <w:t xml:space="preserve">. </w:t>
      </w:r>
      <w:r w:rsidRPr="00943B91">
        <w:rPr>
          <w:color w:val="000000"/>
          <w:sz w:val="24"/>
          <w:szCs w:val="24"/>
        </w:rPr>
        <w:t>Three of these are socio</w:t>
      </w:r>
      <w:r w:rsidR="0029477E">
        <w:rPr>
          <w:color w:val="000000"/>
          <w:sz w:val="24"/>
          <w:szCs w:val="24"/>
        </w:rPr>
        <w:t>-</w:t>
      </w:r>
      <w:r w:rsidRPr="00943B91">
        <w:rPr>
          <w:color w:val="000000"/>
          <w:sz w:val="24"/>
          <w:szCs w:val="24"/>
        </w:rPr>
        <w:t xml:space="preserve">economic shares </w:t>
      </w:r>
      <w:r w:rsidR="006D12A3">
        <w:rPr>
          <w:color w:val="000000"/>
          <w:sz w:val="24"/>
          <w:szCs w:val="24"/>
        </w:rPr>
        <w:t>(</w:t>
      </w:r>
      <w:r w:rsidRPr="00943B91">
        <w:rPr>
          <w:color w:val="000000"/>
          <w:sz w:val="24"/>
          <w:szCs w:val="24"/>
        </w:rPr>
        <w:t xml:space="preserve">ranging from </w:t>
      </w:r>
      <w:r w:rsidR="00053421">
        <w:rPr>
          <w:color w:val="000000"/>
          <w:sz w:val="24"/>
          <w:szCs w:val="24"/>
        </w:rPr>
        <w:t>zero</w:t>
      </w:r>
      <w:r w:rsidRPr="00943B91">
        <w:rPr>
          <w:color w:val="000000"/>
          <w:sz w:val="24"/>
          <w:szCs w:val="24"/>
        </w:rPr>
        <w:t xml:space="preserve"> to </w:t>
      </w:r>
      <w:r w:rsidR="00053421">
        <w:rPr>
          <w:color w:val="000000"/>
          <w:sz w:val="24"/>
          <w:szCs w:val="24"/>
        </w:rPr>
        <w:t>one</w:t>
      </w:r>
      <w:r w:rsidR="006D12A3">
        <w:rPr>
          <w:color w:val="000000"/>
          <w:sz w:val="24"/>
          <w:szCs w:val="24"/>
        </w:rPr>
        <w:t>)</w:t>
      </w:r>
      <w:r w:rsidRPr="00943B91">
        <w:rPr>
          <w:color w:val="000000"/>
          <w:sz w:val="24"/>
          <w:szCs w:val="24"/>
        </w:rPr>
        <w:t xml:space="preserve">. The share of </w:t>
      </w:r>
      <w:r w:rsidR="00793E70">
        <w:rPr>
          <w:color w:val="000000"/>
          <w:sz w:val="24"/>
          <w:szCs w:val="24"/>
        </w:rPr>
        <w:t>n</w:t>
      </w:r>
      <w:r w:rsidR="00592575">
        <w:rPr>
          <w:color w:val="000000"/>
          <w:sz w:val="24"/>
          <w:szCs w:val="24"/>
        </w:rPr>
        <w:t>o</w:t>
      </w:r>
      <w:r w:rsidRPr="00943B91">
        <w:rPr>
          <w:color w:val="000000"/>
          <w:sz w:val="24"/>
          <w:szCs w:val="24"/>
        </w:rPr>
        <w:t xml:space="preserve">-vehicle households gives the fraction of </w:t>
      </w:r>
      <w:r w:rsidR="00090A0D">
        <w:rPr>
          <w:color w:val="000000"/>
          <w:sz w:val="24"/>
          <w:szCs w:val="24"/>
        </w:rPr>
        <w:t>neighborhood</w:t>
      </w:r>
      <w:r w:rsidRPr="00943B91">
        <w:rPr>
          <w:color w:val="000000"/>
          <w:sz w:val="24"/>
          <w:szCs w:val="24"/>
        </w:rPr>
        <w:t xml:space="preserve"> households owning no motor vehicle, while the shares of low- and medium-wage workers give the fraction of resident workers earning low-tier wages ($1,250 per month or less) and middle-tier wages ($1,251 to $3,333 per month), respectively</w:t>
      </w:r>
      <w:r w:rsidR="00780F7F">
        <w:rPr>
          <w:color w:val="000000"/>
          <w:sz w:val="24"/>
          <w:szCs w:val="24"/>
        </w:rPr>
        <w:t>.</w:t>
      </w:r>
      <w:r w:rsidRPr="00943B91">
        <w:rPr>
          <w:color w:val="000000"/>
          <w:sz w:val="24"/>
          <w:szCs w:val="24"/>
        </w:rPr>
        <w:t xml:space="preserve"> </w:t>
      </w:r>
      <w:r w:rsidR="00780F7F">
        <w:rPr>
          <w:color w:val="000000"/>
          <w:sz w:val="24"/>
          <w:szCs w:val="24"/>
        </w:rPr>
        <w:t>T</w:t>
      </w:r>
      <w:r w:rsidRPr="00943B91">
        <w:rPr>
          <w:color w:val="000000"/>
          <w:sz w:val="24"/>
          <w:szCs w:val="24"/>
        </w:rPr>
        <w:t>ogether</w:t>
      </w:r>
      <w:r w:rsidR="00780F7F">
        <w:rPr>
          <w:color w:val="000000"/>
          <w:sz w:val="24"/>
          <w:szCs w:val="24"/>
        </w:rPr>
        <w:t>, these three measures</w:t>
      </w:r>
      <w:r w:rsidRPr="00943B91">
        <w:rPr>
          <w:color w:val="000000"/>
          <w:sz w:val="24"/>
          <w:szCs w:val="24"/>
        </w:rPr>
        <w:t xml:space="preserve"> characteriz</w:t>
      </w:r>
      <w:r w:rsidR="00780F7F">
        <w:rPr>
          <w:color w:val="000000"/>
          <w:sz w:val="24"/>
          <w:szCs w:val="24"/>
        </w:rPr>
        <w:t>e</w:t>
      </w:r>
      <w:r w:rsidRPr="00943B91">
        <w:rPr>
          <w:color w:val="000000"/>
          <w:sz w:val="24"/>
          <w:szCs w:val="24"/>
        </w:rPr>
        <w:t xml:space="preserve"> the motorization and broader socio</w:t>
      </w:r>
      <w:r w:rsidR="0029477E">
        <w:rPr>
          <w:color w:val="000000"/>
          <w:sz w:val="24"/>
          <w:szCs w:val="24"/>
        </w:rPr>
        <w:t>-</w:t>
      </w:r>
      <w:r w:rsidRPr="00943B91">
        <w:rPr>
          <w:color w:val="000000"/>
          <w:sz w:val="24"/>
          <w:szCs w:val="24"/>
        </w:rPr>
        <w:t xml:space="preserve">economic profile of the neighborhood. Two measures capture development </w:t>
      </w:r>
      <w:r w:rsidR="00440310">
        <w:rPr>
          <w:color w:val="000000"/>
          <w:sz w:val="24"/>
          <w:szCs w:val="24"/>
        </w:rPr>
        <w:t>density</w:t>
      </w:r>
      <w:r w:rsidRPr="00943B91">
        <w:rPr>
          <w:color w:val="000000"/>
          <w:sz w:val="24"/>
          <w:szCs w:val="24"/>
        </w:rPr>
        <w:t xml:space="preserve">, with population density measuring persons per acre of developable land (land not protected from development) and activity density measuring jobs and housing units per acre of developable land. Three further measures capture </w:t>
      </w:r>
      <w:r w:rsidR="00865276">
        <w:rPr>
          <w:color w:val="000000"/>
          <w:sz w:val="24"/>
          <w:szCs w:val="24"/>
        </w:rPr>
        <w:t xml:space="preserve">local activity mix attributes </w:t>
      </w:r>
      <w:r w:rsidR="00F47886">
        <w:rPr>
          <w:color w:val="000000"/>
          <w:sz w:val="24"/>
          <w:szCs w:val="24"/>
        </w:rPr>
        <w:t>as follows:</w:t>
      </w:r>
      <w:r w:rsidRPr="00943B91">
        <w:rPr>
          <w:color w:val="000000"/>
          <w:sz w:val="24"/>
          <w:szCs w:val="24"/>
        </w:rPr>
        <w:t xml:space="preserve"> </w:t>
      </w:r>
      <w:r w:rsidR="00F47886">
        <w:rPr>
          <w:color w:val="000000"/>
          <w:sz w:val="24"/>
          <w:szCs w:val="24"/>
        </w:rPr>
        <w:t>(1) t</w:t>
      </w:r>
      <w:r w:rsidRPr="00943B91">
        <w:rPr>
          <w:color w:val="000000"/>
          <w:sz w:val="24"/>
          <w:szCs w:val="24"/>
        </w:rPr>
        <w:t>he employment mix</w:t>
      </w:r>
      <w:r w:rsidR="00F56934">
        <w:rPr>
          <w:color w:val="000000"/>
          <w:sz w:val="24"/>
          <w:szCs w:val="24"/>
        </w:rPr>
        <w:t xml:space="preserve"> is captured through</w:t>
      </w:r>
      <w:r w:rsidRPr="00943B91">
        <w:rPr>
          <w:color w:val="000000"/>
          <w:sz w:val="24"/>
          <w:szCs w:val="24"/>
        </w:rPr>
        <w:t xml:space="preserve"> an eight-tier employment entropy</w:t>
      </w:r>
      <w:r w:rsidR="00F56934">
        <w:rPr>
          <w:color w:val="000000"/>
          <w:sz w:val="24"/>
          <w:szCs w:val="24"/>
        </w:rPr>
        <w:t xml:space="preserve"> index (which</w:t>
      </w:r>
      <w:r w:rsidRPr="00943B91">
        <w:rPr>
          <w:color w:val="000000"/>
          <w:sz w:val="24"/>
          <w:szCs w:val="24"/>
        </w:rPr>
        <w:t xml:space="preserve"> ranges from </w:t>
      </w:r>
      <w:r w:rsidR="00053421">
        <w:rPr>
          <w:color w:val="000000"/>
          <w:sz w:val="24"/>
          <w:szCs w:val="24"/>
        </w:rPr>
        <w:t>zero</w:t>
      </w:r>
      <w:r w:rsidRPr="00943B91">
        <w:rPr>
          <w:color w:val="000000"/>
          <w:sz w:val="24"/>
          <w:szCs w:val="24"/>
        </w:rPr>
        <w:t xml:space="preserve"> to </w:t>
      </w:r>
      <w:r w:rsidR="00053421">
        <w:rPr>
          <w:color w:val="000000"/>
          <w:sz w:val="24"/>
          <w:szCs w:val="24"/>
        </w:rPr>
        <w:t>one</w:t>
      </w:r>
      <w:r w:rsidRPr="00943B91">
        <w:rPr>
          <w:color w:val="000000"/>
          <w:sz w:val="24"/>
          <w:szCs w:val="24"/>
        </w:rPr>
        <w:t>, with zero indicating that all local jobs fall within a single employment sector and one indicating jobs distributed evenly across all eight sectors</w:t>
      </w:r>
      <w:r w:rsidR="00F56934">
        <w:rPr>
          <w:color w:val="000000"/>
          <w:sz w:val="24"/>
          <w:szCs w:val="24"/>
        </w:rPr>
        <w:t>)</w:t>
      </w:r>
      <w:r w:rsidR="00090A0D">
        <w:rPr>
          <w:rStyle w:val="FootnoteReference"/>
          <w:color w:val="000000"/>
          <w:sz w:val="24"/>
          <w:szCs w:val="24"/>
        </w:rPr>
        <w:footnoteReference w:id="2"/>
      </w:r>
      <w:r w:rsidR="00F56934">
        <w:rPr>
          <w:color w:val="000000"/>
          <w:sz w:val="24"/>
          <w:szCs w:val="24"/>
        </w:rPr>
        <w:t xml:space="preserve">, </w:t>
      </w:r>
      <w:r w:rsidR="00F47886">
        <w:rPr>
          <w:color w:val="000000"/>
          <w:sz w:val="24"/>
          <w:szCs w:val="24"/>
        </w:rPr>
        <w:t xml:space="preserve">(2) </w:t>
      </w:r>
      <w:r w:rsidR="00F47886" w:rsidRPr="00943B91">
        <w:rPr>
          <w:color w:val="000000"/>
          <w:sz w:val="24"/>
          <w:szCs w:val="24"/>
        </w:rPr>
        <w:t>the jobs-per-household ratio</w:t>
      </w:r>
      <w:r w:rsidR="00F47886">
        <w:rPr>
          <w:color w:val="000000"/>
          <w:sz w:val="24"/>
          <w:szCs w:val="24"/>
        </w:rPr>
        <w:t xml:space="preserve"> (</w:t>
      </w:r>
      <w:r w:rsidR="00F47886" w:rsidRPr="00943B91">
        <w:rPr>
          <w:color w:val="000000"/>
          <w:sz w:val="24"/>
          <w:szCs w:val="24"/>
        </w:rPr>
        <w:t>an unbounded measure of zero or greater</w:t>
      </w:r>
      <w:r w:rsidR="00F47886">
        <w:rPr>
          <w:color w:val="000000"/>
          <w:sz w:val="24"/>
          <w:szCs w:val="24"/>
        </w:rPr>
        <w:t>)</w:t>
      </w:r>
      <w:r w:rsidR="00F47886" w:rsidRPr="00943B91">
        <w:rPr>
          <w:color w:val="000000"/>
          <w:sz w:val="24"/>
          <w:szCs w:val="24"/>
        </w:rPr>
        <w:t xml:space="preserve"> indexes the local balance </w:t>
      </w:r>
      <w:r w:rsidR="00F47886" w:rsidRPr="00943B91">
        <w:rPr>
          <w:color w:val="000000"/>
          <w:sz w:val="24"/>
          <w:szCs w:val="24"/>
        </w:rPr>
        <w:lastRenderedPageBreak/>
        <w:t>between jobs and residences</w:t>
      </w:r>
      <w:r w:rsidR="00F858C9">
        <w:rPr>
          <w:rStyle w:val="FootnoteReference"/>
          <w:color w:val="000000"/>
          <w:sz w:val="24"/>
          <w:szCs w:val="24"/>
        </w:rPr>
        <w:footnoteReference w:id="3"/>
      </w:r>
      <w:r w:rsidR="00F47886">
        <w:rPr>
          <w:color w:val="000000"/>
          <w:sz w:val="24"/>
          <w:szCs w:val="24"/>
        </w:rPr>
        <w:t xml:space="preserve">, and (3) </w:t>
      </w:r>
      <w:r w:rsidRPr="00943B91">
        <w:rPr>
          <w:color w:val="000000"/>
          <w:sz w:val="24"/>
          <w:szCs w:val="24"/>
        </w:rPr>
        <w:t>the land-use mix</w:t>
      </w:r>
      <w:r w:rsidR="00F56934">
        <w:rPr>
          <w:color w:val="000000"/>
          <w:sz w:val="24"/>
          <w:szCs w:val="24"/>
        </w:rPr>
        <w:t xml:space="preserve"> is captured through</w:t>
      </w:r>
      <w:r w:rsidRPr="00943B91">
        <w:rPr>
          <w:color w:val="000000"/>
          <w:sz w:val="24"/>
          <w:szCs w:val="24"/>
        </w:rPr>
        <w:t xml:space="preserve"> an</w:t>
      </w:r>
      <w:r w:rsidR="00F56934">
        <w:rPr>
          <w:color w:val="000000"/>
          <w:sz w:val="24"/>
          <w:szCs w:val="24"/>
        </w:rPr>
        <w:t xml:space="preserve"> index of the</w:t>
      </w:r>
      <w:r w:rsidRPr="00943B91">
        <w:rPr>
          <w:color w:val="000000"/>
          <w:sz w:val="24"/>
          <w:szCs w:val="24"/>
        </w:rPr>
        <w:t xml:space="preserve"> entropy of employment and households</w:t>
      </w:r>
      <w:r w:rsidR="00F56934">
        <w:rPr>
          <w:color w:val="000000"/>
          <w:sz w:val="24"/>
          <w:szCs w:val="24"/>
        </w:rPr>
        <w:t xml:space="preserve"> (which</w:t>
      </w:r>
      <w:r w:rsidRPr="00943B91">
        <w:rPr>
          <w:color w:val="000000"/>
          <w:sz w:val="24"/>
          <w:szCs w:val="24"/>
        </w:rPr>
        <w:t xml:space="preserve"> similarly ranges from </w:t>
      </w:r>
      <w:r w:rsidR="00F01ECE">
        <w:rPr>
          <w:color w:val="000000"/>
          <w:sz w:val="24"/>
          <w:szCs w:val="24"/>
        </w:rPr>
        <w:t>zero</w:t>
      </w:r>
      <w:r w:rsidRPr="00943B91">
        <w:rPr>
          <w:color w:val="000000"/>
          <w:sz w:val="24"/>
          <w:szCs w:val="24"/>
        </w:rPr>
        <w:t xml:space="preserve"> to </w:t>
      </w:r>
      <w:r w:rsidR="00F01ECE">
        <w:rPr>
          <w:color w:val="000000"/>
          <w:sz w:val="24"/>
          <w:szCs w:val="24"/>
        </w:rPr>
        <w:t>one</w:t>
      </w:r>
      <w:r w:rsidRPr="00943B91">
        <w:rPr>
          <w:color w:val="000000"/>
          <w:sz w:val="24"/>
          <w:szCs w:val="24"/>
        </w:rPr>
        <w:t xml:space="preserve">, with zero indicating a single category of activity, </w:t>
      </w:r>
      <w:r w:rsidR="00FA1B3F">
        <w:rPr>
          <w:color w:val="000000"/>
          <w:sz w:val="24"/>
          <w:szCs w:val="24"/>
        </w:rPr>
        <w:t xml:space="preserve">such as </w:t>
      </w:r>
      <w:r w:rsidRPr="00943B91">
        <w:rPr>
          <w:color w:val="000000"/>
          <w:sz w:val="24"/>
          <w:szCs w:val="24"/>
        </w:rPr>
        <w:t>entirely residential</w:t>
      </w:r>
      <w:r w:rsidR="00FA1B3F">
        <w:rPr>
          <w:color w:val="000000"/>
          <w:sz w:val="24"/>
          <w:szCs w:val="24"/>
        </w:rPr>
        <w:t>,</w:t>
      </w:r>
      <w:r w:rsidRPr="00943B91">
        <w:rPr>
          <w:color w:val="000000"/>
          <w:sz w:val="24"/>
          <w:szCs w:val="24"/>
        </w:rPr>
        <w:t xml:space="preserve"> and one indicating an even balance of households and employment across categories</w:t>
      </w:r>
      <w:r w:rsidR="00FA1B3F">
        <w:rPr>
          <w:color w:val="000000"/>
          <w:sz w:val="24"/>
          <w:szCs w:val="24"/>
        </w:rPr>
        <w:t>)</w:t>
      </w:r>
      <w:r w:rsidR="00F47886">
        <w:rPr>
          <w:color w:val="000000"/>
          <w:sz w:val="24"/>
          <w:szCs w:val="24"/>
        </w:rPr>
        <w:t>.</w:t>
      </w:r>
      <w:r w:rsidR="00F858C9">
        <w:rPr>
          <w:rStyle w:val="FootnoteReference"/>
          <w:color w:val="000000"/>
          <w:sz w:val="24"/>
          <w:szCs w:val="24"/>
        </w:rPr>
        <w:footnoteReference w:id="4"/>
      </w:r>
      <w:r w:rsidR="00145FF4">
        <w:rPr>
          <w:color w:val="000000"/>
          <w:sz w:val="24"/>
          <w:szCs w:val="24"/>
        </w:rPr>
        <w:t xml:space="preserve"> </w:t>
      </w:r>
      <w:r w:rsidR="00476287">
        <w:rPr>
          <w:color w:val="000000"/>
          <w:sz w:val="24"/>
          <w:szCs w:val="24"/>
        </w:rPr>
        <w:t>The next f</w:t>
      </w:r>
      <w:r w:rsidRPr="00943B91">
        <w:rPr>
          <w:color w:val="000000"/>
          <w:sz w:val="24"/>
          <w:szCs w:val="24"/>
        </w:rPr>
        <w:t xml:space="preserve">our </w:t>
      </w:r>
      <w:r w:rsidR="0027369E">
        <w:rPr>
          <w:color w:val="000000"/>
          <w:sz w:val="24"/>
          <w:szCs w:val="24"/>
        </w:rPr>
        <w:t>measures</w:t>
      </w:r>
      <w:r w:rsidRPr="00943B91">
        <w:rPr>
          <w:color w:val="000000"/>
          <w:sz w:val="24"/>
          <w:szCs w:val="24"/>
        </w:rPr>
        <w:t xml:space="preserve"> capture network design</w:t>
      </w:r>
      <w:r w:rsidR="00F47886">
        <w:rPr>
          <w:color w:val="000000"/>
          <w:sz w:val="24"/>
          <w:szCs w:val="24"/>
        </w:rPr>
        <w:t xml:space="preserve"> </w:t>
      </w:r>
      <w:r w:rsidR="00F858C9">
        <w:rPr>
          <w:color w:val="000000"/>
          <w:sz w:val="24"/>
          <w:szCs w:val="24"/>
        </w:rPr>
        <w:t xml:space="preserve">at the neighborhood level </w:t>
      </w:r>
      <w:r w:rsidR="00865276">
        <w:rPr>
          <w:color w:val="000000"/>
          <w:sz w:val="24"/>
          <w:szCs w:val="24"/>
        </w:rPr>
        <w:t xml:space="preserve">as follows: (1) </w:t>
      </w:r>
      <w:r w:rsidRPr="00943B91">
        <w:rPr>
          <w:color w:val="000000"/>
          <w:sz w:val="24"/>
          <w:szCs w:val="24"/>
        </w:rPr>
        <w:t xml:space="preserve">pedestrian network density measuring the facility-miles of pedestrian-oriented links per square mile, </w:t>
      </w:r>
      <w:r w:rsidR="00865276">
        <w:rPr>
          <w:color w:val="000000"/>
          <w:sz w:val="24"/>
          <w:szCs w:val="24"/>
        </w:rPr>
        <w:t xml:space="preserve">(2) </w:t>
      </w:r>
      <w:r w:rsidRPr="00943B91">
        <w:rPr>
          <w:color w:val="000000"/>
          <w:sz w:val="24"/>
          <w:szCs w:val="24"/>
        </w:rPr>
        <w:t xml:space="preserve">intersection density measuring street intersections per square mile as a weighted count that excludes auto-oriented intersections, and </w:t>
      </w:r>
      <w:r w:rsidR="00865276">
        <w:rPr>
          <w:color w:val="000000"/>
          <w:sz w:val="24"/>
          <w:szCs w:val="24"/>
        </w:rPr>
        <w:t xml:space="preserve">(3) </w:t>
      </w:r>
      <w:r w:rsidRPr="00943B91">
        <w:rPr>
          <w:color w:val="000000"/>
          <w:sz w:val="24"/>
          <w:szCs w:val="24"/>
        </w:rPr>
        <w:t xml:space="preserve">the pedestrian three-leg </w:t>
      </w:r>
      <w:r w:rsidR="00865276">
        <w:rPr>
          <w:color w:val="000000"/>
          <w:sz w:val="24"/>
          <w:szCs w:val="24"/>
        </w:rPr>
        <w:t>intersection density and (4)</w:t>
      </w:r>
      <w:r w:rsidR="00722EA2">
        <w:rPr>
          <w:color w:val="000000"/>
          <w:sz w:val="24"/>
          <w:szCs w:val="24"/>
        </w:rPr>
        <w:t xml:space="preserve"> </w:t>
      </w:r>
      <w:r w:rsidR="00865276">
        <w:rPr>
          <w:color w:val="000000"/>
          <w:sz w:val="24"/>
          <w:szCs w:val="24"/>
        </w:rPr>
        <w:t xml:space="preserve">the </w:t>
      </w:r>
      <w:r w:rsidRPr="00943B91">
        <w:rPr>
          <w:color w:val="000000"/>
          <w:sz w:val="24"/>
          <w:szCs w:val="24"/>
        </w:rPr>
        <w:t>four-or-more-leg intersection densities</w:t>
      </w:r>
      <w:r w:rsidR="00865276">
        <w:rPr>
          <w:color w:val="000000"/>
          <w:sz w:val="24"/>
          <w:szCs w:val="24"/>
        </w:rPr>
        <w:t>, the last two</w:t>
      </w:r>
      <w:r w:rsidRPr="00943B91">
        <w:rPr>
          <w:color w:val="000000"/>
          <w:sz w:val="24"/>
          <w:szCs w:val="24"/>
        </w:rPr>
        <w:t xml:space="preserve"> measuring the</w:t>
      </w:r>
      <w:r w:rsidR="00865276">
        <w:rPr>
          <w:color w:val="000000"/>
          <w:sz w:val="24"/>
          <w:szCs w:val="24"/>
        </w:rPr>
        <w:t xml:space="preserve"> count</w:t>
      </w:r>
      <w:r w:rsidRPr="00943B91">
        <w:rPr>
          <w:color w:val="000000"/>
          <w:sz w:val="24"/>
          <w:szCs w:val="24"/>
        </w:rPr>
        <w:t xml:space="preserve"> of each </w:t>
      </w:r>
      <w:r w:rsidR="00865276">
        <w:rPr>
          <w:color w:val="000000"/>
          <w:sz w:val="24"/>
          <w:szCs w:val="24"/>
        </w:rPr>
        <w:t xml:space="preserve">intersection </w:t>
      </w:r>
      <w:r w:rsidRPr="00943B91">
        <w:rPr>
          <w:color w:val="000000"/>
          <w:sz w:val="24"/>
          <w:szCs w:val="24"/>
        </w:rPr>
        <w:t xml:space="preserve">type per square mile. The final measure, the National Walkability Index, is a composite score summarizing </w:t>
      </w:r>
      <w:r w:rsidR="00EA2646">
        <w:rPr>
          <w:color w:val="000000"/>
          <w:sz w:val="24"/>
          <w:szCs w:val="24"/>
        </w:rPr>
        <w:t>BE</w:t>
      </w:r>
      <w:r w:rsidRPr="00943B91">
        <w:rPr>
          <w:color w:val="000000"/>
          <w:sz w:val="24"/>
          <w:szCs w:val="24"/>
        </w:rPr>
        <w:t xml:space="preserve"> support for walking, formed as a weighted sum of the ranked values of the employment mix, the land-use mix, intersection density, and proximity to the nearest transit stop. It ranges from 1 (least walkable) to 20 (most walkable), which the EPA </w:t>
      </w:r>
      <w:r w:rsidR="001A323D">
        <w:rPr>
          <w:color w:val="000000"/>
          <w:sz w:val="24"/>
          <w:szCs w:val="24"/>
        </w:rPr>
        <w:t>S</w:t>
      </w:r>
      <w:r w:rsidR="00F858C9">
        <w:rPr>
          <w:color w:val="000000"/>
          <w:sz w:val="24"/>
          <w:szCs w:val="24"/>
        </w:rPr>
        <w:t xml:space="preserve">mart </w:t>
      </w:r>
      <w:r w:rsidR="001A323D">
        <w:rPr>
          <w:color w:val="000000"/>
          <w:sz w:val="24"/>
          <w:szCs w:val="24"/>
        </w:rPr>
        <w:t>L</w:t>
      </w:r>
      <w:r w:rsidR="00F858C9">
        <w:rPr>
          <w:color w:val="000000"/>
          <w:sz w:val="24"/>
          <w:szCs w:val="24"/>
        </w:rPr>
        <w:t xml:space="preserve">ocation </w:t>
      </w:r>
      <w:r w:rsidR="001A323D">
        <w:rPr>
          <w:color w:val="000000"/>
          <w:sz w:val="24"/>
          <w:szCs w:val="24"/>
        </w:rPr>
        <w:t>D</w:t>
      </w:r>
      <w:r w:rsidR="00F858C9">
        <w:rPr>
          <w:color w:val="000000"/>
          <w:sz w:val="24"/>
          <w:szCs w:val="24"/>
        </w:rPr>
        <w:t xml:space="preserve">atabase </w:t>
      </w:r>
      <w:r w:rsidRPr="00943B91">
        <w:rPr>
          <w:color w:val="000000"/>
          <w:sz w:val="24"/>
          <w:szCs w:val="24"/>
        </w:rPr>
        <w:t>groups into four tiers, namely least walkable (1.0</w:t>
      </w:r>
      <w:r w:rsidR="00061D5C">
        <w:rPr>
          <w:color w:val="000000"/>
          <w:sz w:val="24"/>
          <w:szCs w:val="24"/>
        </w:rPr>
        <w:t>-</w:t>
      </w:r>
      <w:r w:rsidRPr="00943B91">
        <w:rPr>
          <w:color w:val="000000"/>
          <w:sz w:val="24"/>
          <w:szCs w:val="24"/>
        </w:rPr>
        <w:t>5.75), below average (5.76</w:t>
      </w:r>
      <w:r w:rsidR="00061D5C">
        <w:rPr>
          <w:color w:val="000000"/>
          <w:sz w:val="24"/>
          <w:szCs w:val="24"/>
        </w:rPr>
        <w:t>-</w:t>
      </w:r>
      <w:r w:rsidRPr="00943B91">
        <w:rPr>
          <w:color w:val="000000"/>
          <w:sz w:val="24"/>
          <w:szCs w:val="24"/>
        </w:rPr>
        <w:t>10.5</w:t>
      </w:r>
      <w:r w:rsidR="0073019B">
        <w:rPr>
          <w:color w:val="000000"/>
          <w:sz w:val="24"/>
          <w:szCs w:val="24"/>
        </w:rPr>
        <w:t>0</w:t>
      </w:r>
      <w:r w:rsidRPr="00943B91">
        <w:rPr>
          <w:color w:val="000000"/>
          <w:sz w:val="24"/>
          <w:szCs w:val="24"/>
        </w:rPr>
        <w:t>), above average (10.51</w:t>
      </w:r>
      <w:r w:rsidR="00061D5C">
        <w:rPr>
          <w:color w:val="000000"/>
          <w:sz w:val="24"/>
          <w:szCs w:val="24"/>
        </w:rPr>
        <w:t>-</w:t>
      </w:r>
      <w:r w:rsidRPr="00943B91">
        <w:rPr>
          <w:color w:val="000000"/>
          <w:sz w:val="24"/>
          <w:szCs w:val="24"/>
        </w:rPr>
        <w:t>15.25), and most walkable (15.26</w:t>
      </w:r>
      <w:r w:rsidR="00061D5C">
        <w:rPr>
          <w:color w:val="000000"/>
          <w:sz w:val="24"/>
          <w:szCs w:val="24"/>
        </w:rPr>
        <w:t>-</w:t>
      </w:r>
      <w:r w:rsidRPr="00943B91">
        <w:rPr>
          <w:color w:val="000000"/>
          <w:sz w:val="24"/>
          <w:szCs w:val="24"/>
        </w:rPr>
        <w:t>20.0).</w:t>
      </w:r>
    </w:p>
    <w:p w14:paraId="6E403170" w14:textId="77777777" w:rsidR="00B9201B" w:rsidRPr="00F26C4A" w:rsidRDefault="00B9201B" w:rsidP="00B9201B">
      <w:pPr>
        <w:pStyle w:val="FootnoteText"/>
        <w:ind w:firstLine="720"/>
        <w:jc w:val="both"/>
        <w:rPr>
          <w:color w:val="000000"/>
          <w:sz w:val="24"/>
          <w:szCs w:val="24"/>
        </w:rPr>
      </w:pPr>
    </w:p>
    <w:p w14:paraId="677E6914" w14:textId="4AAF1F8B" w:rsidR="00A87F12" w:rsidRPr="003A1F2B" w:rsidRDefault="00A87F12" w:rsidP="00B9201B">
      <w:pPr>
        <w:rPr>
          <w:sz w:val="20"/>
          <w:szCs w:val="20"/>
        </w:rPr>
      </w:pPr>
      <w:r w:rsidRPr="003A1F2B">
        <w:rPr>
          <w:b/>
          <w:bCs/>
          <w:sz w:val="24"/>
          <w:szCs w:val="24"/>
        </w:rPr>
        <w:t>3.2 Analytic Framework</w:t>
      </w:r>
    </w:p>
    <w:p w14:paraId="7792248A" w14:textId="2A08C150" w:rsidR="00A87F12" w:rsidRPr="00353E87" w:rsidRDefault="00A87F12" w:rsidP="00B9201B">
      <w:pPr>
        <w:pStyle w:val="FootnoteText"/>
        <w:jc w:val="both"/>
        <w:rPr>
          <w:color w:val="000000"/>
          <w:sz w:val="24"/>
          <w:szCs w:val="24"/>
        </w:rPr>
      </w:pPr>
      <w:r w:rsidRPr="00353E87">
        <w:rPr>
          <w:color w:val="000000"/>
          <w:sz w:val="24"/>
          <w:szCs w:val="24"/>
        </w:rPr>
        <w:t xml:space="preserve">The modeling framework </w:t>
      </w:r>
      <w:r w:rsidR="006858FB">
        <w:rPr>
          <w:color w:val="000000"/>
          <w:sz w:val="24"/>
          <w:szCs w:val="24"/>
        </w:rPr>
        <w:t>takes the form of</w:t>
      </w:r>
      <w:r w:rsidRPr="00353E87">
        <w:rPr>
          <w:color w:val="000000"/>
          <w:sz w:val="24"/>
          <w:szCs w:val="24"/>
        </w:rPr>
        <w:t xml:space="preserve"> a multivariate binary-response probit system with eight outcome dimensions. The first dimension is a binary </w:t>
      </w:r>
      <w:r w:rsidR="004963DC">
        <w:rPr>
          <w:color w:val="000000"/>
          <w:sz w:val="24"/>
          <w:szCs w:val="24"/>
        </w:rPr>
        <w:t xml:space="preserve">NRAT </w:t>
      </w:r>
      <w:r w:rsidR="007503B7">
        <w:rPr>
          <w:color w:val="000000"/>
          <w:sz w:val="24"/>
          <w:szCs w:val="24"/>
        </w:rPr>
        <w:t>indicator</w:t>
      </w:r>
      <w:r w:rsidR="00F72EF0" w:rsidRPr="00F72EF0">
        <w:rPr>
          <w:color w:val="000000"/>
          <w:sz w:val="24"/>
          <w:szCs w:val="24"/>
        </w:rPr>
        <w:t>.</w:t>
      </w:r>
      <w:r w:rsidRPr="00353E87">
        <w:rPr>
          <w:color w:val="000000"/>
          <w:sz w:val="24"/>
          <w:szCs w:val="24"/>
        </w:rPr>
        <w:t xml:space="preserve"> The remaining seven dimensions correspond to binary </w:t>
      </w:r>
      <w:r w:rsidR="00DE4BC8">
        <w:rPr>
          <w:color w:val="000000"/>
          <w:sz w:val="24"/>
          <w:szCs w:val="24"/>
        </w:rPr>
        <w:t>perceived</w:t>
      </w:r>
      <w:r w:rsidRPr="00353E87">
        <w:rPr>
          <w:color w:val="000000"/>
          <w:sz w:val="24"/>
          <w:szCs w:val="24"/>
        </w:rPr>
        <w:t xml:space="preserve"> barrier outcomes, each indicating whether a</w:t>
      </w:r>
      <w:r w:rsidR="004963DC">
        <w:rPr>
          <w:color w:val="000000"/>
          <w:sz w:val="24"/>
          <w:szCs w:val="24"/>
        </w:rPr>
        <w:t xml:space="preserve">n NRAT </w:t>
      </w:r>
      <w:r w:rsidR="008B565C">
        <w:rPr>
          <w:color w:val="000000"/>
          <w:sz w:val="24"/>
          <w:szCs w:val="24"/>
        </w:rPr>
        <w:t>cited</w:t>
      </w:r>
      <w:r w:rsidRPr="00353E87">
        <w:rPr>
          <w:color w:val="000000"/>
          <w:sz w:val="24"/>
          <w:szCs w:val="24"/>
        </w:rPr>
        <w:t xml:space="preserve"> a specific reason </w:t>
      </w:r>
      <w:r w:rsidR="004963DC">
        <w:rPr>
          <w:color w:val="000000"/>
          <w:sz w:val="24"/>
          <w:szCs w:val="24"/>
        </w:rPr>
        <w:t>as a barrier</w:t>
      </w:r>
      <w:r w:rsidRPr="00353E87">
        <w:rPr>
          <w:color w:val="000000"/>
          <w:sz w:val="24"/>
          <w:szCs w:val="24"/>
        </w:rPr>
        <w:t xml:space="preserve">. Because participants were able to </w:t>
      </w:r>
      <w:r w:rsidR="008B565C">
        <w:rPr>
          <w:color w:val="000000"/>
          <w:sz w:val="24"/>
          <w:szCs w:val="24"/>
        </w:rPr>
        <w:t>cite</w:t>
      </w:r>
      <w:r w:rsidRPr="00353E87">
        <w:rPr>
          <w:color w:val="000000"/>
          <w:sz w:val="24"/>
          <w:szCs w:val="24"/>
        </w:rPr>
        <w:t xml:space="preserve"> any combination of these seven reasons, each barrier is modeled as a separate binary outcome rather than as a multinomial choice. </w:t>
      </w:r>
      <w:r>
        <w:rPr>
          <w:color w:val="000000"/>
          <w:sz w:val="24"/>
          <w:szCs w:val="24"/>
        </w:rPr>
        <w:t>Note also that t</w:t>
      </w:r>
      <w:r w:rsidRPr="00353E87">
        <w:rPr>
          <w:color w:val="000000"/>
          <w:sz w:val="24"/>
          <w:szCs w:val="24"/>
        </w:rPr>
        <w:t xml:space="preserve">he barrier outcomes are observed for </w:t>
      </w:r>
      <w:r>
        <w:rPr>
          <w:color w:val="000000"/>
          <w:sz w:val="24"/>
          <w:szCs w:val="24"/>
        </w:rPr>
        <w:t xml:space="preserve">only the </w:t>
      </w:r>
      <w:r w:rsidRPr="00353E87">
        <w:rPr>
          <w:color w:val="000000"/>
          <w:sz w:val="24"/>
          <w:szCs w:val="24"/>
        </w:rPr>
        <w:t xml:space="preserve">1,476 </w:t>
      </w:r>
      <w:r w:rsidR="004963DC">
        <w:rPr>
          <w:color w:val="000000"/>
          <w:sz w:val="24"/>
          <w:szCs w:val="24"/>
        </w:rPr>
        <w:t xml:space="preserve">NRATs; </w:t>
      </w:r>
      <w:r w:rsidRPr="00353E87">
        <w:rPr>
          <w:color w:val="000000"/>
          <w:sz w:val="24"/>
          <w:szCs w:val="24"/>
        </w:rPr>
        <w:t xml:space="preserve">the remaining 6,797 respondents in the analysis sample contribute information only </w:t>
      </w:r>
      <w:r w:rsidR="004963DC">
        <w:rPr>
          <w:color w:val="000000"/>
          <w:sz w:val="24"/>
          <w:szCs w:val="24"/>
        </w:rPr>
        <w:t>regarding the NRAT binary outcome</w:t>
      </w:r>
      <w:r w:rsidRPr="00353E87">
        <w:rPr>
          <w:color w:val="000000"/>
          <w:sz w:val="24"/>
          <w:szCs w:val="24"/>
        </w:rPr>
        <w:t>.</w:t>
      </w:r>
      <w:r>
        <w:rPr>
          <w:color w:val="000000"/>
          <w:sz w:val="24"/>
          <w:szCs w:val="24"/>
        </w:rPr>
        <w:t xml:space="preserve"> </w:t>
      </w:r>
    </w:p>
    <w:p w14:paraId="3C90C123" w14:textId="63B5B51E" w:rsidR="00A87F12" w:rsidRDefault="00A87F12" w:rsidP="00B9201B">
      <w:pPr>
        <w:pStyle w:val="FootnoteText"/>
        <w:ind w:firstLine="720"/>
        <w:jc w:val="both"/>
        <w:rPr>
          <w:color w:val="000000"/>
          <w:sz w:val="24"/>
          <w:szCs w:val="24"/>
        </w:rPr>
      </w:pPr>
      <w:r w:rsidRPr="00353E87">
        <w:rPr>
          <w:color w:val="000000"/>
          <w:sz w:val="24"/>
          <w:szCs w:val="24"/>
        </w:rPr>
        <w:t xml:space="preserve">The eight outcome dimensions are modeled jointly to accommodate two distinct </w:t>
      </w:r>
      <w:r w:rsidR="004963DC">
        <w:rPr>
          <w:color w:val="000000"/>
          <w:sz w:val="24"/>
          <w:szCs w:val="24"/>
        </w:rPr>
        <w:t xml:space="preserve">sets </w:t>
      </w:r>
      <w:r w:rsidRPr="00353E87">
        <w:rPr>
          <w:color w:val="000000"/>
          <w:sz w:val="24"/>
          <w:szCs w:val="24"/>
        </w:rPr>
        <w:t>of unobserved correlation</w:t>
      </w:r>
      <w:r w:rsidR="006858FB">
        <w:rPr>
          <w:color w:val="000000"/>
          <w:sz w:val="24"/>
          <w:szCs w:val="24"/>
        </w:rPr>
        <w:t>s</w:t>
      </w:r>
      <w:r w:rsidRPr="00353E87">
        <w:rPr>
          <w:color w:val="000000"/>
          <w:sz w:val="24"/>
          <w:szCs w:val="24"/>
        </w:rPr>
        <w:t xml:space="preserve">. The first </w:t>
      </w:r>
      <w:r w:rsidR="004963DC">
        <w:rPr>
          <w:color w:val="000000"/>
          <w:sz w:val="24"/>
          <w:szCs w:val="24"/>
        </w:rPr>
        <w:t>set</w:t>
      </w:r>
      <w:r w:rsidRPr="00353E87">
        <w:rPr>
          <w:color w:val="000000"/>
          <w:sz w:val="24"/>
          <w:szCs w:val="24"/>
        </w:rPr>
        <w:t xml:space="preserve"> </w:t>
      </w:r>
      <w:r w:rsidR="004963DC">
        <w:rPr>
          <w:color w:val="000000"/>
          <w:sz w:val="24"/>
          <w:szCs w:val="24"/>
        </w:rPr>
        <w:t>of seven correlations arise</w:t>
      </w:r>
      <w:r w:rsidR="00FD01BE">
        <w:rPr>
          <w:color w:val="000000"/>
          <w:sz w:val="24"/>
          <w:szCs w:val="24"/>
        </w:rPr>
        <w:t>s</w:t>
      </w:r>
      <w:r w:rsidR="004963DC">
        <w:rPr>
          <w:color w:val="000000"/>
          <w:sz w:val="24"/>
          <w:szCs w:val="24"/>
        </w:rPr>
        <w:t xml:space="preserve"> </w:t>
      </w:r>
      <w:r w:rsidRPr="00353E87">
        <w:rPr>
          <w:color w:val="000000"/>
          <w:sz w:val="24"/>
          <w:szCs w:val="24"/>
        </w:rPr>
        <w:t xml:space="preserve">between the </w:t>
      </w:r>
      <w:r w:rsidR="004963DC">
        <w:rPr>
          <w:color w:val="000000"/>
          <w:sz w:val="24"/>
          <w:szCs w:val="24"/>
        </w:rPr>
        <w:t xml:space="preserve">NRAT outcome </w:t>
      </w:r>
      <w:r w:rsidRPr="00353E87">
        <w:rPr>
          <w:color w:val="000000"/>
          <w:sz w:val="24"/>
          <w:szCs w:val="24"/>
        </w:rPr>
        <w:t>and each of the seven barrier outcomes</w:t>
      </w:r>
      <w:r>
        <w:rPr>
          <w:color w:val="000000"/>
          <w:sz w:val="24"/>
          <w:szCs w:val="24"/>
        </w:rPr>
        <w:t>, while t</w:t>
      </w:r>
      <w:r w:rsidRPr="00353E87">
        <w:rPr>
          <w:color w:val="000000"/>
          <w:sz w:val="24"/>
          <w:szCs w:val="24"/>
        </w:rPr>
        <w:t xml:space="preserve">he second </w:t>
      </w:r>
      <w:r w:rsidR="004963DC">
        <w:rPr>
          <w:color w:val="000000"/>
          <w:sz w:val="24"/>
          <w:szCs w:val="24"/>
        </w:rPr>
        <w:t xml:space="preserve">set </w:t>
      </w:r>
      <w:r w:rsidR="007B1631">
        <w:rPr>
          <w:color w:val="000000"/>
          <w:sz w:val="24"/>
          <w:szCs w:val="24"/>
        </w:rPr>
        <w:t xml:space="preserve">of 21 correlations </w:t>
      </w:r>
      <w:r w:rsidRPr="00353E87">
        <w:rPr>
          <w:color w:val="000000"/>
          <w:sz w:val="24"/>
          <w:szCs w:val="24"/>
        </w:rPr>
        <w:t>arises across the barrier outcomes</w:t>
      </w:r>
      <w:r w:rsidR="004963DC">
        <w:rPr>
          <w:color w:val="000000"/>
          <w:sz w:val="24"/>
          <w:szCs w:val="24"/>
        </w:rPr>
        <w:t xml:space="preserve"> themselves</w:t>
      </w:r>
      <w:r w:rsidR="007B1631">
        <w:rPr>
          <w:color w:val="000000"/>
          <w:sz w:val="24"/>
          <w:szCs w:val="24"/>
        </w:rPr>
        <w:t xml:space="preserve">. </w:t>
      </w:r>
      <w:r w:rsidRPr="00353E87">
        <w:rPr>
          <w:color w:val="000000"/>
          <w:sz w:val="24"/>
          <w:szCs w:val="24"/>
        </w:rPr>
        <w:t>The mathematical formulation of this joint multivariate binary-response probit model is presented in Section 3.3.</w:t>
      </w:r>
    </w:p>
    <w:p w14:paraId="4CF22247" w14:textId="77777777" w:rsidR="00B9201B" w:rsidRPr="00353E87" w:rsidRDefault="00B9201B" w:rsidP="00B9201B">
      <w:pPr>
        <w:pStyle w:val="FootnoteText"/>
        <w:ind w:firstLine="720"/>
        <w:jc w:val="both"/>
        <w:rPr>
          <w:color w:val="000000"/>
          <w:sz w:val="24"/>
          <w:szCs w:val="24"/>
        </w:rPr>
      </w:pPr>
    </w:p>
    <w:p w14:paraId="37A75660" w14:textId="68622402" w:rsidR="00134D97" w:rsidRPr="003A1F2B" w:rsidRDefault="00A87F12" w:rsidP="00B9201B">
      <w:pPr>
        <w:rPr>
          <w:b/>
          <w:bCs/>
          <w:sz w:val="24"/>
          <w:szCs w:val="24"/>
        </w:rPr>
      </w:pPr>
      <w:r w:rsidRPr="003A1F2B">
        <w:rPr>
          <w:b/>
          <w:bCs/>
          <w:sz w:val="24"/>
          <w:szCs w:val="24"/>
        </w:rPr>
        <w:t>3.3 Model Formulation</w:t>
      </w:r>
    </w:p>
    <w:p w14:paraId="0ABCE205" w14:textId="79B8F8E2" w:rsidR="00A87F12" w:rsidRPr="00411254" w:rsidRDefault="00A87F12" w:rsidP="00B9201B">
      <w:pPr>
        <w:jc w:val="both"/>
        <w:rPr>
          <w:color w:val="000000"/>
          <w:sz w:val="24"/>
          <w:szCs w:val="24"/>
        </w:rPr>
      </w:pPr>
      <w:r w:rsidRPr="00F24E56">
        <w:rPr>
          <w:color w:val="000000"/>
          <w:sz w:val="24"/>
          <w:szCs w:val="24"/>
        </w:rPr>
        <w:t>In the multivariate binary probit framework, let</w:t>
      </w:r>
      <w:r w:rsidR="00A3503A">
        <w:rPr>
          <w:color w:val="000000"/>
          <w:sz w:val="24"/>
          <w:szCs w:val="24"/>
        </w:rPr>
        <w:t xml:space="preserve"> </w:t>
      </w:r>
      <w:r w:rsidR="00A3503A" w:rsidRPr="00A3503A">
        <w:rPr>
          <w:color w:val="000000"/>
          <w:position w:val="-10"/>
          <w:sz w:val="24"/>
          <w:szCs w:val="24"/>
        </w:rPr>
        <w:object w:dxaOrig="200" w:dyaOrig="260" w14:anchorId="5E8BA4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3.5pt" o:ole="">
            <v:imagedata r:id="rId12" o:title=""/>
          </v:shape>
          <o:OLEObject Type="Embed" ProgID="Equation.DSMT4" ShapeID="_x0000_i1025" DrawAspect="Content" ObjectID="_1851766598" r:id="rId13"/>
        </w:object>
      </w:r>
      <w:r w:rsidR="00764946">
        <w:rPr>
          <w:bCs/>
          <w:sz w:val="24"/>
          <w:szCs w:val="24"/>
        </w:rPr>
        <w:t xml:space="preserve"> </w:t>
      </w:r>
      <w:r w:rsidR="00EC41F8" w:rsidRPr="00EC41F8">
        <w:rPr>
          <w:bCs/>
          <w:position w:val="-10"/>
          <w:sz w:val="24"/>
          <w:szCs w:val="24"/>
        </w:rPr>
        <w:object w:dxaOrig="1400" w:dyaOrig="320" w14:anchorId="250CD382">
          <v:shape id="_x0000_i1026" type="#_x0000_t75" style="width:69.75pt;height:15.75pt" o:ole="">
            <v:imagedata r:id="rId14" o:title=""/>
          </v:shape>
          <o:OLEObject Type="Embed" ProgID="Equation.DSMT4" ShapeID="_x0000_i1026" DrawAspect="Content" ObjectID="_1851766599" r:id="rId15"/>
        </w:object>
      </w:r>
      <w:r w:rsidR="00E07E57">
        <w:rPr>
          <w:bCs/>
          <w:sz w:val="24"/>
          <w:szCs w:val="24"/>
        </w:rPr>
        <w:t xml:space="preserve"> </w:t>
      </w:r>
      <w:r w:rsidRPr="00F24E56">
        <w:rPr>
          <w:color w:val="000000"/>
          <w:sz w:val="24"/>
          <w:szCs w:val="24"/>
        </w:rPr>
        <w:t>index respondents in the analysis sample and let</w:t>
      </w:r>
      <w:r w:rsidR="000A5B56">
        <w:rPr>
          <w:color w:val="000000"/>
          <w:sz w:val="24"/>
          <w:szCs w:val="24"/>
        </w:rPr>
        <w:t xml:space="preserve"> </w:t>
      </w:r>
      <w:r w:rsidR="00A3503A" w:rsidRPr="00A3503A">
        <w:rPr>
          <w:color w:val="000000"/>
          <w:position w:val="-6"/>
          <w:sz w:val="24"/>
          <w:szCs w:val="24"/>
        </w:rPr>
        <w:object w:dxaOrig="139" w:dyaOrig="260" w14:anchorId="2E1EDAD3">
          <v:shape id="_x0000_i1027" type="#_x0000_t75" style="width:7.5pt;height:13.5pt" o:ole="">
            <v:imagedata r:id="rId16" o:title=""/>
          </v:shape>
          <o:OLEObject Type="Embed" ProgID="Equation.DSMT4" ShapeID="_x0000_i1027" DrawAspect="Content" ObjectID="_1851766600" r:id="rId17"/>
        </w:object>
      </w:r>
      <w:r w:rsidR="00DA4AE2">
        <w:rPr>
          <w:color w:val="000000"/>
          <w:sz w:val="24"/>
          <w:szCs w:val="24"/>
        </w:rPr>
        <w:t xml:space="preserve"> </w:t>
      </w:r>
      <w:r w:rsidR="00DA4AE2" w:rsidRPr="00DA4AE2">
        <w:rPr>
          <w:color w:val="000000"/>
          <w:position w:val="-10"/>
          <w:sz w:val="24"/>
          <w:szCs w:val="24"/>
        </w:rPr>
        <w:object w:dxaOrig="1280" w:dyaOrig="320" w14:anchorId="5607F79D">
          <v:shape id="_x0000_i1028" type="#_x0000_t75" style="width:64.5pt;height:17.25pt" o:ole="">
            <v:imagedata r:id="rId18" o:title=""/>
          </v:shape>
          <o:OLEObject Type="Embed" ProgID="Equation.DSMT4" ShapeID="_x0000_i1028" DrawAspect="Content" ObjectID="_1851766601" r:id="rId19"/>
        </w:object>
      </w:r>
      <w:r w:rsidRPr="00F24E56">
        <w:rPr>
          <w:sz w:val="24"/>
          <w:szCs w:val="24"/>
        </w:rPr>
        <w:t xml:space="preserve"> </w:t>
      </w:r>
      <w:r w:rsidRPr="00F24E56">
        <w:rPr>
          <w:color w:val="000000"/>
          <w:sz w:val="24"/>
          <w:szCs w:val="24"/>
        </w:rPr>
        <w:t>index the binary outcomes that each respondent contributes. In our application,</w:t>
      </w:r>
      <w:r w:rsidR="00DA4AE2">
        <w:rPr>
          <w:color w:val="000000"/>
          <w:sz w:val="24"/>
          <w:szCs w:val="24"/>
        </w:rPr>
        <w:t xml:space="preserve"> </w:t>
      </w:r>
      <w:r w:rsidR="00875791" w:rsidRPr="00875791">
        <w:rPr>
          <w:color w:val="000000"/>
          <w:position w:val="-10"/>
          <w:sz w:val="24"/>
          <w:szCs w:val="24"/>
        </w:rPr>
        <w:object w:dxaOrig="1040" w:dyaOrig="320" w14:anchorId="21F61A86">
          <v:shape id="_x0000_i1029" type="#_x0000_t75" style="width:52.5pt;height:17.25pt" o:ole="">
            <v:imagedata r:id="rId20" o:title=""/>
          </v:shape>
          <o:OLEObject Type="Embed" ProgID="Equation.DSMT4" ShapeID="_x0000_i1029" DrawAspect="Content" ObjectID="_1851766602" r:id="rId21"/>
        </w:object>
      </w:r>
      <w:r w:rsidRPr="00F24E56">
        <w:rPr>
          <w:color w:val="000000"/>
          <w:sz w:val="24"/>
          <w:szCs w:val="24"/>
        </w:rPr>
        <w:t>. Of these, the 1,476 respondents identified as</w:t>
      </w:r>
      <w:r w:rsidR="004739BE">
        <w:rPr>
          <w:color w:val="000000"/>
          <w:sz w:val="24"/>
          <w:szCs w:val="24"/>
        </w:rPr>
        <w:t xml:space="preserve"> NRATs</w:t>
      </w:r>
      <w:r w:rsidRPr="00F24E56">
        <w:rPr>
          <w:color w:val="000000"/>
          <w:sz w:val="24"/>
          <w:szCs w:val="24"/>
        </w:rPr>
        <w:t xml:space="preserve"> contribute the full set of</w:t>
      </w:r>
      <w:r w:rsidR="00875791">
        <w:rPr>
          <w:color w:val="000000"/>
          <w:sz w:val="24"/>
          <w:szCs w:val="24"/>
        </w:rPr>
        <w:t xml:space="preserve"> </w:t>
      </w:r>
      <w:r w:rsidR="00875791" w:rsidRPr="00875791">
        <w:rPr>
          <w:color w:val="000000"/>
          <w:position w:val="-6"/>
          <w:sz w:val="24"/>
          <w:szCs w:val="24"/>
        </w:rPr>
        <w:object w:dxaOrig="540" w:dyaOrig="279" w14:anchorId="55910A02">
          <v:shape id="_x0000_i1030" type="#_x0000_t75" style="width:27pt;height:14.25pt" o:ole="">
            <v:imagedata r:id="rId22" o:title=""/>
          </v:shape>
          <o:OLEObject Type="Embed" ProgID="Equation.DSMT4" ShapeID="_x0000_i1030" DrawAspect="Content" ObjectID="_1851766603" r:id="rId23"/>
        </w:object>
      </w:r>
      <w:r w:rsidR="00F7621A">
        <w:rPr>
          <w:color w:val="000000"/>
          <w:sz w:val="24"/>
          <w:szCs w:val="24"/>
        </w:rPr>
        <w:t xml:space="preserve"> </w:t>
      </w:r>
      <w:r w:rsidRPr="00F24E56">
        <w:rPr>
          <w:color w:val="000000"/>
          <w:sz w:val="24"/>
          <w:szCs w:val="24"/>
        </w:rPr>
        <w:t xml:space="preserve">outcomes, comprising the single outcome for the usage indicator and the seven </w:t>
      </w:r>
      <w:r w:rsidR="00063779" w:rsidRPr="00411254">
        <w:rPr>
          <w:color w:val="000000"/>
          <w:sz w:val="24"/>
          <w:szCs w:val="24"/>
        </w:rPr>
        <w:t>perceived</w:t>
      </w:r>
      <w:r w:rsidRPr="00411254">
        <w:rPr>
          <w:color w:val="000000"/>
          <w:sz w:val="24"/>
          <w:szCs w:val="24"/>
        </w:rPr>
        <w:t xml:space="preserve"> barriers to active travel. The remaining 6,797 frequent </w:t>
      </w:r>
      <w:r w:rsidR="00A204E8" w:rsidRPr="00411254">
        <w:rPr>
          <w:color w:val="000000"/>
          <w:sz w:val="24"/>
          <w:szCs w:val="24"/>
        </w:rPr>
        <w:t>active mode</w:t>
      </w:r>
      <w:r w:rsidRPr="00411254">
        <w:rPr>
          <w:color w:val="000000"/>
          <w:sz w:val="24"/>
          <w:szCs w:val="24"/>
        </w:rPr>
        <w:t xml:space="preserve"> users contribute only to the </w:t>
      </w:r>
      <w:r w:rsidR="00B3536D" w:rsidRPr="00411254">
        <w:rPr>
          <w:color w:val="000000"/>
          <w:sz w:val="24"/>
          <w:szCs w:val="24"/>
        </w:rPr>
        <w:t>NRAT</w:t>
      </w:r>
      <w:r w:rsidR="006E50E2" w:rsidRPr="00411254">
        <w:rPr>
          <w:color w:val="000000"/>
          <w:sz w:val="24"/>
          <w:szCs w:val="24"/>
        </w:rPr>
        <w:t xml:space="preserve"> </w:t>
      </w:r>
      <w:r w:rsidRPr="00411254">
        <w:rPr>
          <w:color w:val="000000"/>
          <w:sz w:val="24"/>
          <w:szCs w:val="24"/>
        </w:rPr>
        <w:t>outcome</w:t>
      </w:r>
      <w:r w:rsidR="00A31B32">
        <w:rPr>
          <w:color w:val="000000"/>
          <w:sz w:val="24"/>
          <w:szCs w:val="24"/>
        </w:rPr>
        <w:t xml:space="preserve"> </w:t>
      </w:r>
      <w:r w:rsidR="00C877A4" w:rsidRPr="00C877A4">
        <w:rPr>
          <w:color w:val="000000"/>
          <w:position w:val="-10"/>
          <w:sz w:val="24"/>
          <w:szCs w:val="24"/>
        </w:rPr>
        <w:object w:dxaOrig="680" w:dyaOrig="320" w14:anchorId="594DEFEF">
          <v:shape id="_x0000_i1031" type="#_x0000_t75" style="width:33pt;height:15.75pt" o:ole="">
            <v:imagedata r:id="rId24" o:title=""/>
          </v:shape>
          <o:OLEObject Type="Embed" ProgID="Equation.DSMT4" ShapeID="_x0000_i1031" DrawAspect="Content" ObjectID="_1851766604" r:id="rId25"/>
        </w:object>
      </w:r>
      <w:r w:rsidR="00411254">
        <w:rPr>
          <w:color w:val="000000"/>
          <w:sz w:val="24"/>
          <w:szCs w:val="24"/>
        </w:rPr>
        <w:t xml:space="preserve"> </w:t>
      </w:r>
      <w:r w:rsidRPr="00411254">
        <w:rPr>
          <w:color w:val="000000"/>
          <w:sz w:val="24"/>
          <w:szCs w:val="24"/>
        </w:rPr>
        <w:t xml:space="preserve">and so only contribute to the total likelihood through this single outcome. </w:t>
      </w:r>
    </w:p>
    <w:p w14:paraId="0B379DEE" w14:textId="02D4BEB3" w:rsidR="00A87F12" w:rsidRPr="00411254" w:rsidRDefault="00A87F12" w:rsidP="00B9201B">
      <w:pPr>
        <w:ind w:firstLine="720"/>
        <w:jc w:val="both"/>
        <w:rPr>
          <w:color w:val="000000"/>
          <w:sz w:val="24"/>
          <w:szCs w:val="24"/>
        </w:rPr>
      </w:pPr>
      <w:r w:rsidRPr="00411254">
        <w:rPr>
          <w:color w:val="000000"/>
          <w:sz w:val="24"/>
          <w:szCs w:val="24"/>
        </w:rPr>
        <w:t xml:space="preserve">The following presentation of the model structure will focus on the 1,476 </w:t>
      </w:r>
      <w:r w:rsidR="00771DF9" w:rsidRPr="00411254">
        <w:rPr>
          <w:color w:val="000000"/>
          <w:sz w:val="24"/>
          <w:szCs w:val="24"/>
        </w:rPr>
        <w:t>NRATs</w:t>
      </w:r>
      <w:r w:rsidRPr="00411254">
        <w:rPr>
          <w:color w:val="000000"/>
          <w:sz w:val="24"/>
          <w:szCs w:val="24"/>
        </w:rPr>
        <w:t xml:space="preserve"> who provide the full vector of eight binary outcomes. For the remaining respondents, the formulation is simply marginalized to become a simple binary probit model with a single binary outcome. </w:t>
      </w:r>
      <w:r w:rsidRPr="00411254">
        <w:rPr>
          <w:color w:val="000000"/>
          <w:sz w:val="24"/>
          <w:szCs w:val="24"/>
        </w:rPr>
        <w:lastRenderedPageBreak/>
        <w:t>Suppressing the index for the individual, simply for the ease of notation, the latent propensity</w:t>
      </w:r>
      <w:r w:rsidR="00141015" w:rsidRPr="00411254">
        <w:rPr>
          <w:color w:val="000000"/>
          <w:sz w:val="24"/>
          <w:szCs w:val="24"/>
        </w:rPr>
        <w:t xml:space="preserve"> </w:t>
      </w:r>
      <w:r w:rsidR="00B65218" w:rsidRPr="00411254">
        <w:rPr>
          <w:color w:val="000000"/>
          <w:position w:val="-12"/>
          <w:sz w:val="24"/>
          <w:szCs w:val="24"/>
        </w:rPr>
        <w:object w:dxaOrig="460" w:dyaOrig="380" w14:anchorId="6B6F3CE4">
          <v:shape id="_x0000_i1032" type="#_x0000_t75" style="width:23.25pt;height:18pt" o:ole="">
            <v:imagedata r:id="rId26" o:title=""/>
          </v:shape>
          <o:OLEObject Type="Embed" ProgID="Equation.DSMT4" ShapeID="_x0000_i1032" DrawAspect="Content" ObjectID="_1851766605" r:id="rId27"/>
        </w:object>
      </w:r>
      <w:r w:rsidRPr="00411254">
        <w:rPr>
          <w:sz w:val="24"/>
          <w:szCs w:val="24"/>
        </w:rPr>
        <w:t xml:space="preserve"> </w:t>
      </w:r>
      <w:r w:rsidRPr="00411254">
        <w:rPr>
          <w:color w:val="000000"/>
          <w:sz w:val="24"/>
          <w:szCs w:val="24"/>
        </w:rPr>
        <w:t>underlying each binary outcome may be written as the difference between the utility of the second alternative</w:t>
      </w:r>
      <w:r w:rsidR="00B65218" w:rsidRPr="00411254">
        <w:rPr>
          <w:color w:val="000000"/>
          <w:sz w:val="24"/>
          <w:szCs w:val="24"/>
        </w:rPr>
        <w:t xml:space="preserve"> </w:t>
      </w:r>
      <w:r w:rsidR="00B65218" w:rsidRPr="00411254">
        <w:rPr>
          <w:color w:val="000000"/>
          <w:position w:val="-12"/>
          <w:sz w:val="24"/>
          <w:szCs w:val="24"/>
        </w:rPr>
        <w:object w:dxaOrig="520" w:dyaOrig="380" w14:anchorId="6DB5E2C3">
          <v:shape id="_x0000_i1033" type="#_x0000_t75" style="width:25.5pt;height:18pt" o:ole="">
            <v:imagedata r:id="rId28" o:title=""/>
          </v:shape>
          <o:OLEObject Type="Embed" ProgID="Equation.DSMT4" ShapeID="_x0000_i1033" DrawAspect="Content" ObjectID="_1851766606" r:id="rId29"/>
        </w:object>
      </w:r>
      <w:r w:rsidRPr="00411254">
        <w:rPr>
          <w:color w:val="000000"/>
          <w:sz w:val="24"/>
          <w:szCs w:val="24"/>
        </w:rPr>
        <w:t xml:space="preserve"> and the utility of the first alternative</w:t>
      </w:r>
      <w:r w:rsidR="00B65218" w:rsidRPr="00411254">
        <w:rPr>
          <w:color w:val="000000"/>
          <w:sz w:val="24"/>
          <w:szCs w:val="24"/>
        </w:rPr>
        <w:t xml:space="preserve"> </w:t>
      </w:r>
      <w:r w:rsidR="00B65218" w:rsidRPr="00411254">
        <w:rPr>
          <w:color w:val="000000"/>
          <w:position w:val="-12"/>
          <w:sz w:val="24"/>
          <w:szCs w:val="24"/>
        </w:rPr>
        <w:object w:dxaOrig="499" w:dyaOrig="380" w14:anchorId="479EEAC0">
          <v:shape id="_x0000_i1034" type="#_x0000_t75" style="width:25.5pt;height:18pt" o:ole="">
            <v:imagedata r:id="rId30" o:title=""/>
          </v:shape>
          <o:OLEObject Type="Embed" ProgID="Equation.DSMT4" ShapeID="_x0000_i1034" DrawAspect="Content" ObjectID="_1851766607" r:id="rId31"/>
        </w:object>
      </w:r>
      <w:r w:rsidRPr="00411254">
        <w:rPr>
          <w:color w:val="000000"/>
          <w:sz w:val="24"/>
          <w:szCs w:val="24"/>
        </w:rPr>
        <w:t xml:space="preserve"> for that outcome:</w:t>
      </w:r>
    </w:p>
    <w:p w14:paraId="6FB26B34" w14:textId="05F7126A" w:rsidR="00A87F12" w:rsidRPr="00411254" w:rsidRDefault="00B9201B" w:rsidP="00B9201B">
      <w:pPr>
        <w:pStyle w:val="MTDisplayEquation"/>
        <w:spacing w:before="120" w:after="120"/>
      </w:pPr>
      <w:r w:rsidRPr="00411254">
        <w:rPr>
          <w:position w:val="-12"/>
        </w:rPr>
        <w:object w:dxaOrig="2220" w:dyaOrig="380" w14:anchorId="7E11EC0B">
          <v:shape id="_x0000_i1035" type="#_x0000_t75" style="width:111pt;height:18.75pt" o:ole="" o:preferrelative="f">
            <v:imagedata r:id="rId32" o:title=""/>
            <o:lock v:ext="edit" aspectratio="f"/>
          </v:shape>
          <o:OLEObject Type="Embed" ProgID="Equation.DSMT4" ShapeID="_x0000_i1035" DrawAspect="Content" ObjectID="_1851766608" r:id="rId33"/>
        </w:object>
      </w:r>
      <w:r w:rsidR="00A87F12" w:rsidRPr="00411254">
        <w:tab/>
      </w:r>
      <w:r w:rsidR="00A87F12" w:rsidRPr="00411254">
        <w:tab/>
      </w:r>
      <w:r w:rsidR="00A87F12" w:rsidRPr="00411254">
        <w:fldChar w:fldCharType="begin"/>
      </w:r>
      <w:r w:rsidR="00A87F12" w:rsidRPr="00411254">
        <w:instrText xml:space="preserve"> MACROBUTTON MTPlaceRef \* MERGEFORMAT </w:instrText>
      </w:r>
      <w:r w:rsidR="00A87F12" w:rsidRPr="00411254">
        <w:fldChar w:fldCharType="begin"/>
      </w:r>
      <w:r w:rsidR="00A87F12" w:rsidRPr="00411254">
        <w:instrText xml:space="preserve"> SEQ MTEqn \h \* MERGEFORMAT </w:instrText>
      </w:r>
      <w:r w:rsidR="00A87F12" w:rsidRPr="00411254">
        <w:fldChar w:fldCharType="end"/>
      </w:r>
      <w:bookmarkStart w:id="0" w:name="ZEqnNum244810"/>
      <w:r w:rsidR="00A87F12" w:rsidRPr="00411254">
        <w:instrText>(</w:instrText>
      </w:r>
      <w:fldSimple w:instr=" SEQ MTEqn \c \* Arabic \* MERGEFORMAT ">
        <w:r w:rsidR="0073207F" w:rsidRPr="00411254">
          <w:rPr>
            <w:noProof/>
          </w:rPr>
          <w:instrText>1</w:instrText>
        </w:r>
      </w:fldSimple>
      <w:r w:rsidR="00A87F12" w:rsidRPr="00411254">
        <w:instrText>)</w:instrText>
      </w:r>
      <w:bookmarkEnd w:id="0"/>
      <w:r w:rsidR="00A87F12" w:rsidRPr="00411254">
        <w:fldChar w:fldCharType="end"/>
      </w:r>
    </w:p>
    <w:p w14:paraId="2AC7AF7D" w14:textId="1F760616" w:rsidR="00A87F12" w:rsidRPr="00F24E56" w:rsidRDefault="00A87F12" w:rsidP="00B9201B">
      <w:pPr>
        <w:jc w:val="both"/>
        <w:rPr>
          <w:color w:val="000000"/>
          <w:sz w:val="24"/>
          <w:szCs w:val="24"/>
        </w:rPr>
      </w:pPr>
      <w:r w:rsidRPr="00411254">
        <w:rPr>
          <w:color w:val="000000"/>
          <w:sz w:val="24"/>
          <w:szCs w:val="24"/>
        </w:rPr>
        <w:t xml:space="preserve">In Equation </w:t>
      </w:r>
      <w:r w:rsidRPr="00411254">
        <w:rPr>
          <w:iCs/>
          <w:color w:val="000000"/>
          <w:sz w:val="24"/>
          <w:szCs w:val="24"/>
        </w:rPr>
        <w:fldChar w:fldCharType="begin"/>
      </w:r>
      <w:r w:rsidRPr="00411254">
        <w:rPr>
          <w:iCs/>
          <w:color w:val="000000"/>
          <w:sz w:val="24"/>
          <w:szCs w:val="24"/>
        </w:rPr>
        <w:instrText xml:space="preserve"> GOTOBUTTON ZEqnNum244810  \* MERGEFORMAT </w:instrText>
      </w:r>
      <w:r w:rsidRPr="00411254">
        <w:rPr>
          <w:iCs/>
          <w:color w:val="000000"/>
          <w:sz w:val="24"/>
          <w:szCs w:val="24"/>
        </w:rPr>
        <w:fldChar w:fldCharType="begin"/>
      </w:r>
      <w:r w:rsidRPr="00411254">
        <w:rPr>
          <w:iCs/>
          <w:color w:val="000000"/>
          <w:sz w:val="24"/>
          <w:szCs w:val="24"/>
        </w:rPr>
        <w:instrText xml:space="preserve"> REF ZEqnNum244810 \* Charformat \! \* MERGEFORMAT </w:instrText>
      </w:r>
      <w:r w:rsidRPr="00411254">
        <w:rPr>
          <w:iCs/>
          <w:color w:val="000000"/>
          <w:sz w:val="24"/>
          <w:szCs w:val="24"/>
        </w:rPr>
        <w:fldChar w:fldCharType="separate"/>
      </w:r>
      <w:r w:rsidR="0073207F" w:rsidRPr="00411254">
        <w:rPr>
          <w:iCs/>
          <w:color w:val="000000"/>
          <w:sz w:val="24"/>
          <w:szCs w:val="24"/>
        </w:rPr>
        <w:instrText>(1)</w:instrText>
      </w:r>
      <w:r w:rsidRPr="00411254">
        <w:rPr>
          <w:iCs/>
          <w:color w:val="000000"/>
          <w:sz w:val="24"/>
          <w:szCs w:val="24"/>
        </w:rPr>
        <w:fldChar w:fldCharType="end"/>
      </w:r>
      <w:r w:rsidRPr="00411254">
        <w:rPr>
          <w:iCs/>
          <w:color w:val="000000"/>
          <w:sz w:val="24"/>
          <w:szCs w:val="24"/>
        </w:rPr>
        <w:fldChar w:fldCharType="end"/>
      </w:r>
      <w:r w:rsidRPr="00411254">
        <w:rPr>
          <w:color w:val="000000"/>
          <w:sz w:val="24"/>
          <w:szCs w:val="24"/>
        </w:rPr>
        <w:t>,</w:t>
      </w:r>
      <w:r w:rsidR="00334BE3">
        <w:rPr>
          <w:color w:val="000000"/>
          <w:sz w:val="24"/>
          <w:szCs w:val="24"/>
        </w:rPr>
        <w:t xml:space="preserve"> </w:t>
      </w:r>
      <w:r w:rsidR="00334BE3" w:rsidRPr="00334BE3">
        <w:rPr>
          <w:color w:val="000000"/>
          <w:position w:val="-4"/>
          <w:sz w:val="24"/>
          <w:szCs w:val="24"/>
        </w:rPr>
        <w:object w:dxaOrig="200" w:dyaOrig="200" w14:anchorId="026C5F30">
          <v:shape id="_x0000_i1036" type="#_x0000_t75" style="width:9.75pt;height:9.75pt" o:ole="">
            <v:imagedata r:id="rId34" o:title=""/>
          </v:shape>
          <o:OLEObject Type="Embed" ProgID="Equation.DSMT4" ShapeID="_x0000_i1036" DrawAspect="Content" ObjectID="_1851766609" r:id="rId35"/>
        </w:object>
      </w:r>
      <w:r w:rsidRPr="00411254">
        <w:rPr>
          <w:color w:val="000000"/>
          <w:sz w:val="24"/>
          <w:szCs w:val="24"/>
        </w:rPr>
        <w:t xml:space="preserve"> is an</w:t>
      </w:r>
      <w:r w:rsidR="000952C3">
        <w:rPr>
          <w:color w:val="000000"/>
          <w:sz w:val="24"/>
          <w:szCs w:val="24"/>
        </w:rPr>
        <w:t xml:space="preserve"> </w:t>
      </w:r>
      <w:r w:rsidR="000952C3" w:rsidRPr="000952C3">
        <w:rPr>
          <w:color w:val="000000"/>
          <w:position w:val="-10"/>
          <w:sz w:val="24"/>
          <w:szCs w:val="24"/>
        </w:rPr>
        <w:object w:dxaOrig="639" w:dyaOrig="320" w14:anchorId="1BE4C64A">
          <v:shape id="_x0000_i1037" type="#_x0000_t75" style="width:32.25pt;height:15.75pt" o:ole="">
            <v:imagedata r:id="rId36" o:title=""/>
          </v:shape>
          <o:OLEObject Type="Embed" ProgID="Equation.DSMT4" ShapeID="_x0000_i1037" DrawAspect="Content" ObjectID="_1851766610" r:id="rId37"/>
        </w:object>
      </w:r>
      <w:r w:rsidR="00463143" w:rsidRPr="00411254">
        <w:rPr>
          <w:color w:val="000000"/>
          <w:sz w:val="24"/>
          <w:szCs w:val="24"/>
        </w:rPr>
        <w:t xml:space="preserve"> </w:t>
      </w:r>
      <w:r w:rsidRPr="00411254">
        <w:rPr>
          <w:color w:val="000000"/>
          <w:sz w:val="24"/>
          <w:szCs w:val="24"/>
        </w:rPr>
        <w:t>vector of exogenous variables (including a constant);</w:t>
      </w:r>
      <w:r w:rsidR="00463143" w:rsidRPr="00411254">
        <w:rPr>
          <w:color w:val="000000"/>
          <w:sz w:val="24"/>
          <w:szCs w:val="24"/>
        </w:rPr>
        <w:t xml:space="preserve"> </w:t>
      </w:r>
      <w:r w:rsidR="00463143" w:rsidRPr="00411254">
        <w:rPr>
          <w:color w:val="000000"/>
          <w:position w:val="-12"/>
          <w:sz w:val="24"/>
          <w:szCs w:val="24"/>
        </w:rPr>
        <w:object w:dxaOrig="260" w:dyaOrig="380" w14:anchorId="72EC1FE7">
          <v:shape id="_x0000_i1038" type="#_x0000_t75" style="width:13.5pt;height:18pt" o:ole="">
            <v:imagedata r:id="rId38" o:title=""/>
          </v:shape>
          <o:OLEObject Type="Embed" ProgID="Equation.DSMT4" ShapeID="_x0000_i1038" DrawAspect="Content" ObjectID="_1851766611" r:id="rId39"/>
        </w:object>
      </w:r>
      <w:r w:rsidRPr="00411254">
        <w:rPr>
          <w:sz w:val="24"/>
          <w:szCs w:val="24"/>
        </w:rPr>
        <w:t xml:space="preserve"> is</w:t>
      </w:r>
      <w:r w:rsidRPr="00411254">
        <w:rPr>
          <w:color w:val="000000"/>
          <w:sz w:val="24"/>
          <w:szCs w:val="24"/>
        </w:rPr>
        <w:t xml:space="preserve"> the corresponding</w:t>
      </w:r>
      <w:r w:rsidR="00BC5CDA" w:rsidRPr="00411254">
        <w:rPr>
          <w:color w:val="000000"/>
          <w:sz w:val="24"/>
          <w:szCs w:val="24"/>
        </w:rPr>
        <w:t xml:space="preserve"> </w:t>
      </w:r>
      <w:r w:rsidR="00BC5CDA" w:rsidRPr="00411254">
        <w:rPr>
          <w:color w:val="000000"/>
          <w:position w:val="-10"/>
          <w:sz w:val="24"/>
          <w:szCs w:val="24"/>
        </w:rPr>
        <w:object w:dxaOrig="639" w:dyaOrig="320" w14:anchorId="10108249">
          <v:shape id="_x0000_i1039" type="#_x0000_t75" style="width:32.25pt;height:17.25pt" o:ole="">
            <v:imagedata r:id="rId40" o:title=""/>
          </v:shape>
          <o:OLEObject Type="Embed" ProgID="Equation.DSMT4" ShapeID="_x0000_i1039" DrawAspect="Content" ObjectID="_1851766612" r:id="rId41"/>
        </w:object>
      </w:r>
      <w:r w:rsidRPr="00411254">
        <w:rPr>
          <w:sz w:val="24"/>
          <w:szCs w:val="24"/>
        </w:rPr>
        <w:t xml:space="preserve"> </w:t>
      </w:r>
      <w:r w:rsidRPr="00411254">
        <w:rPr>
          <w:color w:val="000000"/>
          <w:sz w:val="24"/>
          <w:szCs w:val="24"/>
        </w:rPr>
        <w:t>coefficient vector to</w:t>
      </w:r>
      <w:r w:rsidRPr="00F24E56">
        <w:rPr>
          <w:color w:val="000000"/>
          <w:sz w:val="24"/>
          <w:szCs w:val="24"/>
        </w:rPr>
        <w:t xml:space="preserve"> be estimated; and</w:t>
      </w:r>
      <w:r w:rsidR="00BC5CDA">
        <w:rPr>
          <w:color w:val="000000"/>
          <w:sz w:val="24"/>
          <w:szCs w:val="24"/>
        </w:rPr>
        <w:t xml:space="preserve"> </w:t>
      </w:r>
      <w:r w:rsidR="00E731DC" w:rsidRPr="00E731DC">
        <w:rPr>
          <w:color w:val="000000"/>
          <w:position w:val="-12"/>
          <w:sz w:val="24"/>
          <w:szCs w:val="24"/>
        </w:rPr>
        <w:object w:dxaOrig="240" w:dyaOrig="360" w14:anchorId="1316F868">
          <v:shape id="_x0000_i1040" type="#_x0000_t75" style="width:12pt;height:18pt" o:ole="">
            <v:imagedata r:id="rId42" o:title=""/>
          </v:shape>
          <o:OLEObject Type="Embed" ProgID="Equation.DSMT4" ShapeID="_x0000_i1040" DrawAspect="Content" ObjectID="_1851766613" r:id="rId43"/>
        </w:object>
      </w:r>
      <w:r w:rsidRPr="00F24E56">
        <w:rPr>
          <w:color w:val="000000"/>
          <w:sz w:val="24"/>
          <w:szCs w:val="24"/>
        </w:rPr>
        <w:t xml:space="preserve"> is a standard-normal error term assumed to be independent and identically distributed across respondents in the sample. The latent propensities</w:t>
      </w:r>
      <w:r w:rsidR="00082CA2">
        <w:rPr>
          <w:color w:val="000000"/>
          <w:sz w:val="24"/>
          <w:szCs w:val="24"/>
        </w:rPr>
        <w:t xml:space="preserve"> </w:t>
      </w:r>
      <w:r w:rsidR="00082CA2" w:rsidRPr="00082CA2">
        <w:rPr>
          <w:color w:val="000000"/>
          <w:position w:val="-12"/>
          <w:sz w:val="24"/>
          <w:szCs w:val="24"/>
        </w:rPr>
        <w:object w:dxaOrig="460" w:dyaOrig="380" w14:anchorId="1830CE6C">
          <v:shape id="_x0000_i1041" type="#_x0000_t75" style="width:23.25pt;height:18pt" o:ole="">
            <v:imagedata r:id="rId44" o:title=""/>
          </v:shape>
          <o:OLEObject Type="Embed" ProgID="Equation.DSMT4" ShapeID="_x0000_i1041" DrawAspect="Content" ObjectID="_1851766614" r:id="rId45"/>
        </w:object>
      </w:r>
      <w:r w:rsidRPr="00F24E56">
        <w:rPr>
          <w:sz w:val="24"/>
          <w:szCs w:val="24"/>
        </w:rPr>
        <w:t xml:space="preserve"> a</w:t>
      </w:r>
      <w:r w:rsidRPr="00F24E56">
        <w:rPr>
          <w:color w:val="000000"/>
          <w:sz w:val="24"/>
          <w:szCs w:val="24"/>
        </w:rPr>
        <w:t xml:space="preserve">re not observable in the data. Instead, the analyst observes only the binary realization </w:t>
      </w:r>
      <w:r w:rsidR="00082CA2" w:rsidRPr="00082CA2">
        <w:rPr>
          <w:color w:val="000000"/>
          <w:position w:val="-12"/>
          <w:sz w:val="24"/>
          <w:szCs w:val="24"/>
        </w:rPr>
        <w:object w:dxaOrig="440" w:dyaOrig="360" w14:anchorId="570356CD">
          <v:shape id="_x0000_i1042" type="#_x0000_t75" style="width:21.75pt;height:18pt" o:ole="">
            <v:imagedata r:id="rId46" o:title=""/>
          </v:shape>
          <o:OLEObject Type="Embed" ProgID="Equation.DSMT4" ShapeID="_x0000_i1042" DrawAspect="Content" ObjectID="_1851766615" r:id="rId47"/>
        </w:object>
      </w:r>
      <w:r w:rsidRPr="00F24E56">
        <w:rPr>
          <w:sz w:val="24"/>
          <w:szCs w:val="24"/>
        </w:rPr>
        <w:t>,</w:t>
      </w:r>
      <w:r w:rsidRPr="00F24E56">
        <w:rPr>
          <w:color w:val="000000"/>
          <w:sz w:val="24"/>
          <w:szCs w:val="24"/>
        </w:rPr>
        <w:t xml:space="preserve"> which equals 1 when </w:t>
      </w:r>
      <w:r w:rsidR="00B9201B" w:rsidRPr="00082CA2">
        <w:rPr>
          <w:color w:val="000000"/>
          <w:position w:val="-12"/>
          <w:sz w:val="24"/>
          <w:szCs w:val="24"/>
        </w:rPr>
        <w:object w:dxaOrig="660" w:dyaOrig="380" w14:anchorId="565B3ABE">
          <v:shape id="_x0000_i1043" type="#_x0000_t75" style="width:33pt;height:18.75pt" o:ole="" o:preferrelative="f">
            <v:imagedata r:id="rId48" o:title=""/>
            <o:lock v:ext="edit" aspectratio="f"/>
          </v:shape>
          <o:OLEObject Type="Embed" ProgID="Equation.DSMT4" ShapeID="_x0000_i1043" DrawAspect="Content" ObjectID="_1851766616" r:id="rId49"/>
        </w:object>
      </w:r>
      <w:r w:rsidRPr="00F24E56">
        <w:rPr>
          <w:sz w:val="24"/>
          <w:szCs w:val="24"/>
        </w:rPr>
        <w:t>,</w:t>
      </w:r>
      <w:r w:rsidRPr="00F24E56">
        <w:rPr>
          <w:color w:val="000000"/>
          <w:sz w:val="24"/>
          <w:szCs w:val="24"/>
        </w:rPr>
        <w:t xml:space="preserve"> and 2 when </w:t>
      </w:r>
      <w:r w:rsidR="00B9201B" w:rsidRPr="005A7AC4">
        <w:rPr>
          <w:color w:val="000000"/>
          <w:position w:val="-12"/>
          <w:sz w:val="24"/>
          <w:szCs w:val="24"/>
        </w:rPr>
        <w:object w:dxaOrig="660" w:dyaOrig="380" w14:anchorId="56C18178">
          <v:shape id="_x0000_i1044" type="#_x0000_t75" style="width:33pt;height:18.75pt" o:ole="" o:preferrelative="f">
            <v:imagedata r:id="rId50" o:title=""/>
            <o:lock v:ext="edit" aspectratio="f"/>
          </v:shape>
          <o:OLEObject Type="Embed" ProgID="Equation.DSMT4" ShapeID="_x0000_i1044" DrawAspect="Content" ObjectID="_1851766617" r:id="rId51"/>
        </w:object>
      </w:r>
      <w:r w:rsidRPr="00F24E56">
        <w:rPr>
          <w:color w:val="000000"/>
          <w:sz w:val="24"/>
          <w:szCs w:val="24"/>
        </w:rPr>
        <w:t xml:space="preserve">. Thus, if </w:t>
      </w:r>
      <w:r w:rsidR="00F80463" w:rsidRPr="00F80463">
        <w:rPr>
          <w:color w:val="000000"/>
          <w:position w:val="-12"/>
          <w:sz w:val="24"/>
          <w:szCs w:val="24"/>
        </w:rPr>
        <w:object w:dxaOrig="279" w:dyaOrig="360" w14:anchorId="25404A0B">
          <v:shape id="_x0000_i1045" type="#_x0000_t75" style="width:14.25pt;height:18pt" o:ole="">
            <v:imagedata r:id="rId52" o:title=""/>
          </v:shape>
          <o:OLEObject Type="Embed" ProgID="Equation.DSMT4" ShapeID="_x0000_i1045" DrawAspect="Content" ObjectID="_1851766618" r:id="rId53"/>
        </w:object>
      </w:r>
      <w:r w:rsidRPr="00F24E56">
        <w:rPr>
          <w:sz w:val="24"/>
          <w:szCs w:val="24"/>
        </w:rPr>
        <w:t xml:space="preserve"> </w:t>
      </w:r>
      <w:r w:rsidR="00F80463">
        <w:rPr>
          <w:sz w:val="24"/>
          <w:szCs w:val="24"/>
        </w:rPr>
        <w:t>(</w:t>
      </w:r>
      <w:r w:rsidR="00F80463" w:rsidRPr="00F80463">
        <w:rPr>
          <w:position w:val="-12"/>
          <w:sz w:val="24"/>
          <w:szCs w:val="24"/>
        </w:rPr>
        <w:object w:dxaOrig="999" w:dyaOrig="360" w14:anchorId="5D9ABBB3">
          <v:shape id="_x0000_i1046" type="#_x0000_t75" style="width:50.25pt;height:18pt" o:ole="">
            <v:imagedata r:id="rId54" o:title=""/>
          </v:shape>
          <o:OLEObject Type="Embed" ProgID="Equation.DSMT4" ShapeID="_x0000_i1046" DrawAspect="Content" ObjectID="_1851766619" r:id="rId55"/>
        </w:object>
      </w:r>
      <w:r w:rsidR="00F80463">
        <w:rPr>
          <w:sz w:val="24"/>
          <w:szCs w:val="24"/>
        </w:rPr>
        <w:t xml:space="preserve">) </w:t>
      </w:r>
      <w:r w:rsidRPr="00F24E56">
        <w:rPr>
          <w:color w:val="000000"/>
          <w:sz w:val="24"/>
          <w:szCs w:val="24"/>
        </w:rPr>
        <w:t>is the actually realized alternative for outcome</w:t>
      </w:r>
      <w:r w:rsidR="00E731DC">
        <w:rPr>
          <w:color w:val="000000"/>
          <w:sz w:val="24"/>
          <w:szCs w:val="24"/>
        </w:rPr>
        <w:t xml:space="preserve"> </w:t>
      </w:r>
      <w:r w:rsidR="00E731DC" w:rsidRPr="00E731DC">
        <w:rPr>
          <w:color w:val="000000"/>
          <w:position w:val="-6"/>
          <w:sz w:val="24"/>
          <w:szCs w:val="24"/>
        </w:rPr>
        <w:object w:dxaOrig="139" w:dyaOrig="260" w14:anchorId="36670DF3">
          <v:shape id="_x0000_i1047" type="#_x0000_t75" style="width:6.75pt;height:13.5pt" o:ole="">
            <v:imagedata r:id="rId56" o:title=""/>
          </v:shape>
          <o:OLEObject Type="Embed" ProgID="Equation.DSMT4" ShapeID="_x0000_i1047" DrawAspect="Content" ObjectID="_1851766620" r:id="rId57"/>
        </w:object>
      </w:r>
      <w:r w:rsidRPr="00F24E56">
        <w:rPr>
          <w:color w:val="000000"/>
          <w:sz w:val="24"/>
          <w:szCs w:val="24"/>
        </w:rPr>
        <w:t>, each respondent</w:t>
      </w:r>
      <w:r w:rsidR="000D7001">
        <w:rPr>
          <w:color w:val="000000"/>
          <w:sz w:val="24"/>
          <w:szCs w:val="24"/>
        </w:rPr>
        <w:t>’</w:t>
      </w:r>
      <w:r w:rsidRPr="00F24E56">
        <w:rPr>
          <w:color w:val="000000"/>
          <w:sz w:val="24"/>
          <w:szCs w:val="24"/>
        </w:rPr>
        <w:t xml:space="preserve">s response may be expressed as </w:t>
      </w:r>
      <w:r w:rsidR="00E731DC" w:rsidRPr="00E731DC">
        <w:rPr>
          <w:color w:val="000000"/>
          <w:position w:val="-12"/>
          <w:sz w:val="24"/>
          <w:szCs w:val="24"/>
        </w:rPr>
        <w:object w:dxaOrig="720" w:dyaOrig="360" w14:anchorId="0FFCBDC0">
          <v:shape id="_x0000_i1048" type="#_x0000_t75" style="width:36.75pt;height:18pt" o:ole="">
            <v:imagedata r:id="rId58" o:title=""/>
          </v:shape>
          <o:OLEObject Type="Embed" ProgID="Equation.DSMT4" ShapeID="_x0000_i1048" DrawAspect="Content" ObjectID="_1851766621" r:id="rId59"/>
        </w:object>
      </w:r>
      <w:r w:rsidRPr="00F24E56">
        <w:rPr>
          <w:sz w:val="24"/>
          <w:szCs w:val="24"/>
        </w:rPr>
        <w:t xml:space="preserve"> if</w:t>
      </w:r>
      <w:r w:rsidR="00E731DC">
        <w:rPr>
          <w:sz w:val="24"/>
          <w:szCs w:val="24"/>
        </w:rPr>
        <w:t xml:space="preserve"> </w:t>
      </w:r>
      <w:r w:rsidR="00B9201B" w:rsidRPr="00E731DC">
        <w:rPr>
          <w:position w:val="-12"/>
          <w:sz w:val="24"/>
          <w:szCs w:val="24"/>
        </w:rPr>
        <w:object w:dxaOrig="1579" w:dyaOrig="380" w14:anchorId="479F79BF">
          <v:shape id="_x0000_i1049" type="#_x0000_t75" style="width:78.75pt;height:18.75pt" o:ole="" o:preferrelative="f">
            <v:imagedata r:id="rId60" o:title=""/>
            <o:lock v:ext="edit" aspectratio="f"/>
          </v:shape>
          <o:OLEObject Type="Embed" ProgID="Equation.DSMT4" ShapeID="_x0000_i1049" DrawAspect="Content" ObjectID="_1851766622" r:id="rId61"/>
        </w:object>
      </w:r>
      <w:r w:rsidRPr="00F24E56">
        <w:rPr>
          <w:sz w:val="24"/>
          <w:szCs w:val="24"/>
        </w:rPr>
        <w:t xml:space="preserve"> for</w:t>
      </w:r>
      <w:r w:rsidR="00E731DC">
        <w:rPr>
          <w:sz w:val="24"/>
          <w:szCs w:val="24"/>
        </w:rPr>
        <w:t xml:space="preserve"> </w:t>
      </w:r>
      <w:r w:rsidR="00B9201B" w:rsidRPr="00E731DC">
        <w:rPr>
          <w:position w:val="-6"/>
          <w:sz w:val="24"/>
          <w:szCs w:val="24"/>
        </w:rPr>
        <w:object w:dxaOrig="859" w:dyaOrig="320" w14:anchorId="1AF5F720">
          <v:shape id="_x0000_i1050" type="#_x0000_t75" style="width:43.5pt;height:15.75pt" o:ole="" o:preferrelative="f">
            <v:imagedata r:id="rId62" o:title=""/>
            <o:lock v:ext="edit" aspectratio="f"/>
          </v:shape>
          <o:OLEObject Type="Embed" ProgID="Equation.DSMT4" ShapeID="_x0000_i1050" DrawAspect="Content" ObjectID="_1851766623" r:id="rId63"/>
        </w:object>
      </w:r>
      <w:r w:rsidRPr="00F24E56">
        <w:rPr>
          <w:sz w:val="24"/>
          <w:szCs w:val="24"/>
        </w:rPr>
        <w:t>,</w:t>
      </w:r>
      <w:r w:rsidR="00090A0D">
        <w:rPr>
          <w:sz w:val="24"/>
          <w:szCs w:val="24"/>
        </w:rPr>
        <w:t xml:space="preserve"> </w:t>
      </w:r>
      <w:r w:rsidR="00B9201B" w:rsidRPr="00BF060C">
        <w:rPr>
          <w:color w:val="000000"/>
          <w:position w:val="-6"/>
          <w:sz w:val="24"/>
          <w:szCs w:val="24"/>
        </w:rPr>
        <w:object w:dxaOrig="639" w:dyaOrig="320" w14:anchorId="001DB99C">
          <v:shape id="_x0000_i1051" type="#_x0000_t75" style="width:31.5pt;height:15.75pt" o:ole="" o:preferrelative="f">
            <v:imagedata r:id="rId64" o:title=""/>
            <o:lock v:ext="edit" aspectratio="f"/>
          </v:shape>
          <o:OLEObject Type="Embed" ProgID="Equation.DSMT4" ShapeID="_x0000_i1051" DrawAspect="Content" ObjectID="_1851766624" r:id="rId65"/>
        </w:object>
      </w:r>
      <w:r w:rsidR="00090A0D">
        <w:rPr>
          <w:color w:val="000000"/>
          <w:sz w:val="24"/>
          <w:szCs w:val="24"/>
        </w:rPr>
        <w:t>,</w:t>
      </w:r>
      <w:r w:rsidRPr="00F24E56">
        <w:rPr>
          <w:sz w:val="24"/>
          <w:szCs w:val="24"/>
        </w:rPr>
        <w:t xml:space="preserve"> and</w:t>
      </w:r>
      <w:r w:rsidR="0056169E">
        <w:rPr>
          <w:sz w:val="24"/>
          <w:szCs w:val="24"/>
        </w:rPr>
        <w:t xml:space="preserve"> </w:t>
      </w:r>
      <w:r w:rsidR="00B9201B" w:rsidRPr="00BF060C">
        <w:rPr>
          <w:position w:val="-6"/>
          <w:sz w:val="24"/>
          <w:szCs w:val="24"/>
        </w:rPr>
        <w:object w:dxaOrig="720" w:dyaOrig="320" w14:anchorId="6E7D5487">
          <v:shape id="_x0000_i1052" type="#_x0000_t75" style="width:36pt;height:16.5pt" o:ole="">
            <v:imagedata r:id="rId66" o:title=""/>
          </v:shape>
          <o:OLEObject Type="Embed" ProgID="Equation.DSMT4" ShapeID="_x0000_i1052" DrawAspect="Content" ObjectID="_1851766625" r:id="rId67"/>
        </w:object>
      </w:r>
      <w:r w:rsidRPr="00F24E56">
        <w:rPr>
          <w:sz w:val="24"/>
          <w:szCs w:val="24"/>
        </w:rPr>
        <w:t xml:space="preserve">. </w:t>
      </w:r>
    </w:p>
    <w:p w14:paraId="49A42327" w14:textId="6F6E56A7" w:rsidR="00A87F12" w:rsidRPr="00F24E56" w:rsidRDefault="00A87F12" w:rsidP="00B9201B">
      <w:pPr>
        <w:ind w:firstLine="720"/>
        <w:jc w:val="both"/>
        <w:rPr>
          <w:color w:val="000000"/>
          <w:sz w:val="24"/>
          <w:szCs w:val="24"/>
        </w:rPr>
      </w:pPr>
      <w:r w:rsidRPr="00F24E56">
        <w:rPr>
          <w:color w:val="000000"/>
          <w:sz w:val="24"/>
          <w:szCs w:val="24"/>
        </w:rPr>
        <w:t xml:space="preserve">Next, to accommodate the joint nature of the eight outcomes, and in particular to allow </w:t>
      </w:r>
      <w:r w:rsidR="00D802EF">
        <w:rPr>
          <w:color w:val="000000"/>
          <w:sz w:val="24"/>
          <w:szCs w:val="24"/>
        </w:rPr>
        <w:t xml:space="preserve"> </w:t>
      </w:r>
      <w:r w:rsidRPr="00F24E56">
        <w:rPr>
          <w:color w:val="000000"/>
          <w:sz w:val="24"/>
          <w:szCs w:val="24"/>
        </w:rPr>
        <w:t>unobserved factors that simultaneously influence the propensity of being a</w:t>
      </w:r>
      <w:r w:rsidR="00C16A41">
        <w:rPr>
          <w:color w:val="000000"/>
          <w:sz w:val="24"/>
          <w:szCs w:val="24"/>
        </w:rPr>
        <w:t>n</w:t>
      </w:r>
      <w:r w:rsidRPr="00F24E56">
        <w:rPr>
          <w:color w:val="000000"/>
          <w:sz w:val="24"/>
          <w:szCs w:val="24"/>
        </w:rPr>
        <w:t xml:space="preserve"> </w:t>
      </w:r>
      <w:r w:rsidR="00C16A41">
        <w:rPr>
          <w:color w:val="000000"/>
          <w:sz w:val="24"/>
          <w:szCs w:val="24"/>
        </w:rPr>
        <w:t>NRAT</w:t>
      </w:r>
      <w:r w:rsidRPr="00F24E56">
        <w:rPr>
          <w:color w:val="000000"/>
          <w:sz w:val="24"/>
          <w:szCs w:val="24"/>
        </w:rPr>
        <w:t xml:space="preserve"> and the propensity of </w:t>
      </w:r>
      <w:r w:rsidR="006E50E2" w:rsidRPr="00F24E56">
        <w:rPr>
          <w:color w:val="000000"/>
          <w:sz w:val="24"/>
          <w:szCs w:val="24"/>
        </w:rPr>
        <w:t>citing</w:t>
      </w:r>
      <w:r w:rsidRPr="00F24E56">
        <w:rPr>
          <w:color w:val="000000"/>
          <w:sz w:val="24"/>
          <w:szCs w:val="24"/>
        </w:rPr>
        <w:t xml:space="preserve"> specific barriers, we treat the stacked error vector</w:t>
      </w:r>
      <w:r w:rsidR="00F94BDB">
        <w:rPr>
          <w:color w:val="000000"/>
          <w:sz w:val="24"/>
          <w:szCs w:val="24"/>
        </w:rPr>
        <w:t xml:space="preserve"> </w:t>
      </w:r>
      <w:r w:rsidR="00F94BDB" w:rsidRPr="00F94BDB">
        <w:rPr>
          <w:color w:val="000000"/>
          <w:position w:val="-12"/>
          <w:sz w:val="24"/>
          <w:szCs w:val="24"/>
        </w:rPr>
        <w:object w:dxaOrig="1740" w:dyaOrig="360" w14:anchorId="7F7AA7C9">
          <v:shape id="_x0000_i1053" type="#_x0000_t75" style="width:87pt;height:18pt" o:ole="">
            <v:imagedata r:id="rId68" o:title=""/>
          </v:shape>
          <o:OLEObject Type="Embed" ProgID="Equation.DSMT4" ShapeID="_x0000_i1053" DrawAspect="Content" ObjectID="_1851766626" r:id="rId69"/>
        </w:object>
      </w:r>
      <w:r w:rsidRPr="00F24E56">
        <w:rPr>
          <w:color w:val="000000"/>
          <w:sz w:val="24"/>
          <w:szCs w:val="24"/>
        </w:rPr>
        <w:t xml:space="preserve"> as following a multivariate normal distribution with a mean vector of zeros and a general correlation matrix</w:t>
      </w:r>
      <w:r w:rsidR="00F94BDB">
        <w:rPr>
          <w:color w:val="000000"/>
          <w:sz w:val="24"/>
          <w:szCs w:val="24"/>
        </w:rPr>
        <w:t xml:space="preserve"> </w:t>
      </w:r>
      <w:r w:rsidR="00F94BDB" w:rsidRPr="00F94BDB">
        <w:rPr>
          <w:color w:val="000000"/>
          <w:position w:val="-4"/>
          <w:sz w:val="24"/>
          <w:szCs w:val="24"/>
        </w:rPr>
        <w:object w:dxaOrig="240" w:dyaOrig="260" w14:anchorId="74A89E35">
          <v:shape id="_x0000_i1054" type="#_x0000_t75" style="width:12pt;height:13.5pt" o:ole="">
            <v:imagedata r:id="rId70" o:title=""/>
          </v:shape>
          <o:OLEObject Type="Embed" ProgID="Equation.DSMT4" ShapeID="_x0000_i1054" DrawAspect="Content" ObjectID="_1851766627" r:id="rId71"/>
        </w:object>
      </w:r>
      <w:r w:rsidRPr="00F24E56">
        <w:rPr>
          <w:sz w:val="24"/>
          <w:szCs w:val="24"/>
        </w:rPr>
        <w:t xml:space="preserve"> </w:t>
      </w:r>
      <w:r w:rsidRPr="00F24E56">
        <w:rPr>
          <w:color w:val="000000"/>
          <w:sz w:val="24"/>
          <w:szCs w:val="24"/>
        </w:rPr>
        <w:t>given by:</w:t>
      </w:r>
    </w:p>
    <w:p w14:paraId="38E579B7" w14:textId="6A2F7856" w:rsidR="00A87F12" w:rsidRPr="00F24E56" w:rsidRDefault="00A87F12" w:rsidP="00B9201B">
      <w:pPr>
        <w:pStyle w:val="MTDisplayEquation"/>
        <w:spacing w:before="120" w:after="120"/>
      </w:pPr>
      <w:r w:rsidRPr="00F24E56">
        <w:rPr>
          <w:position w:val="-86"/>
        </w:rPr>
        <w:object w:dxaOrig="3080" w:dyaOrig="1840" w14:anchorId="7B925F4C">
          <v:shape id="_x0000_i1055" type="#_x0000_t75" style="width:151.5pt;height:93pt" o:ole="">
            <v:imagedata r:id="rId72" o:title=""/>
          </v:shape>
          <o:OLEObject Type="Embed" ProgID="Equation.DSMT4" ShapeID="_x0000_i1055" DrawAspect="Content" ObjectID="_1851766628" r:id="rId73"/>
        </w:object>
      </w:r>
      <w:r w:rsidRPr="00F24E56">
        <w:t>.</w:t>
      </w:r>
      <w:r w:rsidRPr="00F24E56">
        <w:tab/>
      </w:r>
      <w:r w:rsidRPr="00F24E56">
        <w:tab/>
      </w:r>
      <w:r w:rsidRPr="00F24E56">
        <w:fldChar w:fldCharType="begin"/>
      </w:r>
      <w:r w:rsidRPr="00F24E56">
        <w:instrText xml:space="preserve"> MACROBUTTON MTPlaceRef \* MERGEFORMAT </w:instrText>
      </w:r>
      <w:r w:rsidRPr="00F24E56">
        <w:fldChar w:fldCharType="begin"/>
      </w:r>
      <w:r w:rsidRPr="00F24E56">
        <w:instrText xml:space="preserve"> SEQ MTEqn \h \* MERGEFORMAT </w:instrText>
      </w:r>
      <w:r w:rsidRPr="00F24E56">
        <w:fldChar w:fldCharType="end"/>
      </w:r>
      <w:r w:rsidRPr="00F24E56">
        <w:instrText>(</w:instrText>
      </w:r>
      <w:fldSimple w:instr=" SEQ MTEqn \c \* Arabic \* MERGEFORMAT ">
        <w:r w:rsidR="0073207F" w:rsidRPr="00F24E56">
          <w:rPr>
            <w:noProof/>
          </w:rPr>
          <w:instrText>2</w:instrText>
        </w:r>
      </w:fldSimple>
      <w:r w:rsidRPr="00F24E56">
        <w:instrText>)</w:instrText>
      </w:r>
      <w:r w:rsidRPr="00F24E56">
        <w:fldChar w:fldCharType="end"/>
      </w:r>
    </w:p>
    <w:p w14:paraId="524EB710" w14:textId="10BCED00" w:rsidR="00A87F12" w:rsidRPr="00F24E56" w:rsidRDefault="00A87F12" w:rsidP="00B9201B">
      <w:pPr>
        <w:ind w:firstLine="720"/>
        <w:jc w:val="both"/>
        <w:rPr>
          <w:color w:val="000000"/>
          <w:sz w:val="24"/>
          <w:szCs w:val="24"/>
        </w:rPr>
      </w:pPr>
      <w:r w:rsidRPr="00F24E56">
        <w:rPr>
          <w:color w:val="000000"/>
          <w:sz w:val="24"/>
          <w:szCs w:val="24"/>
        </w:rPr>
        <w:t>The off-diagonal elements</w:t>
      </w:r>
      <w:r w:rsidR="00F94BDB">
        <w:rPr>
          <w:color w:val="000000"/>
          <w:sz w:val="24"/>
          <w:szCs w:val="24"/>
        </w:rPr>
        <w:t xml:space="preserve"> </w:t>
      </w:r>
      <w:r w:rsidR="00F94BDB" w:rsidRPr="00F94BDB">
        <w:rPr>
          <w:color w:val="000000"/>
          <w:position w:val="-14"/>
          <w:sz w:val="24"/>
          <w:szCs w:val="24"/>
        </w:rPr>
        <w:object w:dxaOrig="300" w:dyaOrig="380" w14:anchorId="556790B7">
          <v:shape id="_x0000_i1056" type="#_x0000_t75" style="width:15pt;height:18pt" o:ole="">
            <v:imagedata r:id="rId74" o:title=""/>
          </v:shape>
          <o:OLEObject Type="Embed" ProgID="Equation.DSMT4" ShapeID="_x0000_i1056" DrawAspect="Content" ObjectID="_1851766629" r:id="rId75"/>
        </w:object>
      </w:r>
      <w:r w:rsidRPr="00F24E56">
        <w:rPr>
          <w:sz w:val="24"/>
          <w:szCs w:val="24"/>
        </w:rPr>
        <w:t xml:space="preserve"> </w:t>
      </w:r>
      <w:r w:rsidRPr="00F24E56">
        <w:rPr>
          <w:color w:val="000000"/>
          <w:sz w:val="24"/>
          <w:szCs w:val="24"/>
        </w:rPr>
        <w:t>of the correlation matrix capture error correlations among the latent propensities, accommodating shared unobserved heterogeneity across the joint outcome system. To express the system compactly, we stack the</w:t>
      </w:r>
      <w:r w:rsidR="00B979D7">
        <w:rPr>
          <w:color w:val="000000"/>
          <w:sz w:val="24"/>
          <w:szCs w:val="24"/>
        </w:rPr>
        <w:t xml:space="preserve"> </w:t>
      </w:r>
      <w:r w:rsidR="00B979D7" w:rsidRPr="00B979D7">
        <w:rPr>
          <w:color w:val="000000"/>
          <w:position w:val="-4"/>
          <w:sz w:val="24"/>
          <w:szCs w:val="24"/>
        </w:rPr>
        <w:object w:dxaOrig="200" w:dyaOrig="260" w14:anchorId="21605AD7">
          <v:shape id="_x0000_i1057" type="#_x0000_t75" style="width:9pt;height:13.5pt" o:ole="">
            <v:imagedata r:id="rId76" o:title=""/>
          </v:shape>
          <o:OLEObject Type="Embed" ProgID="Equation.DSMT4" ShapeID="_x0000_i1057" DrawAspect="Content" ObjectID="_1851766630" r:id="rId77"/>
        </w:object>
      </w:r>
      <w:r w:rsidRPr="00F24E56">
        <w:rPr>
          <w:sz w:val="24"/>
          <w:szCs w:val="24"/>
        </w:rPr>
        <w:t xml:space="preserve"> </w:t>
      </w:r>
      <w:r w:rsidRPr="00F24E56">
        <w:rPr>
          <w:color w:val="000000"/>
          <w:sz w:val="24"/>
          <w:szCs w:val="24"/>
        </w:rPr>
        <w:t>lower thresholds for each respondent into a vector</w:t>
      </w:r>
      <w:r w:rsidR="000C5F9B">
        <w:rPr>
          <w:color w:val="000000"/>
          <w:sz w:val="24"/>
          <w:szCs w:val="24"/>
        </w:rPr>
        <w:t xml:space="preserve"> </w:t>
      </w:r>
      <w:r w:rsidR="000C5F9B" w:rsidRPr="000C5F9B">
        <w:rPr>
          <w:color w:val="000000"/>
          <w:position w:val="-12"/>
          <w:sz w:val="24"/>
          <w:szCs w:val="24"/>
        </w:rPr>
        <w:object w:dxaOrig="2920" w:dyaOrig="380" w14:anchorId="3A4DEEB2">
          <v:shape id="_x0000_i1058" type="#_x0000_t75" style="width:145.5pt;height:18pt" o:ole="">
            <v:imagedata r:id="rId78" o:title=""/>
          </v:shape>
          <o:OLEObject Type="Embed" ProgID="Equation.DSMT4" ShapeID="_x0000_i1058" DrawAspect="Content" ObjectID="_1851766631" r:id="rId79"/>
        </w:object>
      </w:r>
      <w:r w:rsidRPr="00F24E56">
        <w:rPr>
          <w:sz w:val="24"/>
          <w:szCs w:val="24"/>
        </w:rPr>
        <w:t xml:space="preserve">, </w:t>
      </w:r>
      <w:r w:rsidRPr="00F24E56">
        <w:rPr>
          <w:color w:val="000000"/>
          <w:sz w:val="24"/>
          <w:szCs w:val="24"/>
        </w:rPr>
        <w:t>the corresponding</w:t>
      </w:r>
      <w:r w:rsidR="00C056D7">
        <w:rPr>
          <w:color w:val="000000"/>
          <w:sz w:val="24"/>
          <w:szCs w:val="24"/>
        </w:rPr>
        <w:t xml:space="preserve"> </w:t>
      </w:r>
      <w:r w:rsidR="00C056D7" w:rsidRPr="00C056D7">
        <w:rPr>
          <w:color w:val="000000"/>
          <w:position w:val="-4"/>
          <w:sz w:val="24"/>
          <w:szCs w:val="24"/>
        </w:rPr>
        <w:object w:dxaOrig="200" w:dyaOrig="260" w14:anchorId="73A39C44">
          <v:shape id="_x0000_i1059" type="#_x0000_t75" style="width:9pt;height:13.5pt" o:ole="">
            <v:imagedata r:id="rId80" o:title=""/>
          </v:shape>
          <o:OLEObject Type="Embed" ProgID="Equation.DSMT4" ShapeID="_x0000_i1059" DrawAspect="Content" ObjectID="_1851766632" r:id="rId81"/>
        </w:object>
      </w:r>
      <w:r w:rsidR="00C056D7">
        <w:rPr>
          <w:color w:val="000000"/>
          <w:sz w:val="24"/>
          <w:szCs w:val="24"/>
        </w:rPr>
        <w:t xml:space="preserve"> </w:t>
      </w:r>
      <w:r w:rsidRPr="00F24E56">
        <w:rPr>
          <w:sz w:val="24"/>
          <w:szCs w:val="24"/>
        </w:rPr>
        <w:t>u</w:t>
      </w:r>
      <w:r w:rsidRPr="00F24E56">
        <w:rPr>
          <w:color w:val="000000"/>
          <w:sz w:val="24"/>
          <w:szCs w:val="24"/>
        </w:rPr>
        <w:t xml:space="preserve">pper thresholds into a vector </w:t>
      </w:r>
      <w:r w:rsidR="000C5F9B" w:rsidRPr="000C5F9B">
        <w:rPr>
          <w:color w:val="000000"/>
          <w:position w:val="-14"/>
          <w:sz w:val="24"/>
          <w:szCs w:val="24"/>
        </w:rPr>
        <w:object w:dxaOrig="2460" w:dyaOrig="400" w14:anchorId="6C7E1144">
          <v:shape id="_x0000_i1060" type="#_x0000_t75" style="width:122.25pt;height:19.5pt" o:ole="">
            <v:imagedata r:id="rId82" o:title=""/>
          </v:shape>
          <o:OLEObject Type="Embed" ProgID="Equation.DSMT4" ShapeID="_x0000_i1060" DrawAspect="Content" ObjectID="_1851766633" r:id="rId83"/>
        </w:object>
      </w:r>
      <w:r w:rsidRPr="00F24E56">
        <w:rPr>
          <w:sz w:val="24"/>
          <w:szCs w:val="24"/>
        </w:rPr>
        <w:t xml:space="preserve">, </w:t>
      </w:r>
      <w:r w:rsidRPr="00F24E56">
        <w:rPr>
          <w:color w:val="000000"/>
          <w:sz w:val="24"/>
          <w:szCs w:val="24"/>
        </w:rPr>
        <w:t xml:space="preserve">the latent propensities for each of the outcomes into the vector </w:t>
      </w:r>
      <w:r w:rsidR="001C09B7" w:rsidRPr="001C09B7">
        <w:rPr>
          <w:color w:val="000000"/>
          <w:position w:val="-12"/>
          <w:sz w:val="24"/>
          <w:szCs w:val="24"/>
        </w:rPr>
        <w:object w:dxaOrig="1860" w:dyaOrig="380" w14:anchorId="231AEE52">
          <v:shape id="_x0000_i1061" type="#_x0000_t75" style="width:92.25pt;height:18pt" o:ole="">
            <v:imagedata r:id="rId84" o:title=""/>
          </v:shape>
          <o:OLEObject Type="Embed" ProgID="Equation.DSMT4" ShapeID="_x0000_i1061" DrawAspect="Content" ObjectID="_1851766634" r:id="rId85"/>
        </w:object>
      </w:r>
      <w:r w:rsidRPr="00F24E56">
        <w:rPr>
          <w:sz w:val="24"/>
          <w:szCs w:val="24"/>
        </w:rPr>
        <w:t>, a</w:t>
      </w:r>
      <w:r w:rsidRPr="00F24E56">
        <w:rPr>
          <w:color w:val="000000"/>
          <w:sz w:val="24"/>
          <w:szCs w:val="24"/>
        </w:rPr>
        <w:t>nd the</w:t>
      </w:r>
      <w:r w:rsidR="00B979D7">
        <w:rPr>
          <w:color w:val="000000"/>
          <w:sz w:val="24"/>
          <w:szCs w:val="24"/>
        </w:rPr>
        <w:t xml:space="preserve"> </w:t>
      </w:r>
      <w:r w:rsidR="00B979D7" w:rsidRPr="00B979D7">
        <w:rPr>
          <w:color w:val="000000"/>
          <w:position w:val="-4"/>
          <w:sz w:val="24"/>
          <w:szCs w:val="24"/>
        </w:rPr>
        <w:object w:dxaOrig="200" w:dyaOrig="260" w14:anchorId="5C68EC5F">
          <v:shape id="_x0000_i1062" type="#_x0000_t75" style="width:9pt;height:13.5pt" o:ole="">
            <v:imagedata r:id="rId86" o:title=""/>
          </v:shape>
          <o:OLEObject Type="Embed" ProgID="Equation.DSMT4" ShapeID="_x0000_i1062" DrawAspect="Content" ObjectID="_1851766635" r:id="rId87"/>
        </w:object>
      </w:r>
      <w:r w:rsidR="00C056D7">
        <w:rPr>
          <w:sz w:val="24"/>
          <w:szCs w:val="24"/>
        </w:rPr>
        <w:t xml:space="preserve"> </w:t>
      </w:r>
      <w:r w:rsidRPr="00F24E56">
        <w:rPr>
          <w:color w:val="000000"/>
          <w:sz w:val="24"/>
          <w:szCs w:val="24"/>
        </w:rPr>
        <w:t>parameter vectors into</w:t>
      </w:r>
      <w:r w:rsidR="001C09B7">
        <w:rPr>
          <w:color w:val="000000"/>
          <w:sz w:val="24"/>
          <w:szCs w:val="24"/>
        </w:rPr>
        <w:t xml:space="preserve"> </w:t>
      </w:r>
      <w:r w:rsidR="001C09B7" w:rsidRPr="001C09B7">
        <w:rPr>
          <w:color w:val="000000"/>
          <w:position w:val="-12"/>
          <w:sz w:val="24"/>
          <w:szCs w:val="24"/>
        </w:rPr>
        <w:object w:dxaOrig="1740" w:dyaOrig="360" w14:anchorId="1471BBC0">
          <v:shape id="_x0000_i1063" type="#_x0000_t75" style="width:87pt;height:18pt" o:ole="">
            <v:imagedata r:id="rId88" o:title=""/>
          </v:shape>
          <o:OLEObject Type="Embed" ProgID="Equation.DSMT4" ShapeID="_x0000_i1063" DrawAspect="Content" ObjectID="_1851766636" r:id="rId89"/>
        </w:object>
      </w:r>
      <w:r w:rsidRPr="00F24E56">
        <w:rPr>
          <w:sz w:val="24"/>
          <w:szCs w:val="24"/>
        </w:rPr>
        <w:t>. As noted above, f</w:t>
      </w:r>
      <w:r w:rsidRPr="00F24E56">
        <w:rPr>
          <w:color w:val="000000"/>
          <w:sz w:val="24"/>
          <w:szCs w:val="24"/>
        </w:rPr>
        <w:t xml:space="preserve">or estimation, these stacked vectors must be marginalized for individuals who do not contribute the full vector of outcomes (the 6,797 frequent </w:t>
      </w:r>
      <w:r w:rsidR="00A204E8" w:rsidRPr="00F24E56">
        <w:rPr>
          <w:color w:val="000000"/>
          <w:sz w:val="24"/>
          <w:szCs w:val="24"/>
        </w:rPr>
        <w:t>active mode</w:t>
      </w:r>
      <w:r w:rsidRPr="00F24E56">
        <w:rPr>
          <w:color w:val="000000"/>
          <w:sz w:val="24"/>
          <w:szCs w:val="24"/>
        </w:rPr>
        <w:t xml:space="preserve"> users).</w:t>
      </w:r>
      <w:r w:rsidR="00F24E56" w:rsidRPr="00F24E56">
        <w:rPr>
          <w:color w:val="000000"/>
          <w:sz w:val="24"/>
          <w:szCs w:val="24"/>
        </w:rPr>
        <w:t xml:space="preserve"> </w:t>
      </w:r>
      <w:r w:rsidRPr="00F24E56">
        <w:rPr>
          <w:color w:val="000000"/>
          <w:sz w:val="24"/>
          <w:szCs w:val="24"/>
        </w:rPr>
        <w:t>Using these stacked vectors, the complete model system can be written in matrix form as:</w:t>
      </w:r>
    </w:p>
    <w:p w14:paraId="30D1B5DB" w14:textId="124E8D31" w:rsidR="00A87F12" w:rsidRPr="00F24E56" w:rsidRDefault="001F3ABE" w:rsidP="00B9201B">
      <w:pPr>
        <w:pStyle w:val="MTDisplayEquation"/>
        <w:spacing w:before="120" w:after="120"/>
      </w:pPr>
      <w:r w:rsidRPr="00947726">
        <w:rPr>
          <w:position w:val="-12"/>
        </w:rPr>
        <w:object w:dxaOrig="1160" w:dyaOrig="380" w14:anchorId="7B05A30A">
          <v:shape id="_x0000_i1064" type="#_x0000_t75" style="width:58.5pt;height:18.75pt" o:ole="" o:preferrelative="f">
            <v:imagedata r:id="rId90" o:title=""/>
            <o:lock v:ext="edit" aspectratio="f"/>
          </v:shape>
          <o:OLEObject Type="Embed" ProgID="Equation.DSMT4" ShapeID="_x0000_i1064" DrawAspect="Content" ObjectID="_1851766637" r:id="rId91"/>
        </w:object>
      </w:r>
      <w:r w:rsidR="00A87F12" w:rsidRPr="00F24E56">
        <w:t>,</w:t>
      </w:r>
      <w:r w:rsidR="002A4389">
        <w:t xml:space="preserve"> </w:t>
      </w:r>
      <w:r w:rsidRPr="002A4389">
        <w:rPr>
          <w:position w:val="-14"/>
        </w:rPr>
        <w:object w:dxaOrig="1400" w:dyaOrig="400" w14:anchorId="37A6E7B5">
          <v:shape id="_x0000_i1065" type="#_x0000_t75" style="width:69.75pt;height:20.25pt" o:ole="" o:preferrelative="f">
            <v:imagedata r:id="rId92" o:title=""/>
            <o:lock v:ext="edit" aspectratio="f"/>
          </v:shape>
          <o:OLEObject Type="Embed" ProgID="Equation.DSMT4" ShapeID="_x0000_i1065" DrawAspect="Content" ObjectID="_1851766638" r:id="rId93"/>
        </w:object>
      </w:r>
      <w:r w:rsidR="00A87F12" w:rsidRPr="00F24E56">
        <w:t>, where</w:t>
      </w:r>
      <w:r w:rsidR="00947726">
        <w:t xml:space="preserve"> </w:t>
      </w:r>
      <w:r w:rsidRPr="00947726">
        <w:rPr>
          <w:position w:val="-12"/>
        </w:rPr>
        <w:object w:dxaOrig="1880" w:dyaOrig="380" w14:anchorId="7FE34203">
          <v:shape id="_x0000_i1066" type="#_x0000_t75" style="width:94.5pt;height:18.75pt" o:ole="" o:preferrelative="f">
            <v:imagedata r:id="rId94" o:title=""/>
            <o:lock v:ext="edit" aspectratio="f"/>
          </v:shape>
          <o:OLEObject Type="Embed" ProgID="Equation.DSMT4" ShapeID="_x0000_i1066" DrawAspect="Content" ObjectID="_1851766639" r:id="rId95"/>
        </w:object>
      </w:r>
      <w:r w:rsidR="00A87F12" w:rsidRPr="00F24E56">
        <w:t>,</w:t>
      </w:r>
      <w:r w:rsidR="00A87F12" w:rsidRPr="00F24E56">
        <w:tab/>
      </w:r>
      <w:r w:rsidR="00A87F12" w:rsidRPr="00F24E56">
        <w:fldChar w:fldCharType="begin"/>
      </w:r>
      <w:r w:rsidR="00A87F12" w:rsidRPr="00F24E56">
        <w:instrText xml:space="preserve"> MACROBUTTON MTPlaceRef \* MERGEFORMAT </w:instrText>
      </w:r>
      <w:r w:rsidR="00A87F12" w:rsidRPr="00F24E56">
        <w:fldChar w:fldCharType="begin"/>
      </w:r>
      <w:r w:rsidR="00A87F12" w:rsidRPr="00F24E56">
        <w:instrText xml:space="preserve"> SEQ MTEqn \h \* MERGEFORMAT </w:instrText>
      </w:r>
      <w:r w:rsidR="00A87F12" w:rsidRPr="00F24E56">
        <w:fldChar w:fldCharType="end"/>
      </w:r>
      <w:r w:rsidR="00A87F12" w:rsidRPr="00F24E56">
        <w:instrText>(</w:instrText>
      </w:r>
      <w:fldSimple w:instr=" SEQ MTEqn \c \* Arabic \* MERGEFORMAT ">
        <w:r w:rsidR="0073207F" w:rsidRPr="00F24E56">
          <w:rPr>
            <w:noProof/>
          </w:rPr>
          <w:instrText>3</w:instrText>
        </w:r>
      </w:fldSimple>
      <w:r w:rsidR="00A87F12" w:rsidRPr="00F24E56">
        <w:instrText>)</w:instrText>
      </w:r>
      <w:r w:rsidR="00A87F12" w:rsidRPr="00F24E56">
        <w:fldChar w:fldCharType="end"/>
      </w:r>
    </w:p>
    <w:p w14:paraId="6C17C74A" w14:textId="39E9D8CE" w:rsidR="001E0396" w:rsidRDefault="00090A0D" w:rsidP="00B9201B">
      <w:pPr>
        <w:jc w:val="both"/>
        <w:rPr>
          <w:color w:val="000000"/>
          <w:sz w:val="24"/>
          <w:szCs w:val="24"/>
        </w:rPr>
      </w:pPr>
      <w:r>
        <w:rPr>
          <w:color w:val="000000"/>
          <w:sz w:val="24"/>
          <w:szCs w:val="24"/>
        </w:rPr>
        <w:t>w</w:t>
      </w:r>
      <w:r w:rsidR="00A87F12" w:rsidRPr="00F24E56">
        <w:rPr>
          <w:color w:val="000000"/>
          <w:sz w:val="24"/>
          <w:szCs w:val="24"/>
        </w:rPr>
        <w:t>ith</w:t>
      </w:r>
      <w:r w:rsidR="002A4389">
        <w:rPr>
          <w:color w:val="000000"/>
          <w:sz w:val="24"/>
          <w:szCs w:val="24"/>
        </w:rPr>
        <w:t xml:space="preserve"> </w:t>
      </w:r>
      <w:r w:rsidR="002A4389" w:rsidRPr="002A4389">
        <w:rPr>
          <w:color w:val="000000"/>
          <w:position w:val="-12"/>
          <w:sz w:val="24"/>
          <w:szCs w:val="24"/>
        </w:rPr>
        <w:object w:dxaOrig="1400" w:dyaOrig="360" w14:anchorId="7B77FC24">
          <v:shape id="_x0000_i1067" type="#_x0000_t75" style="width:69.75pt;height:18pt" o:ole="">
            <v:imagedata r:id="rId96" o:title=""/>
          </v:shape>
          <o:OLEObject Type="Embed" ProgID="Equation.DSMT4" ShapeID="_x0000_i1067" DrawAspect="Content" ObjectID="_1851766640" r:id="rId97"/>
        </w:object>
      </w:r>
      <w:r w:rsidR="00A87F12" w:rsidRPr="00F24E56">
        <w:rPr>
          <w:color w:val="000000"/>
          <w:sz w:val="24"/>
          <w:szCs w:val="24"/>
        </w:rPr>
        <w:t xml:space="preserve"> denoting the</w:t>
      </w:r>
      <w:r w:rsidR="008C11EC">
        <w:rPr>
          <w:color w:val="000000"/>
          <w:sz w:val="24"/>
          <w:szCs w:val="24"/>
        </w:rPr>
        <w:t xml:space="preserve"> </w:t>
      </w:r>
      <w:r w:rsidR="008C11EC" w:rsidRPr="008C11EC">
        <w:rPr>
          <w:color w:val="000000"/>
          <w:position w:val="-4"/>
          <w:sz w:val="24"/>
          <w:szCs w:val="24"/>
        </w:rPr>
        <w:object w:dxaOrig="200" w:dyaOrig="260" w14:anchorId="20FFC685">
          <v:shape id="_x0000_i1068" type="#_x0000_t75" style="width:9.75pt;height:13.5pt" o:ole="">
            <v:imagedata r:id="rId98" o:title=""/>
          </v:shape>
          <o:OLEObject Type="Embed" ProgID="Equation.DSMT4" ShapeID="_x0000_i1068" DrawAspect="Content" ObjectID="_1851766641" r:id="rId99"/>
        </w:object>
      </w:r>
      <w:r w:rsidR="00A87F12" w:rsidRPr="00F24E56">
        <w:rPr>
          <w:color w:val="000000"/>
          <w:sz w:val="24"/>
          <w:szCs w:val="24"/>
        </w:rPr>
        <w:t>-dimensional multivariate normal distribution with mean</w:t>
      </w:r>
      <w:r w:rsidR="008C11EC">
        <w:rPr>
          <w:color w:val="000000"/>
          <w:sz w:val="24"/>
          <w:szCs w:val="24"/>
        </w:rPr>
        <w:t xml:space="preserve"> </w:t>
      </w:r>
      <w:r w:rsidR="008C11EC" w:rsidRPr="008C11EC">
        <w:rPr>
          <w:color w:val="000000"/>
          <w:position w:val="-10"/>
          <w:sz w:val="24"/>
          <w:szCs w:val="24"/>
        </w:rPr>
        <w:object w:dxaOrig="380" w:dyaOrig="320" w14:anchorId="34606325">
          <v:shape id="_x0000_i1069" type="#_x0000_t75" style="width:18pt;height:17.25pt" o:ole="">
            <v:imagedata r:id="rId100" o:title=""/>
          </v:shape>
          <o:OLEObject Type="Embed" ProgID="Equation.DSMT4" ShapeID="_x0000_i1069" DrawAspect="Content" ObjectID="_1851766642" r:id="rId101"/>
        </w:object>
      </w:r>
      <w:r w:rsidR="00A87F12" w:rsidRPr="00F24E56">
        <w:rPr>
          <w:color w:val="000000"/>
          <w:sz w:val="24"/>
          <w:szCs w:val="24"/>
        </w:rPr>
        <w:t xml:space="preserve"> </w:t>
      </w:r>
      <w:r w:rsidR="00A87F12" w:rsidRPr="00F24E56">
        <w:rPr>
          <w:sz w:val="24"/>
          <w:szCs w:val="24"/>
        </w:rPr>
        <w:t xml:space="preserve"> </w:t>
      </w:r>
      <w:r w:rsidR="00A87F12" w:rsidRPr="00F24E56">
        <w:rPr>
          <w:color w:val="000000"/>
          <w:sz w:val="24"/>
          <w:szCs w:val="24"/>
        </w:rPr>
        <w:t>and correlation matrix</w:t>
      </w:r>
      <w:r w:rsidR="008C11EC">
        <w:rPr>
          <w:color w:val="000000"/>
          <w:sz w:val="24"/>
          <w:szCs w:val="24"/>
        </w:rPr>
        <w:t xml:space="preserve"> </w:t>
      </w:r>
      <w:r w:rsidR="008C11EC" w:rsidRPr="008C11EC">
        <w:rPr>
          <w:color w:val="000000"/>
          <w:position w:val="-4"/>
          <w:sz w:val="24"/>
          <w:szCs w:val="24"/>
        </w:rPr>
        <w:object w:dxaOrig="240" w:dyaOrig="260" w14:anchorId="2D4F3FB2">
          <v:shape id="_x0000_i1070" type="#_x0000_t75" style="width:12pt;height:13.5pt" o:ole="">
            <v:imagedata r:id="rId102" o:title=""/>
          </v:shape>
          <o:OLEObject Type="Embed" ProgID="Equation.DSMT4" ShapeID="_x0000_i1070" DrawAspect="Content" ObjectID="_1851766643" r:id="rId103"/>
        </w:object>
      </w:r>
      <w:r w:rsidR="00A87F12" w:rsidRPr="00F24E56">
        <w:rPr>
          <w:color w:val="000000"/>
          <w:sz w:val="24"/>
          <w:szCs w:val="24"/>
        </w:rPr>
        <w:t>. To complete the parameterization, we collect all parameters to be estimated into a single vector</w:t>
      </w:r>
      <w:r w:rsidR="00E71C12">
        <w:rPr>
          <w:color w:val="000000"/>
          <w:sz w:val="24"/>
          <w:szCs w:val="24"/>
        </w:rPr>
        <w:t xml:space="preserve"> </w:t>
      </w:r>
      <w:r w:rsidR="00B9201B" w:rsidRPr="00B661BD">
        <w:rPr>
          <w:color w:val="000000"/>
          <w:position w:val="-10"/>
          <w:sz w:val="24"/>
          <w:szCs w:val="24"/>
        </w:rPr>
        <w:object w:dxaOrig="3120" w:dyaOrig="420" w14:anchorId="74563C1D">
          <v:shape id="_x0000_i1071" type="#_x0000_t75" style="width:156pt;height:21pt" o:ole="" o:preferrelative="f">
            <v:imagedata r:id="rId104" o:title=""/>
            <o:lock v:ext="edit" aspectratio="f"/>
          </v:shape>
          <o:OLEObject Type="Embed" ProgID="Equation.DSMT4" ShapeID="_x0000_i1071" DrawAspect="Content" ObjectID="_1851766644" r:id="rId105"/>
        </w:object>
      </w:r>
      <w:r w:rsidR="00A87F12" w:rsidRPr="00F24E56">
        <w:rPr>
          <w:sz w:val="24"/>
          <w:szCs w:val="24"/>
        </w:rPr>
        <w:t xml:space="preserve"> </w:t>
      </w:r>
      <w:r w:rsidR="00A87F12" w:rsidRPr="00F24E56">
        <w:rPr>
          <w:color w:val="000000"/>
          <w:sz w:val="24"/>
          <w:szCs w:val="24"/>
        </w:rPr>
        <w:t>where the operator “</w:t>
      </w:r>
      <w:r w:rsidR="00A87F12" w:rsidRPr="00F24E56">
        <w:rPr>
          <w:sz w:val="24"/>
          <w:szCs w:val="24"/>
        </w:rPr>
        <w:t xml:space="preserve">Vech(.)” </w:t>
      </w:r>
      <w:r w:rsidR="00A87F12" w:rsidRPr="00F24E56">
        <w:rPr>
          <w:color w:val="000000"/>
          <w:sz w:val="24"/>
          <w:szCs w:val="24"/>
        </w:rPr>
        <w:t>row-vectorizes the non-zero elements of the matrix or vector on which it operates and the operator “</w:t>
      </w:r>
      <w:r w:rsidR="00A87F12" w:rsidRPr="00F24E56">
        <w:rPr>
          <w:sz w:val="24"/>
          <w:szCs w:val="24"/>
        </w:rPr>
        <w:t xml:space="preserve">Vechup(.)” </w:t>
      </w:r>
      <w:r w:rsidR="00A87F12" w:rsidRPr="00F24E56">
        <w:rPr>
          <w:color w:val="000000"/>
          <w:sz w:val="24"/>
          <w:szCs w:val="24"/>
        </w:rPr>
        <w:t xml:space="preserve">row-vectorizes the upper-triangular elements of a square matrix. </w:t>
      </w:r>
    </w:p>
    <w:p w14:paraId="50D896E2" w14:textId="77777777" w:rsidR="009F5537" w:rsidRDefault="009F5537" w:rsidP="00B9201B">
      <w:pPr>
        <w:ind w:firstLine="720"/>
        <w:jc w:val="both"/>
        <w:rPr>
          <w:color w:val="000000"/>
          <w:sz w:val="24"/>
          <w:szCs w:val="24"/>
        </w:rPr>
      </w:pPr>
    </w:p>
    <w:p w14:paraId="09848C30" w14:textId="04F1F1DE" w:rsidR="001602B6" w:rsidRPr="001602B6" w:rsidRDefault="00A87F12" w:rsidP="00B9201B">
      <w:pPr>
        <w:ind w:firstLine="720"/>
        <w:jc w:val="both"/>
        <w:rPr>
          <w:color w:val="000000"/>
          <w:sz w:val="24"/>
          <w:szCs w:val="24"/>
        </w:rPr>
      </w:pPr>
      <w:r w:rsidRPr="00F24E56">
        <w:rPr>
          <w:color w:val="000000"/>
          <w:sz w:val="24"/>
          <w:szCs w:val="24"/>
        </w:rPr>
        <w:t>The likelihood contribution of an individual then takes the form:</w:t>
      </w:r>
      <w:r w:rsidR="001602B6">
        <w:t xml:space="preserve"> </w:t>
      </w:r>
    </w:p>
    <w:p w14:paraId="754BEBFD" w14:textId="6EAEBFC1" w:rsidR="00A87F12" w:rsidRPr="00F24E56" w:rsidRDefault="001602B6" w:rsidP="00B9201B">
      <w:pPr>
        <w:pStyle w:val="MTDisplayEquation"/>
        <w:spacing w:before="120"/>
        <w:jc w:val="left"/>
      </w:pPr>
      <w:r w:rsidRPr="001602B6">
        <w:rPr>
          <w:position w:val="-34"/>
        </w:rPr>
        <w:object w:dxaOrig="4400" w:dyaOrig="620" w14:anchorId="58B18ACD">
          <v:shape id="_x0000_i1072" type="#_x0000_t75" style="width:220.5pt;height:31.5pt" o:ole="">
            <v:imagedata r:id="rId106" o:title=""/>
          </v:shape>
          <o:OLEObject Type="Embed" ProgID="Equation.DSMT4" ShapeID="_x0000_i1072" DrawAspect="Content" ObjectID="_1851766645" r:id="rId107"/>
        </w:object>
      </w:r>
      <w:r w:rsidR="00A87F12" w:rsidRPr="00F24E56">
        <w:tab/>
      </w:r>
      <w:r w:rsidR="00D15AB2">
        <w:tab/>
      </w:r>
      <w:r w:rsidR="00A87F12" w:rsidRPr="00F24E56">
        <w:fldChar w:fldCharType="begin"/>
      </w:r>
      <w:r w:rsidR="00A87F12" w:rsidRPr="00F24E56">
        <w:instrText xml:space="preserve"> MACROBUTTON MTPlaceRef \* MERGEFORMAT </w:instrText>
      </w:r>
      <w:r w:rsidR="00A87F12" w:rsidRPr="00F24E56">
        <w:fldChar w:fldCharType="begin"/>
      </w:r>
      <w:r w:rsidR="00A87F12" w:rsidRPr="00F24E56">
        <w:instrText xml:space="preserve"> SEQ MTEqn \h \* MERGEFORMAT </w:instrText>
      </w:r>
      <w:r w:rsidR="00A87F12" w:rsidRPr="00F24E56">
        <w:fldChar w:fldCharType="end"/>
      </w:r>
      <w:bookmarkStart w:id="1" w:name="ZEqnNum286901"/>
      <w:r w:rsidR="00A87F12" w:rsidRPr="00F24E56">
        <w:instrText>(</w:instrText>
      </w:r>
      <w:fldSimple w:instr=" SEQ MTEqn \c \* Arabic \* MERGEFORMAT ">
        <w:r w:rsidR="0073207F" w:rsidRPr="00F24E56">
          <w:rPr>
            <w:noProof/>
          </w:rPr>
          <w:instrText>4</w:instrText>
        </w:r>
      </w:fldSimple>
      <w:r w:rsidR="00A87F12" w:rsidRPr="00F24E56">
        <w:instrText>)</w:instrText>
      </w:r>
      <w:bookmarkEnd w:id="1"/>
      <w:r w:rsidR="00A87F12" w:rsidRPr="00F24E56">
        <w:fldChar w:fldCharType="end"/>
      </w:r>
    </w:p>
    <w:p w14:paraId="6799E5FE" w14:textId="2844E5D6" w:rsidR="008353B9" w:rsidRDefault="00A87F12" w:rsidP="00B9201B">
      <w:pPr>
        <w:jc w:val="both"/>
        <w:rPr>
          <w:color w:val="000000"/>
          <w:sz w:val="24"/>
          <w:szCs w:val="24"/>
        </w:rPr>
      </w:pPr>
      <w:r w:rsidRPr="00F24E56">
        <w:rPr>
          <w:color w:val="000000"/>
          <w:sz w:val="24"/>
          <w:szCs w:val="24"/>
        </w:rPr>
        <w:t>where the integration domain</w:t>
      </w:r>
      <w:r w:rsidR="001E0396">
        <w:rPr>
          <w:color w:val="000000"/>
          <w:sz w:val="24"/>
          <w:szCs w:val="24"/>
        </w:rPr>
        <w:t xml:space="preserve"> </w:t>
      </w:r>
      <w:r w:rsidR="001F3ABE" w:rsidRPr="001E0396">
        <w:rPr>
          <w:color w:val="000000"/>
          <w:position w:val="-14"/>
          <w:sz w:val="24"/>
          <w:szCs w:val="24"/>
        </w:rPr>
        <w:object w:dxaOrig="2240" w:dyaOrig="380" w14:anchorId="6D56A226">
          <v:shape id="_x0000_i1073" type="#_x0000_t75" style="width:112.5pt;height:18.75pt" o:ole="" o:preferrelative="f">
            <v:imagedata r:id="rId108" o:title=""/>
            <o:lock v:ext="edit" aspectratio="f"/>
          </v:shape>
          <o:OLEObject Type="Embed" ProgID="Equation.DSMT4" ShapeID="_x0000_i1073" DrawAspect="Content" ObjectID="_1851766646" r:id="rId109"/>
        </w:object>
      </w:r>
      <w:r w:rsidRPr="00F24E56">
        <w:rPr>
          <w:color w:val="000000"/>
          <w:sz w:val="24"/>
          <w:szCs w:val="24"/>
        </w:rPr>
        <w:t xml:space="preserve"> is the multivariate region of </w:t>
      </w:r>
      <w:r w:rsidR="001602B6">
        <w:rPr>
          <w:color w:val="000000"/>
          <w:sz w:val="24"/>
          <w:szCs w:val="24"/>
        </w:rPr>
        <w:t xml:space="preserve"> </w:t>
      </w:r>
      <w:r w:rsidR="001F3ABE" w:rsidRPr="001602B6">
        <w:rPr>
          <w:color w:val="000000"/>
          <w:position w:val="-12"/>
          <w:sz w:val="24"/>
          <w:szCs w:val="24"/>
        </w:rPr>
        <w:object w:dxaOrig="279" w:dyaOrig="380" w14:anchorId="71DF148C">
          <v:shape id="_x0000_i1074" type="#_x0000_t75" style="width:13.5pt;height:18.75pt" o:ole="" o:preferrelative="f">
            <v:imagedata r:id="rId110" o:title=""/>
            <o:lock v:ext="edit" aspectratio="f"/>
          </v:shape>
          <o:OLEObject Type="Embed" ProgID="Equation.DSMT4" ShapeID="_x0000_i1074" DrawAspect="Content" ObjectID="_1851766647" r:id="rId111"/>
        </w:object>
      </w:r>
      <w:r w:rsidRPr="00F24E56">
        <w:rPr>
          <w:sz w:val="24"/>
          <w:szCs w:val="24"/>
        </w:rPr>
        <w:t xml:space="preserve"> t</w:t>
      </w:r>
      <w:r w:rsidRPr="00F24E56">
        <w:rPr>
          <w:color w:val="000000"/>
          <w:sz w:val="24"/>
          <w:szCs w:val="24"/>
        </w:rPr>
        <w:t>runcated by the lower and upper threshold vectors, and</w:t>
      </w:r>
      <w:r w:rsidR="001602B6">
        <w:rPr>
          <w:color w:val="000000"/>
          <w:sz w:val="24"/>
          <w:szCs w:val="24"/>
        </w:rPr>
        <w:t xml:space="preserve"> </w:t>
      </w:r>
      <w:r w:rsidR="001F3ABE" w:rsidRPr="001602B6">
        <w:rPr>
          <w:color w:val="000000"/>
          <w:position w:val="-12"/>
          <w:sz w:val="24"/>
          <w:szCs w:val="24"/>
        </w:rPr>
        <w:object w:dxaOrig="1260" w:dyaOrig="360" w14:anchorId="312A5795">
          <v:shape id="_x0000_i1075" type="#_x0000_t75" style="width:63.75pt;height:18.75pt" o:ole="">
            <v:imagedata r:id="rId112" o:title=""/>
          </v:shape>
          <o:OLEObject Type="Embed" ProgID="Equation.DSMT4" ShapeID="_x0000_i1075" DrawAspect="Content" ObjectID="_1851766648" r:id="rId113"/>
        </w:object>
      </w:r>
      <w:r w:rsidRPr="00F24E56">
        <w:rPr>
          <w:sz w:val="24"/>
          <w:szCs w:val="24"/>
        </w:rPr>
        <w:t xml:space="preserve"> </w:t>
      </w:r>
      <w:r w:rsidRPr="00F24E56">
        <w:rPr>
          <w:color w:val="000000"/>
          <w:sz w:val="24"/>
          <w:szCs w:val="24"/>
        </w:rPr>
        <w:t>is the</w:t>
      </w:r>
      <w:r w:rsidR="001602B6">
        <w:rPr>
          <w:color w:val="000000"/>
          <w:sz w:val="24"/>
          <w:szCs w:val="24"/>
        </w:rPr>
        <w:t xml:space="preserve"> </w:t>
      </w:r>
      <w:r w:rsidR="001F3ABE" w:rsidRPr="001602B6">
        <w:rPr>
          <w:color w:val="000000"/>
          <w:position w:val="-4"/>
          <w:sz w:val="24"/>
          <w:szCs w:val="24"/>
        </w:rPr>
        <w:object w:dxaOrig="200" w:dyaOrig="260" w14:anchorId="6D877D0F">
          <v:shape id="_x0000_i1076" type="#_x0000_t75" style="width:9.75pt;height:13.5pt" o:ole="" o:preferrelative="f">
            <v:imagedata r:id="rId114" o:title=""/>
            <o:lock v:ext="edit" aspectratio="f"/>
          </v:shape>
          <o:OLEObject Type="Embed" ProgID="Equation.DSMT4" ShapeID="_x0000_i1076" DrawAspect="Content" ObjectID="_1851766649" r:id="rId115"/>
        </w:object>
      </w:r>
      <w:r w:rsidRPr="00F24E56">
        <w:rPr>
          <w:color w:val="000000"/>
          <w:sz w:val="24"/>
          <w:szCs w:val="24"/>
        </w:rPr>
        <w:t>-dimensional multivariate normal density with mean</w:t>
      </w:r>
      <w:r w:rsidR="001602B6">
        <w:rPr>
          <w:color w:val="000000"/>
          <w:sz w:val="24"/>
          <w:szCs w:val="24"/>
        </w:rPr>
        <w:t xml:space="preserve"> </w:t>
      </w:r>
      <w:r w:rsidR="001F3ABE" w:rsidRPr="001602B6">
        <w:rPr>
          <w:color w:val="000000"/>
          <w:position w:val="-10"/>
          <w:sz w:val="24"/>
          <w:szCs w:val="24"/>
        </w:rPr>
        <w:object w:dxaOrig="380" w:dyaOrig="320" w14:anchorId="58EDAFB5">
          <v:shape id="_x0000_i1077" type="#_x0000_t75" style="width:18.75pt;height:15.75pt" o:ole="" o:preferrelative="f">
            <v:imagedata r:id="rId116" o:title=""/>
            <o:lock v:ext="edit" aspectratio="f"/>
          </v:shape>
          <o:OLEObject Type="Embed" ProgID="Equation.DSMT4" ShapeID="_x0000_i1077" DrawAspect="Content" ObjectID="_1851766650" r:id="rId117"/>
        </w:object>
      </w:r>
      <w:r w:rsidR="001602B6">
        <w:rPr>
          <w:color w:val="000000"/>
          <w:sz w:val="24"/>
          <w:szCs w:val="24"/>
        </w:rPr>
        <w:t xml:space="preserve"> </w:t>
      </w:r>
      <w:r w:rsidRPr="00F24E56">
        <w:rPr>
          <w:color w:val="000000"/>
          <w:sz w:val="24"/>
          <w:szCs w:val="24"/>
        </w:rPr>
        <w:t>and correlation matrix</w:t>
      </w:r>
      <w:r w:rsidR="002A4389">
        <w:rPr>
          <w:color w:val="000000"/>
          <w:sz w:val="24"/>
          <w:szCs w:val="24"/>
        </w:rPr>
        <w:t xml:space="preserve"> </w:t>
      </w:r>
      <w:r w:rsidR="001F3ABE" w:rsidRPr="002A4389">
        <w:rPr>
          <w:color w:val="000000"/>
          <w:position w:val="-4"/>
          <w:sz w:val="24"/>
          <w:szCs w:val="24"/>
        </w:rPr>
        <w:object w:dxaOrig="240" w:dyaOrig="260" w14:anchorId="731B1FD0">
          <v:shape id="_x0000_i1078" type="#_x0000_t75" style="width:12pt;height:13.5pt" o:ole="" o:preferrelative="f">
            <v:imagedata r:id="rId118" o:title=""/>
            <o:lock v:ext="edit" aspectratio="f"/>
          </v:shape>
          <o:OLEObject Type="Embed" ProgID="Equation.DSMT4" ShapeID="_x0000_i1078" DrawAspect="Content" ObjectID="_1851766651" r:id="rId119"/>
        </w:object>
      </w:r>
      <w:r w:rsidRPr="00F24E56">
        <w:rPr>
          <w:color w:val="000000"/>
          <w:sz w:val="24"/>
          <w:szCs w:val="24"/>
        </w:rPr>
        <w:t xml:space="preserve">. The full-sample log-likelihood is obtained as the sum of the individual-level log-likelihoods, with the contribution of the 6,797 frequent </w:t>
      </w:r>
      <w:r w:rsidR="00A204E8" w:rsidRPr="00F24E56">
        <w:rPr>
          <w:color w:val="000000"/>
          <w:sz w:val="24"/>
          <w:szCs w:val="24"/>
        </w:rPr>
        <w:t>active mode</w:t>
      </w:r>
      <w:r w:rsidRPr="00F24E56">
        <w:rPr>
          <w:color w:val="000000"/>
          <w:sz w:val="24"/>
          <w:szCs w:val="24"/>
        </w:rPr>
        <w:t xml:space="preserve"> users reducing to that of a univariate binary probit model comprised solely of the </w:t>
      </w:r>
      <w:r w:rsidR="00BC1E40">
        <w:rPr>
          <w:color w:val="000000"/>
          <w:sz w:val="24"/>
          <w:szCs w:val="24"/>
        </w:rPr>
        <w:t>NRAT indicator</w:t>
      </w:r>
      <w:r w:rsidRPr="00F24E56">
        <w:rPr>
          <w:color w:val="000000"/>
          <w:sz w:val="24"/>
          <w:szCs w:val="24"/>
        </w:rPr>
        <w:t xml:space="preserve">. The integral in Equation </w:t>
      </w:r>
      <w:r w:rsidRPr="00F24E56">
        <w:rPr>
          <w:iCs/>
          <w:color w:val="000000"/>
          <w:sz w:val="24"/>
          <w:szCs w:val="24"/>
        </w:rPr>
        <w:fldChar w:fldCharType="begin"/>
      </w:r>
      <w:r w:rsidRPr="00F24E56">
        <w:rPr>
          <w:iCs/>
          <w:color w:val="000000"/>
          <w:sz w:val="24"/>
          <w:szCs w:val="24"/>
        </w:rPr>
        <w:instrText xml:space="preserve"> GOTOBUTTON ZEqnNum286901  \* MERGEFORMAT </w:instrText>
      </w:r>
      <w:r w:rsidRPr="00F24E56">
        <w:rPr>
          <w:iCs/>
          <w:color w:val="000000"/>
          <w:sz w:val="24"/>
          <w:szCs w:val="24"/>
        </w:rPr>
        <w:fldChar w:fldCharType="begin"/>
      </w:r>
      <w:r w:rsidRPr="00F24E56">
        <w:rPr>
          <w:iCs/>
          <w:color w:val="000000"/>
          <w:sz w:val="24"/>
          <w:szCs w:val="24"/>
        </w:rPr>
        <w:instrText xml:space="preserve"> REF ZEqnNum286901 \* Charformat \! \* MERGEFORMAT </w:instrText>
      </w:r>
      <w:r w:rsidRPr="00F24E56">
        <w:rPr>
          <w:iCs/>
          <w:color w:val="000000"/>
          <w:sz w:val="24"/>
          <w:szCs w:val="24"/>
        </w:rPr>
        <w:fldChar w:fldCharType="separate"/>
      </w:r>
      <w:r w:rsidR="0073207F" w:rsidRPr="00F24E56">
        <w:rPr>
          <w:iCs/>
          <w:color w:val="000000"/>
          <w:sz w:val="24"/>
          <w:szCs w:val="24"/>
        </w:rPr>
        <w:instrText>(4)</w:instrText>
      </w:r>
      <w:r w:rsidRPr="00F24E56">
        <w:rPr>
          <w:iCs/>
          <w:color w:val="000000"/>
          <w:sz w:val="24"/>
          <w:szCs w:val="24"/>
        </w:rPr>
        <w:fldChar w:fldCharType="end"/>
      </w:r>
      <w:r w:rsidRPr="00F24E56">
        <w:rPr>
          <w:iCs/>
          <w:color w:val="000000"/>
          <w:sz w:val="24"/>
          <w:szCs w:val="24"/>
        </w:rPr>
        <w:fldChar w:fldCharType="end"/>
      </w:r>
      <w:r w:rsidRPr="00F24E56">
        <w:rPr>
          <w:color w:val="000000"/>
          <w:sz w:val="24"/>
          <w:szCs w:val="24"/>
        </w:rPr>
        <w:t xml:space="preserve"> is up to eight-dimensional in our application and is evaluated using the matrix-based analyti</w:t>
      </w:r>
      <w:r w:rsidR="006858FB">
        <w:rPr>
          <w:color w:val="000000"/>
          <w:sz w:val="24"/>
          <w:szCs w:val="24"/>
        </w:rPr>
        <w:t xml:space="preserve">c </w:t>
      </w:r>
      <w:r w:rsidRPr="00F24E56">
        <w:rPr>
          <w:color w:val="000000"/>
          <w:sz w:val="24"/>
          <w:szCs w:val="24"/>
        </w:rPr>
        <w:t xml:space="preserve">methods of </w:t>
      </w:r>
      <w:sdt>
        <w:sdtPr>
          <w:rPr>
            <w:color w:val="000000"/>
            <w:sz w:val="24"/>
            <w:szCs w:val="24"/>
          </w:rPr>
          <w:tag w:val="MENDELEY_CITATION_v3_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"/>
          <w:id w:val="-773707689"/>
          <w:placeholder>
            <w:docPart w:val="82511B405D4B4E688E88B598C98ACDFB"/>
          </w:placeholder>
        </w:sdtPr>
        <w:sdtEndPr/>
        <w:sdtContent>
          <w:r w:rsidR="000C5DDA" w:rsidRPr="000C5DDA">
            <w:rPr>
              <w:color w:val="000000"/>
              <w:sz w:val="24"/>
              <w:szCs w:val="24"/>
            </w:rPr>
            <w:t>Bhat (2018)</w:t>
          </w:r>
        </w:sdtContent>
      </w:sdt>
      <w:r w:rsidRPr="00F24E56">
        <w:rPr>
          <w:color w:val="000000"/>
          <w:sz w:val="24"/>
          <w:szCs w:val="24"/>
        </w:rPr>
        <w:t>.</w:t>
      </w:r>
    </w:p>
    <w:p w14:paraId="3A62E5EE" w14:textId="77777777" w:rsidR="00B9201B" w:rsidRPr="00F24E56" w:rsidRDefault="00B9201B" w:rsidP="00B9201B">
      <w:pPr>
        <w:jc w:val="both"/>
        <w:rPr>
          <w:color w:val="000000"/>
          <w:sz w:val="24"/>
          <w:szCs w:val="24"/>
        </w:rPr>
      </w:pPr>
    </w:p>
    <w:p w14:paraId="05D3EA5F" w14:textId="2151B165" w:rsidR="00A87F12" w:rsidRPr="003A1F2B" w:rsidRDefault="00A87F12" w:rsidP="00B9201B">
      <w:pPr>
        <w:rPr>
          <w:sz w:val="20"/>
          <w:szCs w:val="20"/>
        </w:rPr>
      </w:pPr>
      <w:r w:rsidRPr="003A1F2B">
        <w:rPr>
          <w:b/>
          <w:bCs/>
          <w:sz w:val="24"/>
          <w:szCs w:val="24"/>
        </w:rPr>
        <w:t xml:space="preserve">4. </w:t>
      </w:r>
      <w:r w:rsidR="003A1F2B" w:rsidRPr="003A1F2B">
        <w:rPr>
          <w:b/>
          <w:bCs/>
          <w:sz w:val="24"/>
          <w:szCs w:val="24"/>
        </w:rPr>
        <w:t>MODEL RESULTS</w:t>
      </w:r>
    </w:p>
    <w:p w14:paraId="2DD2F570" w14:textId="77777777" w:rsidR="00A87F12" w:rsidRPr="003A1F2B" w:rsidRDefault="00A87F12" w:rsidP="00B9201B">
      <w:pPr>
        <w:rPr>
          <w:b/>
          <w:bCs/>
          <w:sz w:val="24"/>
          <w:szCs w:val="24"/>
        </w:rPr>
      </w:pPr>
      <w:r w:rsidRPr="003A1F2B">
        <w:rPr>
          <w:b/>
          <w:bCs/>
          <w:sz w:val="24"/>
          <w:szCs w:val="24"/>
        </w:rPr>
        <w:t>4.1 Model Specification</w:t>
      </w:r>
    </w:p>
    <w:p w14:paraId="5A865C7D" w14:textId="79776915" w:rsidR="00954A4D" w:rsidRPr="00F12121" w:rsidRDefault="00A87F12" w:rsidP="00B9201B">
      <w:pPr>
        <w:jc w:val="both"/>
        <w:rPr>
          <w:color w:val="000000"/>
          <w:sz w:val="24"/>
          <w:szCs w:val="24"/>
        </w:rPr>
        <w:sectPr w:rsidR="00954A4D" w:rsidRPr="00F12121" w:rsidSect="004247F3">
          <w:footerReference w:type="default" r:id="rId120"/>
          <w:pgSz w:w="12240" w:h="15840" w:code="1"/>
          <w:pgMar w:top="1440" w:right="1440" w:bottom="1440" w:left="1440" w:header="720" w:footer="720" w:gutter="0"/>
          <w:pgNumType w:start="1"/>
          <w:cols w:space="720"/>
          <w:docGrid w:linePitch="360"/>
        </w:sectPr>
      </w:pPr>
      <w:r w:rsidRPr="00E16D2C">
        <w:rPr>
          <w:color w:val="000000"/>
          <w:sz w:val="24"/>
          <w:szCs w:val="24"/>
        </w:rPr>
        <w:t xml:space="preserve">The selection of variables in the final model was based on </w:t>
      </w:r>
      <w:r>
        <w:rPr>
          <w:color w:val="000000"/>
          <w:sz w:val="24"/>
          <w:szCs w:val="24"/>
        </w:rPr>
        <w:t xml:space="preserve">a combination of insights drawn from </w:t>
      </w:r>
      <w:r w:rsidRPr="00E16D2C">
        <w:rPr>
          <w:color w:val="000000"/>
          <w:sz w:val="24"/>
          <w:szCs w:val="24"/>
        </w:rPr>
        <w:t>prior literature</w:t>
      </w:r>
      <w:r>
        <w:rPr>
          <w:color w:val="000000"/>
          <w:sz w:val="24"/>
          <w:szCs w:val="24"/>
        </w:rPr>
        <w:t xml:space="preserve"> and theory as well as </w:t>
      </w:r>
      <w:r w:rsidRPr="00E16D2C">
        <w:rPr>
          <w:color w:val="000000"/>
          <w:sz w:val="24"/>
          <w:szCs w:val="24"/>
        </w:rPr>
        <w:t>statistical test</w:t>
      </w:r>
      <w:r>
        <w:rPr>
          <w:color w:val="000000"/>
          <w:sz w:val="24"/>
          <w:szCs w:val="24"/>
        </w:rPr>
        <w:t>s for model fit</w:t>
      </w:r>
      <w:r w:rsidRPr="00E16D2C">
        <w:rPr>
          <w:color w:val="000000"/>
          <w:sz w:val="24"/>
          <w:szCs w:val="24"/>
        </w:rPr>
        <w:t>. For naturally discrete and bracketed individual and household socio</w:t>
      </w:r>
      <w:r w:rsidR="00A415C7">
        <w:rPr>
          <w:color w:val="000000"/>
          <w:sz w:val="24"/>
          <w:szCs w:val="24"/>
        </w:rPr>
        <w:t>-</w:t>
      </w:r>
      <w:r w:rsidRPr="00E16D2C">
        <w:rPr>
          <w:color w:val="000000"/>
          <w:sz w:val="24"/>
          <w:szCs w:val="24"/>
        </w:rPr>
        <w:t xml:space="preserve">demographic variables, dummy variables </w:t>
      </w:r>
      <w:r>
        <w:rPr>
          <w:color w:val="000000"/>
          <w:sz w:val="24"/>
          <w:szCs w:val="24"/>
        </w:rPr>
        <w:t xml:space="preserve">were created and tested </w:t>
      </w:r>
      <w:r w:rsidRPr="00E16D2C">
        <w:rPr>
          <w:color w:val="000000"/>
          <w:sz w:val="24"/>
          <w:szCs w:val="24"/>
        </w:rPr>
        <w:t>in their most disaggregate form</w:t>
      </w:r>
      <w:r>
        <w:rPr>
          <w:color w:val="000000"/>
          <w:sz w:val="24"/>
          <w:szCs w:val="24"/>
        </w:rPr>
        <w:t>,</w:t>
      </w:r>
      <w:r w:rsidRPr="00E16D2C">
        <w:rPr>
          <w:color w:val="000000"/>
          <w:sz w:val="24"/>
          <w:szCs w:val="24"/>
        </w:rPr>
        <w:t xml:space="preserve"> and progressively combined based on statistical tests.</w:t>
      </w:r>
      <w:r>
        <w:rPr>
          <w:color w:val="000000"/>
          <w:sz w:val="24"/>
          <w:szCs w:val="24"/>
        </w:rPr>
        <w:t xml:space="preserve"> </w:t>
      </w:r>
      <w:r w:rsidRPr="009C4EC2">
        <w:rPr>
          <w:color w:val="000000"/>
          <w:sz w:val="24"/>
          <w:szCs w:val="24"/>
        </w:rPr>
        <w:t xml:space="preserve">For the continuous </w:t>
      </w:r>
      <w:r w:rsidR="009014C7">
        <w:rPr>
          <w:color w:val="000000"/>
          <w:sz w:val="24"/>
          <w:szCs w:val="24"/>
        </w:rPr>
        <w:t>BE</w:t>
      </w:r>
      <w:r w:rsidRPr="009C4EC2">
        <w:rPr>
          <w:color w:val="000000"/>
          <w:sz w:val="24"/>
          <w:szCs w:val="24"/>
        </w:rPr>
        <w:t xml:space="preserve"> attributes drawn from the EPA </w:t>
      </w:r>
      <w:r>
        <w:rPr>
          <w:color w:val="000000"/>
          <w:sz w:val="24"/>
          <w:szCs w:val="24"/>
        </w:rPr>
        <w:t>d</w:t>
      </w:r>
      <w:r w:rsidRPr="009C4EC2">
        <w:rPr>
          <w:color w:val="000000"/>
          <w:sz w:val="24"/>
          <w:szCs w:val="24"/>
        </w:rPr>
        <w:t xml:space="preserve">atabase, each variable was first tested in its original linear form. Two measures performed well in continuous form and were retained accordingly: the share of </w:t>
      </w:r>
      <w:r w:rsidR="00677860">
        <w:rPr>
          <w:color w:val="000000"/>
          <w:sz w:val="24"/>
          <w:szCs w:val="24"/>
        </w:rPr>
        <w:t>no</w:t>
      </w:r>
      <w:r w:rsidRPr="009C4EC2">
        <w:rPr>
          <w:color w:val="000000"/>
          <w:sz w:val="24"/>
          <w:szCs w:val="24"/>
        </w:rPr>
        <w:t>-vehicle households and the share of medium-wage workers in the respondent</w:t>
      </w:r>
      <w:r w:rsidR="000D7001">
        <w:rPr>
          <w:color w:val="000000"/>
          <w:sz w:val="24"/>
          <w:szCs w:val="24"/>
        </w:rPr>
        <w:t>’</w:t>
      </w:r>
      <w:r w:rsidRPr="009C4EC2">
        <w:rPr>
          <w:color w:val="000000"/>
          <w:sz w:val="24"/>
          <w:szCs w:val="24"/>
        </w:rPr>
        <w:t xml:space="preserve">s </w:t>
      </w:r>
      <w:r>
        <w:rPr>
          <w:color w:val="000000"/>
          <w:sz w:val="24"/>
          <w:szCs w:val="24"/>
        </w:rPr>
        <w:t>zip</w:t>
      </w:r>
      <w:r w:rsidRPr="009C4EC2">
        <w:rPr>
          <w:color w:val="000000"/>
          <w:sz w:val="24"/>
          <w:szCs w:val="24"/>
        </w:rPr>
        <w:t xml:space="preserve"> code </w:t>
      </w:r>
      <w:r>
        <w:rPr>
          <w:color w:val="000000"/>
          <w:sz w:val="24"/>
          <w:szCs w:val="24"/>
        </w:rPr>
        <w:t>area</w:t>
      </w:r>
      <w:r w:rsidRPr="009C4EC2">
        <w:rPr>
          <w:color w:val="000000"/>
          <w:sz w:val="24"/>
          <w:szCs w:val="24"/>
        </w:rPr>
        <w:t xml:space="preserve">. For the remaining </w:t>
      </w:r>
      <w:r w:rsidR="00A01866">
        <w:rPr>
          <w:color w:val="000000"/>
          <w:sz w:val="24"/>
          <w:szCs w:val="24"/>
        </w:rPr>
        <w:t>BE</w:t>
      </w:r>
      <w:r>
        <w:rPr>
          <w:color w:val="000000"/>
          <w:sz w:val="24"/>
          <w:szCs w:val="24"/>
        </w:rPr>
        <w:t xml:space="preserve"> variables</w:t>
      </w:r>
      <w:r w:rsidRPr="009C4EC2">
        <w:rPr>
          <w:color w:val="000000"/>
          <w:sz w:val="24"/>
          <w:szCs w:val="24"/>
        </w:rPr>
        <w:t xml:space="preserve">, </w:t>
      </w:r>
      <w:r>
        <w:rPr>
          <w:color w:val="000000"/>
          <w:sz w:val="24"/>
          <w:szCs w:val="24"/>
        </w:rPr>
        <w:t>the variables were tested in several additional forms and the best in each case was found to be in the form of dummy variables based on bracketed bins. Finally, the t-statistic threshold for inclusion was set at 1.</w:t>
      </w:r>
      <w:r w:rsidR="00FB5ADE">
        <w:rPr>
          <w:color w:val="000000"/>
          <w:sz w:val="24"/>
          <w:szCs w:val="24"/>
        </w:rPr>
        <w:t>00</w:t>
      </w:r>
      <w:r>
        <w:rPr>
          <w:color w:val="000000"/>
          <w:sz w:val="24"/>
          <w:szCs w:val="24"/>
        </w:rPr>
        <w:t>, corresponding to a 0.</w:t>
      </w:r>
      <w:r w:rsidR="00FB5ADE">
        <w:rPr>
          <w:color w:val="000000"/>
          <w:sz w:val="24"/>
          <w:szCs w:val="24"/>
        </w:rPr>
        <w:t>3</w:t>
      </w:r>
      <w:r>
        <w:rPr>
          <w:color w:val="000000"/>
          <w:sz w:val="24"/>
          <w:szCs w:val="24"/>
        </w:rPr>
        <w:t xml:space="preserve">2 level of significance or </w:t>
      </w:r>
      <w:r w:rsidR="00FB5ADE">
        <w:rPr>
          <w:color w:val="000000"/>
          <w:sz w:val="24"/>
          <w:szCs w:val="24"/>
        </w:rPr>
        <w:t>68</w:t>
      </w:r>
      <w:r>
        <w:rPr>
          <w:color w:val="000000"/>
          <w:sz w:val="24"/>
          <w:szCs w:val="24"/>
        </w:rPr>
        <w:t xml:space="preserve">% confidence level. This level of significance was selected because the seven </w:t>
      </w:r>
      <w:r w:rsidR="009D2B0E">
        <w:rPr>
          <w:color w:val="000000"/>
          <w:sz w:val="24"/>
          <w:szCs w:val="24"/>
        </w:rPr>
        <w:t>barrier</w:t>
      </w:r>
      <w:r>
        <w:rPr>
          <w:color w:val="000000"/>
          <w:sz w:val="24"/>
          <w:szCs w:val="24"/>
        </w:rPr>
        <w:t xml:space="preserve">s were available for only a small portion of the overall sample and (even among the retained seven </w:t>
      </w:r>
      <w:r w:rsidR="009D2B0E">
        <w:rPr>
          <w:color w:val="000000"/>
          <w:sz w:val="24"/>
          <w:szCs w:val="24"/>
        </w:rPr>
        <w:t>barrier</w:t>
      </w:r>
      <w:r>
        <w:rPr>
          <w:color w:val="000000"/>
          <w:sz w:val="24"/>
          <w:szCs w:val="24"/>
        </w:rPr>
        <w:t xml:space="preserve">s) some had very unequal shares of selection and non-selection, leading to a relatively inefficient model. Thus, we prefer to be slightly more inclusive in our retention of marginally significant variables </w:t>
      </w:r>
      <w:r w:rsidR="00A177B9">
        <w:rPr>
          <w:color w:val="000000"/>
          <w:sz w:val="24"/>
          <w:szCs w:val="24"/>
        </w:rPr>
        <w:t>to</w:t>
      </w:r>
      <w:r>
        <w:rPr>
          <w:color w:val="000000"/>
          <w:sz w:val="24"/>
          <w:szCs w:val="24"/>
        </w:rPr>
        <w:t xml:space="preserve"> help inform future efforts.</w:t>
      </w:r>
      <w:r w:rsidR="007269A7" w:rsidRPr="00EE626A">
        <w:rPr>
          <w:vertAlign w:val="superscript"/>
        </w:rPr>
        <w:footnoteReference w:id="5"/>
      </w:r>
      <w:r w:rsidRPr="00EE626A">
        <w:rPr>
          <w:color w:val="000000"/>
          <w:sz w:val="24"/>
          <w:szCs w:val="24"/>
          <w:vertAlign w:val="superscript"/>
        </w:rPr>
        <w:t xml:space="preserve"> </w:t>
      </w:r>
      <w:r w:rsidR="006961AC">
        <w:rPr>
          <w:color w:val="000000"/>
          <w:sz w:val="24"/>
          <w:szCs w:val="24"/>
        </w:rPr>
        <w:t>The final estimation results are shown in Table 3.</w:t>
      </w:r>
    </w:p>
    <w:p w14:paraId="22DD77A2" w14:textId="6BF69F6B" w:rsidR="00954A4D" w:rsidRPr="008E3C9E" w:rsidRDefault="005D53A5" w:rsidP="007A713B">
      <w:pPr>
        <w:pStyle w:val="FootnoteText"/>
        <w:jc w:val="both"/>
        <w:rPr>
          <w:b/>
          <w:bCs/>
          <w:sz w:val="24"/>
          <w:szCs w:val="24"/>
        </w:rPr>
      </w:pPr>
      <w:r w:rsidRPr="00F670FB">
        <w:rPr>
          <w:b/>
          <w:bCs/>
          <w:sz w:val="24"/>
          <w:szCs w:val="24"/>
        </w:rPr>
        <w:lastRenderedPageBreak/>
        <w:t>Table 3. M</w:t>
      </w:r>
      <w:r w:rsidR="00BC7F89">
        <w:rPr>
          <w:b/>
          <w:bCs/>
          <w:sz w:val="24"/>
          <w:szCs w:val="24"/>
        </w:rPr>
        <w:t>odel</w:t>
      </w:r>
      <w:r w:rsidRPr="00F670FB">
        <w:rPr>
          <w:b/>
          <w:bCs/>
          <w:sz w:val="24"/>
          <w:szCs w:val="24"/>
        </w:rPr>
        <w:t xml:space="preserve"> Estimation Result</w:t>
      </w:r>
      <w:r w:rsidR="008E3C9E">
        <w:rPr>
          <w:b/>
          <w:bCs/>
          <w:sz w:val="24"/>
          <w:szCs w:val="24"/>
        </w:rPr>
        <w:t>s</w:t>
      </w:r>
    </w:p>
    <w:tbl>
      <w:tblPr>
        <w:tblW w:w="5000" w:type="pct"/>
        <w:tblBorders>
          <w:top w:val="single" w:sz="18" w:space="0" w:color="auto"/>
          <w:left w:val="single" w:sz="18" w:space="0" w:color="auto"/>
          <w:bottom w:val="single" w:sz="18" w:space="0" w:color="auto"/>
          <w:right w:val="single" w:sz="18" w:space="0" w:color="auto"/>
          <w:insideH w:val="dotted" w:sz="4" w:space="0" w:color="auto"/>
          <w:insideV w:val="dotted" w:sz="4" w:space="0" w:color="auto"/>
        </w:tblBorders>
        <w:tblLayout w:type="fixed"/>
        <w:tblCellMar>
          <w:left w:w="0" w:type="dxa"/>
          <w:right w:w="0" w:type="dxa"/>
        </w:tblCellMar>
        <w:tblLook w:val="04A0" w:firstRow="1" w:lastRow="0" w:firstColumn="1" w:lastColumn="0" w:noHBand="0" w:noVBand="1"/>
      </w:tblPr>
      <w:tblGrid>
        <w:gridCol w:w="2226"/>
        <w:gridCol w:w="1904"/>
        <w:gridCol w:w="540"/>
        <w:gridCol w:w="10"/>
        <w:gridCol w:w="529"/>
        <w:gridCol w:w="527"/>
        <w:gridCol w:w="540"/>
        <w:gridCol w:w="540"/>
        <w:gridCol w:w="537"/>
        <w:gridCol w:w="15"/>
        <w:gridCol w:w="527"/>
        <w:gridCol w:w="540"/>
        <w:gridCol w:w="540"/>
        <w:gridCol w:w="633"/>
        <w:gridCol w:w="540"/>
        <w:gridCol w:w="635"/>
        <w:gridCol w:w="540"/>
        <w:gridCol w:w="540"/>
        <w:gridCol w:w="519"/>
        <w:gridCol w:w="15"/>
        <w:gridCol w:w="517"/>
      </w:tblGrid>
      <w:tr w:rsidR="00A50CF7" w:rsidRPr="00F5353D" w14:paraId="17FDC981" w14:textId="77777777" w:rsidTr="00582E1F">
        <w:trPr>
          <w:trHeight w:val="187"/>
          <w:tblHeader/>
        </w:trPr>
        <w:tc>
          <w:tcPr>
            <w:tcW w:w="1599" w:type="pct"/>
            <w:gridSpan w:val="2"/>
            <w:vMerge w:val="restart"/>
            <w:tcBorders>
              <w:right w:val="single" w:sz="18" w:space="0" w:color="auto"/>
            </w:tcBorders>
            <w:tcMar>
              <w:top w:w="8" w:type="dxa"/>
              <w:left w:w="28" w:type="dxa"/>
              <w:bottom w:w="8" w:type="dxa"/>
              <w:right w:w="28" w:type="dxa"/>
            </w:tcMar>
            <w:vAlign w:val="center"/>
          </w:tcPr>
          <w:p w14:paraId="0379A366" w14:textId="77777777" w:rsidR="00A50CF7" w:rsidRPr="00F5353D" w:rsidRDefault="00A50CF7" w:rsidP="00D63D95">
            <w:pPr>
              <w:spacing w:line="200" w:lineRule="auto"/>
              <w:jc w:val="center"/>
              <w:rPr>
                <w:sz w:val="20"/>
                <w:szCs w:val="20"/>
              </w:rPr>
            </w:pPr>
            <w:r w:rsidRPr="00F5353D">
              <w:rPr>
                <w:b/>
                <w:bCs/>
                <w:sz w:val="20"/>
                <w:szCs w:val="20"/>
              </w:rPr>
              <w:t>Explanatory Variables</w:t>
            </w:r>
            <w:r w:rsidRPr="00F5353D">
              <w:rPr>
                <w:sz w:val="20"/>
                <w:szCs w:val="20"/>
              </w:rPr>
              <w:br/>
            </w:r>
            <w:r w:rsidRPr="00F5353D">
              <w:rPr>
                <w:b/>
                <w:bCs/>
                <w:sz w:val="20"/>
                <w:szCs w:val="20"/>
              </w:rPr>
              <w:t>(base category)</w:t>
            </w:r>
          </w:p>
        </w:tc>
        <w:tc>
          <w:tcPr>
            <w:tcW w:w="418" w:type="pct"/>
            <w:gridSpan w:val="3"/>
            <w:vMerge w:val="restart"/>
            <w:tcBorders>
              <w:left w:val="single" w:sz="18" w:space="0" w:color="auto"/>
              <w:right w:val="single" w:sz="18" w:space="0" w:color="auto"/>
            </w:tcBorders>
            <w:tcMar>
              <w:top w:w="8" w:type="dxa"/>
              <w:left w:w="28" w:type="dxa"/>
              <w:bottom w:w="8" w:type="dxa"/>
              <w:right w:w="28" w:type="dxa"/>
            </w:tcMar>
            <w:vAlign w:val="center"/>
          </w:tcPr>
          <w:p w14:paraId="6C7E3F11" w14:textId="5B759C31" w:rsidR="00A50CF7" w:rsidRPr="00F5353D" w:rsidRDefault="00A50CF7" w:rsidP="00D63D95">
            <w:pPr>
              <w:spacing w:line="200" w:lineRule="auto"/>
              <w:jc w:val="center"/>
              <w:rPr>
                <w:sz w:val="20"/>
                <w:szCs w:val="20"/>
              </w:rPr>
            </w:pPr>
            <w:r w:rsidRPr="00F5353D">
              <w:rPr>
                <w:b/>
                <w:bCs/>
                <w:sz w:val="20"/>
                <w:szCs w:val="20"/>
              </w:rPr>
              <w:t>NRAT</w:t>
            </w:r>
          </w:p>
        </w:tc>
        <w:tc>
          <w:tcPr>
            <w:tcW w:w="836" w:type="pct"/>
            <w:gridSpan w:val="5"/>
            <w:tcBorders>
              <w:left w:val="single" w:sz="18" w:space="0" w:color="auto"/>
              <w:bottom w:val="single" w:sz="8" w:space="0" w:color="auto"/>
              <w:right w:val="single" w:sz="18" w:space="0" w:color="auto"/>
            </w:tcBorders>
            <w:tcMar>
              <w:top w:w="8" w:type="dxa"/>
              <w:left w:w="28" w:type="dxa"/>
              <w:bottom w:w="8" w:type="dxa"/>
              <w:right w:w="28" w:type="dxa"/>
            </w:tcMar>
            <w:vAlign w:val="center"/>
          </w:tcPr>
          <w:p w14:paraId="42466629" w14:textId="1DCEBC36" w:rsidR="00A50CF7" w:rsidRPr="00F5353D" w:rsidRDefault="00A50CF7" w:rsidP="00D63D95">
            <w:pPr>
              <w:spacing w:line="200" w:lineRule="auto"/>
              <w:jc w:val="center"/>
              <w:rPr>
                <w:sz w:val="20"/>
                <w:szCs w:val="20"/>
              </w:rPr>
            </w:pPr>
            <w:r w:rsidRPr="00F5353D">
              <w:rPr>
                <w:b/>
                <w:bCs/>
                <w:sz w:val="20"/>
                <w:szCs w:val="20"/>
              </w:rPr>
              <w:t>Infrastructural deficiencies in active travel networks</w:t>
            </w:r>
          </w:p>
        </w:tc>
        <w:tc>
          <w:tcPr>
            <w:tcW w:w="867" w:type="pct"/>
            <w:gridSpan w:val="4"/>
            <w:tcBorders>
              <w:left w:val="single" w:sz="18" w:space="0" w:color="auto"/>
              <w:bottom w:val="single" w:sz="8" w:space="0" w:color="auto"/>
              <w:right w:val="single" w:sz="18" w:space="0" w:color="auto"/>
            </w:tcBorders>
            <w:tcMar>
              <w:top w:w="8" w:type="dxa"/>
              <w:left w:w="28" w:type="dxa"/>
              <w:bottom w:w="8" w:type="dxa"/>
              <w:right w:w="28" w:type="dxa"/>
            </w:tcMar>
            <w:vAlign w:val="center"/>
          </w:tcPr>
          <w:p w14:paraId="21CA1DD2" w14:textId="77777777" w:rsidR="00A50CF7" w:rsidRPr="00F5353D" w:rsidRDefault="00A50CF7" w:rsidP="00D63D95">
            <w:pPr>
              <w:spacing w:line="200" w:lineRule="auto"/>
              <w:jc w:val="center"/>
              <w:rPr>
                <w:sz w:val="20"/>
                <w:szCs w:val="20"/>
              </w:rPr>
            </w:pPr>
            <w:r w:rsidRPr="00F5353D">
              <w:rPr>
                <w:b/>
                <w:bCs/>
                <w:sz w:val="20"/>
                <w:szCs w:val="20"/>
              </w:rPr>
              <w:t>Traffic-safety concerns</w:t>
            </w:r>
          </w:p>
        </w:tc>
        <w:tc>
          <w:tcPr>
            <w:tcW w:w="455" w:type="pct"/>
            <w:gridSpan w:val="2"/>
            <w:tcBorders>
              <w:left w:val="single" w:sz="18" w:space="0" w:color="auto"/>
              <w:bottom w:val="single" w:sz="8" w:space="0" w:color="auto"/>
              <w:right w:val="single" w:sz="18" w:space="0" w:color="auto"/>
            </w:tcBorders>
            <w:tcMar>
              <w:top w:w="8" w:type="dxa"/>
              <w:left w:w="28" w:type="dxa"/>
              <w:bottom w:w="8" w:type="dxa"/>
              <w:right w:w="28" w:type="dxa"/>
            </w:tcMar>
            <w:vAlign w:val="center"/>
          </w:tcPr>
          <w:p w14:paraId="61E6BC7B" w14:textId="77777777" w:rsidR="00A50CF7" w:rsidRPr="00F5353D" w:rsidRDefault="00A50CF7" w:rsidP="00D63D95">
            <w:pPr>
              <w:spacing w:line="200" w:lineRule="auto"/>
              <w:jc w:val="center"/>
              <w:rPr>
                <w:sz w:val="20"/>
                <w:szCs w:val="20"/>
              </w:rPr>
            </w:pPr>
            <w:r w:rsidRPr="00F5353D">
              <w:rPr>
                <w:b/>
                <w:bCs/>
                <w:sz w:val="20"/>
                <w:szCs w:val="20"/>
              </w:rPr>
              <w:t>Personal-security concerns</w:t>
            </w:r>
          </w:p>
        </w:tc>
        <w:tc>
          <w:tcPr>
            <w:tcW w:w="825" w:type="pct"/>
            <w:gridSpan w:val="5"/>
            <w:tcBorders>
              <w:left w:val="single" w:sz="18" w:space="0" w:color="auto"/>
              <w:bottom w:val="single" w:sz="8" w:space="0" w:color="auto"/>
            </w:tcBorders>
            <w:tcMar>
              <w:top w:w="8" w:type="dxa"/>
              <w:left w:w="28" w:type="dxa"/>
              <w:bottom w:w="8" w:type="dxa"/>
              <w:right w:w="28" w:type="dxa"/>
            </w:tcMar>
            <w:vAlign w:val="center"/>
          </w:tcPr>
          <w:p w14:paraId="6BD9A78D" w14:textId="77777777" w:rsidR="00A50CF7" w:rsidRPr="00F5353D" w:rsidRDefault="00A50CF7" w:rsidP="00D63D95">
            <w:pPr>
              <w:spacing w:line="200" w:lineRule="auto"/>
              <w:jc w:val="center"/>
              <w:rPr>
                <w:sz w:val="20"/>
                <w:szCs w:val="20"/>
              </w:rPr>
            </w:pPr>
            <w:r w:rsidRPr="00F5353D">
              <w:rPr>
                <w:b/>
                <w:bCs/>
                <w:sz w:val="20"/>
                <w:szCs w:val="20"/>
              </w:rPr>
              <w:t>Practical and situational constraints</w:t>
            </w:r>
          </w:p>
        </w:tc>
      </w:tr>
      <w:tr w:rsidR="00A50CF7" w:rsidRPr="00F5353D" w14:paraId="05D224E5" w14:textId="77777777" w:rsidTr="00582E1F">
        <w:trPr>
          <w:trHeight w:val="187"/>
          <w:tblHeader/>
        </w:trPr>
        <w:tc>
          <w:tcPr>
            <w:tcW w:w="1599" w:type="pct"/>
            <w:gridSpan w:val="2"/>
            <w:vMerge/>
            <w:tcBorders>
              <w:right w:val="single" w:sz="18" w:space="0" w:color="auto"/>
            </w:tcBorders>
            <w:tcMar>
              <w:top w:w="8" w:type="dxa"/>
              <w:left w:w="28" w:type="dxa"/>
              <w:bottom w:w="8" w:type="dxa"/>
              <w:right w:w="28" w:type="dxa"/>
            </w:tcMar>
            <w:vAlign w:val="center"/>
          </w:tcPr>
          <w:p w14:paraId="7E28284F" w14:textId="77777777" w:rsidR="00A50CF7" w:rsidRPr="00F5353D" w:rsidRDefault="00A50CF7" w:rsidP="00D63D95">
            <w:pPr>
              <w:spacing w:line="200" w:lineRule="auto"/>
              <w:jc w:val="center"/>
              <w:rPr>
                <w:sz w:val="20"/>
                <w:szCs w:val="20"/>
              </w:rPr>
            </w:pPr>
          </w:p>
        </w:tc>
        <w:tc>
          <w:tcPr>
            <w:tcW w:w="418" w:type="pct"/>
            <w:gridSpan w:val="3"/>
            <w:vMerge/>
            <w:tcBorders>
              <w:left w:val="single" w:sz="18" w:space="0" w:color="auto"/>
              <w:bottom w:val="single" w:sz="18" w:space="0" w:color="auto"/>
              <w:right w:val="single" w:sz="18" w:space="0" w:color="auto"/>
            </w:tcBorders>
            <w:tcMar>
              <w:top w:w="8" w:type="dxa"/>
              <w:left w:w="28" w:type="dxa"/>
              <w:bottom w:w="8" w:type="dxa"/>
              <w:right w:w="28" w:type="dxa"/>
            </w:tcMar>
            <w:vAlign w:val="center"/>
          </w:tcPr>
          <w:p w14:paraId="659F65B8" w14:textId="77777777" w:rsidR="00A50CF7" w:rsidRPr="00F5353D" w:rsidRDefault="00A50CF7" w:rsidP="00D63D95">
            <w:pPr>
              <w:spacing w:line="200" w:lineRule="auto"/>
              <w:jc w:val="center"/>
              <w:rPr>
                <w:sz w:val="20"/>
                <w:szCs w:val="20"/>
              </w:rPr>
            </w:pPr>
          </w:p>
        </w:tc>
        <w:tc>
          <w:tcPr>
            <w:tcW w:w="413" w:type="pct"/>
            <w:gridSpan w:val="2"/>
            <w:tcBorders>
              <w:top w:val="single" w:sz="8" w:space="0" w:color="auto"/>
              <w:left w:val="single" w:sz="18" w:space="0" w:color="auto"/>
              <w:bottom w:val="single" w:sz="18" w:space="0" w:color="auto"/>
              <w:right w:val="single" w:sz="8" w:space="0" w:color="auto"/>
            </w:tcBorders>
            <w:tcMar>
              <w:top w:w="8" w:type="dxa"/>
              <w:left w:w="28" w:type="dxa"/>
              <w:bottom w:w="8" w:type="dxa"/>
              <w:right w:w="28" w:type="dxa"/>
            </w:tcMar>
            <w:vAlign w:val="center"/>
          </w:tcPr>
          <w:p w14:paraId="2F0E29F9" w14:textId="446AFA88" w:rsidR="00A50CF7" w:rsidRPr="00F5353D" w:rsidRDefault="00A50CF7" w:rsidP="00D63D95">
            <w:pPr>
              <w:spacing w:line="200" w:lineRule="auto"/>
              <w:jc w:val="center"/>
              <w:rPr>
                <w:sz w:val="20"/>
                <w:szCs w:val="20"/>
              </w:rPr>
            </w:pPr>
            <w:r w:rsidRPr="00F5353D">
              <w:rPr>
                <w:b/>
                <w:bCs/>
                <w:sz w:val="20"/>
                <w:szCs w:val="20"/>
              </w:rPr>
              <w:t>Lack of sidewalks / bicycle lanes</w:t>
            </w:r>
          </w:p>
        </w:tc>
        <w:tc>
          <w:tcPr>
            <w:tcW w:w="423" w:type="pct"/>
            <w:gridSpan w:val="3"/>
            <w:tcBorders>
              <w:top w:val="single" w:sz="8" w:space="0" w:color="auto"/>
              <w:left w:val="single" w:sz="8" w:space="0" w:color="auto"/>
              <w:bottom w:val="single" w:sz="18" w:space="0" w:color="auto"/>
              <w:right w:val="single" w:sz="18" w:space="0" w:color="auto"/>
            </w:tcBorders>
            <w:tcMar>
              <w:top w:w="8" w:type="dxa"/>
              <w:left w:w="28" w:type="dxa"/>
              <w:bottom w:w="8" w:type="dxa"/>
              <w:right w:w="28" w:type="dxa"/>
            </w:tcMar>
            <w:vAlign w:val="center"/>
          </w:tcPr>
          <w:p w14:paraId="4D6CFF09" w14:textId="77777777" w:rsidR="00A50CF7" w:rsidRPr="00F5353D" w:rsidRDefault="00A50CF7" w:rsidP="00D63D95">
            <w:pPr>
              <w:spacing w:line="200" w:lineRule="auto"/>
              <w:jc w:val="center"/>
              <w:rPr>
                <w:sz w:val="20"/>
                <w:szCs w:val="20"/>
              </w:rPr>
            </w:pPr>
            <w:r w:rsidRPr="00F5353D">
              <w:rPr>
                <w:b/>
                <w:bCs/>
                <w:sz w:val="20"/>
                <w:szCs w:val="20"/>
              </w:rPr>
              <w:t>Insufficient lighting</w:t>
            </w:r>
          </w:p>
        </w:tc>
        <w:tc>
          <w:tcPr>
            <w:tcW w:w="413" w:type="pct"/>
            <w:gridSpan w:val="2"/>
            <w:tcBorders>
              <w:top w:val="single" w:sz="8" w:space="0" w:color="auto"/>
              <w:left w:val="single" w:sz="18" w:space="0" w:color="auto"/>
              <w:bottom w:val="single" w:sz="18" w:space="0" w:color="auto"/>
              <w:right w:val="single" w:sz="8" w:space="0" w:color="auto"/>
            </w:tcBorders>
            <w:tcMar>
              <w:top w:w="8" w:type="dxa"/>
              <w:left w:w="28" w:type="dxa"/>
              <w:bottom w:w="8" w:type="dxa"/>
              <w:right w:w="28" w:type="dxa"/>
            </w:tcMar>
            <w:vAlign w:val="center"/>
          </w:tcPr>
          <w:p w14:paraId="6980E458" w14:textId="77777777" w:rsidR="00A50CF7" w:rsidRPr="00F5353D" w:rsidRDefault="00A50CF7" w:rsidP="00D63D95">
            <w:pPr>
              <w:spacing w:line="200" w:lineRule="auto"/>
              <w:jc w:val="center"/>
              <w:rPr>
                <w:sz w:val="20"/>
                <w:szCs w:val="20"/>
              </w:rPr>
            </w:pPr>
            <w:r w:rsidRPr="00F5353D">
              <w:rPr>
                <w:b/>
                <w:bCs/>
                <w:sz w:val="20"/>
                <w:szCs w:val="20"/>
              </w:rPr>
              <w:t>Aggressive drivers</w:t>
            </w:r>
          </w:p>
        </w:tc>
        <w:tc>
          <w:tcPr>
            <w:tcW w:w="454" w:type="pct"/>
            <w:gridSpan w:val="2"/>
            <w:tcBorders>
              <w:top w:val="single" w:sz="8" w:space="0" w:color="auto"/>
              <w:left w:val="single" w:sz="8" w:space="0" w:color="auto"/>
              <w:bottom w:val="single" w:sz="18" w:space="0" w:color="auto"/>
              <w:right w:val="single" w:sz="18" w:space="0" w:color="auto"/>
            </w:tcBorders>
            <w:tcMar>
              <w:top w:w="8" w:type="dxa"/>
              <w:left w:w="28" w:type="dxa"/>
              <w:bottom w:w="8" w:type="dxa"/>
              <w:right w:w="28" w:type="dxa"/>
            </w:tcMar>
            <w:vAlign w:val="center"/>
          </w:tcPr>
          <w:p w14:paraId="10C4E946" w14:textId="77777777" w:rsidR="00A50CF7" w:rsidRPr="00F5353D" w:rsidRDefault="00A50CF7" w:rsidP="00D63D95">
            <w:pPr>
              <w:spacing w:line="200" w:lineRule="auto"/>
              <w:jc w:val="center"/>
              <w:rPr>
                <w:sz w:val="20"/>
                <w:szCs w:val="20"/>
              </w:rPr>
            </w:pPr>
            <w:r w:rsidRPr="00F5353D">
              <w:rPr>
                <w:b/>
                <w:bCs/>
                <w:sz w:val="20"/>
                <w:szCs w:val="20"/>
              </w:rPr>
              <w:t>Distracted drivers</w:t>
            </w:r>
          </w:p>
        </w:tc>
        <w:tc>
          <w:tcPr>
            <w:tcW w:w="455" w:type="pct"/>
            <w:gridSpan w:val="2"/>
            <w:tcBorders>
              <w:top w:val="single" w:sz="8" w:space="0" w:color="auto"/>
              <w:left w:val="single" w:sz="18" w:space="0" w:color="auto"/>
              <w:bottom w:val="single" w:sz="18" w:space="0" w:color="auto"/>
              <w:right w:val="single" w:sz="18" w:space="0" w:color="auto"/>
            </w:tcBorders>
            <w:tcMar>
              <w:top w:w="8" w:type="dxa"/>
              <w:left w:w="28" w:type="dxa"/>
              <w:bottom w:w="8" w:type="dxa"/>
              <w:right w:w="28" w:type="dxa"/>
            </w:tcMar>
            <w:vAlign w:val="center"/>
          </w:tcPr>
          <w:p w14:paraId="6D35EC15" w14:textId="77777777" w:rsidR="00A50CF7" w:rsidRPr="00F5353D" w:rsidRDefault="00A50CF7" w:rsidP="00D63D95">
            <w:pPr>
              <w:spacing w:line="200" w:lineRule="auto"/>
              <w:jc w:val="center"/>
              <w:rPr>
                <w:sz w:val="20"/>
                <w:szCs w:val="20"/>
              </w:rPr>
            </w:pPr>
            <w:r w:rsidRPr="00F5353D">
              <w:rPr>
                <w:b/>
                <w:bCs/>
                <w:sz w:val="20"/>
                <w:szCs w:val="20"/>
              </w:rPr>
              <w:t>Loitering / threatening</w:t>
            </w:r>
          </w:p>
        </w:tc>
        <w:tc>
          <w:tcPr>
            <w:tcW w:w="418" w:type="pct"/>
            <w:gridSpan w:val="2"/>
            <w:tcBorders>
              <w:top w:val="single" w:sz="8" w:space="0" w:color="auto"/>
              <w:left w:val="single" w:sz="18" w:space="0" w:color="auto"/>
              <w:bottom w:val="single" w:sz="18" w:space="0" w:color="auto"/>
              <w:right w:val="single" w:sz="8" w:space="0" w:color="auto"/>
            </w:tcBorders>
            <w:tcMar>
              <w:top w:w="8" w:type="dxa"/>
              <w:left w:w="28" w:type="dxa"/>
              <w:bottom w:w="8" w:type="dxa"/>
              <w:right w:w="28" w:type="dxa"/>
            </w:tcMar>
            <w:vAlign w:val="center"/>
          </w:tcPr>
          <w:p w14:paraId="48AED0AC" w14:textId="77777777" w:rsidR="00A50CF7" w:rsidRPr="00F5353D" w:rsidRDefault="00A50CF7" w:rsidP="00D63D95">
            <w:pPr>
              <w:spacing w:line="200" w:lineRule="auto"/>
              <w:jc w:val="center"/>
              <w:rPr>
                <w:sz w:val="20"/>
                <w:szCs w:val="20"/>
              </w:rPr>
            </w:pPr>
            <w:r w:rsidRPr="00F5353D">
              <w:rPr>
                <w:b/>
                <w:bCs/>
                <w:sz w:val="20"/>
                <w:szCs w:val="20"/>
              </w:rPr>
              <w:t>Adverse weather</w:t>
            </w:r>
          </w:p>
        </w:tc>
        <w:tc>
          <w:tcPr>
            <w:tcW w:w="407" w:type="pct"/>
            <w:gridSpan w:val="3"/>
            <w:tcBorders>
              <w:top w:val="single" w:sz="8" w:space="0" w:color="auto"/>
              <w:left w:val="single" w:sz="8" w:space="0" w:color="auto"/>
              <w:bottom w:val="single" w:sz="18" w:space="0" w:color="auto"/>
            </w:tcBorders>
            <w:tcMar>
              <w:top w:w="8" w:type="dxa"/>
              <w:left w:w="28" w:type="dxa"/>
              <w:bottom w:w="8" w:type="dxa"/>
              <w:right w:w="28" w:type="dxa"/>
            </w:tcMar>
            <w:vAlign w:val="center"/>
          </w:tcPr>
          <w:p w14:paraId="758837D0" w14:textId="77777777" w:rsidR="00A50CF7" w:rsidRPr="00F5353D" w:rsidRDefault="00A50CF7" w:rsidP="00D63D95">
            <w:pPr>
              <w:spacing w:line="200" w:lineRule="auto"/>
              <w:jc w:val="center"/>
              <w:rPr>
                <w:sz w:val="20"/>
                <w:szCs w:val="20"/>
              </w:rPr>
            </w:pPr>
            <w:r w:rsidRPr="00F5353D">
              <w:rPr>
                <w:b/>
                <w:bCs/>
                <w:sz w:val="20"/>
                <w:szCs w:val="20"/>
              </w:rPr>
              <w:t>Trip-length mismatch</w:t>
            </w:r>
          </w:p>
        </w:tc>
      </w:tr>
      <w:tr w:rsidR="00A50CF7" w:rsidRPr="00F5353D" w14:paraId="71EC8DD1" w14:textId="77777777" w:rsidTr="005D6432">
        <w:trPr>
          <w:trHeight w:val="187"/>
          <w:tblHeader/>
        </w:trPr>
        <w:tc>
          <w:tcPr>
            <w:tcW w:w="1599" w:type="pct"/>
            <w:gridSpan w:val="2"/>
            <w:vMerge/>
            <w:tcBorders>
              <w:bottom w:val="single" w:sz="18" w:space="0" w:color="auto"/>
              <w:right w:val="single" w:sz="18" w:space="0" w:color="auto"/>
            </w:tcBorders>
            <w:tcMar>
              <w:top w:w="8" w:type="dxa"/>
              <w:left w:w="28" w:type="dxa"/>
              <w:bottom w:w="8" w:type="dxa"/>
              <w:right w:w="28" w:type="dxa"/>
            </w:tcMar>
            <w:vAlign w:val="center"/>
          </w:tcPr>
          <w:p w14:paraId="69DE2241" w14:textId="77777777" w:rsidR="00A50CF7" w:rsidRPr="00F5353D" w:rsidRDefault="00A50CF7" w:rsidP="00D63D95">
            <w:pPr>
              <w:spacing w:line="200" w:lineRule="auto"/>
              <w:jc w:val="center"/>
              <w:rPr>
                <w:sz w:val="20"/>
                <w:szCs w:val="20"/>
              </w:rPr>
            </w:pPr>
          </w:p>
        </w:tc>
        <w:tc>
          <w:tcPr>
            <w:tcW w:w="213" w:type="pct"/>
            <w:gridSpan w:val="2"/>
            <w:tcBorders>
              <w:top w:val="single" w:sz="18" w:space="0" w:color="auto"/>
              <w:left w:val="single" w:sz="18" w:space="0" w:color="auto"/>
              <w:bottom w:val="single" w:sz="18" w:space="0" w:color="auto"/>
            </w:tcBorders>
            <w:tcMar>
              <w:top w:w="8" w:type="dxa"/>
              <w:left w:w="28" w:type="dxa"/>
              <w:bottom w:w="8" w:type="dxa"/>
              <w:right w:w="28" w:type="dxa"/>
            </w:tcMar>
            <w:vAlign w:val="center"/>
          </w:tcPr>
          <w:p w14:paraId="09D5193E" w14:textId="77777777" w:rsidR="00A50CF7" w:rsidRPr="00F5353D" w:rsidRDefault="00A50CF7" w:rsidP="00D63D95">
            <w:pPr>
              <w:spacing w:line="200" w:lineRule="auto"/>
              <w:jc w:val="center"/>
              <w:rPr>
                <w:sz w:val="20"/>
                <w:szCs w:val="20"/>
              </w:rPr>
            </w:pPr>
            <w:r w:rsidRPr="00F5353D">
              <w:rPr>
                <w:sz w:val="20"/>
                <w:szCs w:val="20"/>
              </w:rPr>
              <w:t>Coef.</w:t>
            </w:r>
          </w:p>
        </w:tc>
        <w:tc>
          <w:tcPr>
            <w:tcW w:w="205" w:type="pct"/>
            <w:tcBorders>
              <w:top w:val="single" w:sz="18" w:space="0" w:color="auto"/>
              <w:bottom w:val="single" w:sz="18" w:space="0" w:color="auto"/>
              <w:right w:val="single" w:sz="18" w:space="0" w:color="auto"/>
            </w:tcBorders>
            <w:tcMar>
              <w:top w:w="8" w:type="dxa"/>
              <w:left w:w="28" w:type="dxa"/>
              <w:bottom w:w="8" w:type="dxa"/>
              <w:right w:w="28" w:type="dxa"/>
            </w:tcMar>
            <w:vAlign w:val="center"/>
          </w:tcPr>
          <w:p w14:paraId="4F361C24" w14:textId="77777777" w:rsidR="00A50CF7" w:rsidRPr="00F5353D" w:rsidRDefault="00A50CF7" w:rsidP="00D63D95">
            <w:pPr>
              <w:spacing w:line="200" w:lineRule="auto"/>
              <w:jc w:val="center"/>
              <w:rPr>
                <w:sz w:val="20"/>
                <w:szCs w:val="20"/>
              </w:rPr>
            </w:pPr>
            <w:r w:rsidRPr="00F5353D">
              <w:rPr>
                <w:sz w:val="20"/>
                <w:szCs w:val="20"/>
              </w:rPr>
              <w:t>t-stat</w:t>
            </w:r>
          </w:p>
        </w:tc>
        <w:tc>
          <w:tcPr>
            <w:tcW w:w="204" w:type="pct"/>
            <w:tcBorders>
              <w:top w:val="single" w:sz="18" w:space="0" w:color="auto"/>
              <w:left w:val="single" w:sz="18" w:space="0" w:color="auto"/>
              <w:bottom w:val="single" w:sz="18" w:space="0" w:color="auto"/>
            </w:tcBorders>
            <w:tcMar>
              <w:top w:w="8" w:type="dxa"/>
              <w:left w:w="28" w:type="dxa"/>
              <w:bottom w:w="8" w:type="dxa"/>
              <w:right w:w="28" w:type="dxa"/>
            </w:tcMar>
            <w:vAlign w:val="center"/>
          </w:tcPr>
          <w:p w14:paraId="69E268E4" w14:textId="77777777" w:rsidR="00A50CF7" w:rsidRPr="00F5353D" w:rsidRDefault="00A50CF7" w:rsidP="00D63D95">
            <w:pPr>
              <w:spacing w:line="200" w:lineRule="auto"/>
              <w:jc w:val="center"/>
              <w:rPr>
                <w:sz w:val="20"/>
                <w:szCs w:val="20"/>
              </w:rPr>
            </w:pPr>
            <w:r w:rsidRPr="00F5353D">
              <w:rPr>
                <w:sz w:val="20"/>
                <w:szCs w:val="20"/>
              </w:rPr>
              <w:t>Coef.</w:t>
            </w:r>
          </w:p>
        </w:tc>
        <w:tc>
          <w:tcPr>
            <w:tcW w:w="209" w:type="pct"/>
            <w:tcBorders>
              <w:top w:val="single" w:sz="18" w:space="0" w:color="auto"/>
              <w:bottom w:val="single" w:sz="18" w:space="0" w:color="auto"/>
              <w:right w:val="single" w:sz="8" w:space="0" w:color="auto"/>
            </w:tcBorders>
            <w:tcMar>
              <w:top w:w="8" w:type="dxa"/>
              <w:left w:w="28" w:type="dxa"/>
              <w:bottom w:w="8" w:type="dxa"/>
              <w:right w:w="28" w:type="dxa"/>
            </w:tcMar>
            <w:vAlign w:val="center"/>
          </w:tcPr>
          <w:p w14:paraId="2DDEEE89" w14:textId="77777777" w:rsidR="00A50CF7" w:rsidRPr="00F5353D" w:rsidRDefault="00A50CF7" w:rsidP="00D63D95">
            <w:pPr>
              <w:spacing w:line="200" w:lineRule="auto"/>
              <w:jc w:val="center"/>
              <w:rPr>
                <w:sz w:val="20"/>
                <w:szCs w:val="20"/>
              </w:rPr>
            </w:pPr>
            <w:r w:rsidRPr="00F5353D">
              <w:rPr>
                <w:sz w:val="20"/>
                <w:szCs w:val="20"/>
              </w:rPr>
              <w:t>t-stat</w:t>
            </w:r>
          </w:p>
        </w:tc>
        <w:tc>
          <w:tcPr>
            <w:tcW w:w="209" w:type="pct"/>
            <w:tcBorders>
              <w:top w:val="single" w:sz="18" w:space="0" w:color="auto"/>
              <w:left w:val="single" w:sz="8" w:space="0" w:color="auto"/>
              <w:bottom w:val="single" w:sz="18" w:space="0" w:color="auto"/>
            </w:tcBorders>
            <w:tcMar>
              <w:top w:w="8" w:type="dxa"/>
              <w:left w:w="28" w:type="dxa"/>
              <w:bottom w:w="8" w:type="dxa"/>
              <w:right w:w="28" w:type="dxa"/>
            </w:tcMar>
            <w:vAlign w:val="center"/>
          </w:tcPr>
          <w:p w14:paraId="5C71D356" w14:textId="77777777" w:rsidR="00A50CF7" w:rsidRPr="00F5353D" w:rsidRDefault="00A50CF7" w:rsidP="00D63D95">
            <w:pPr>
              <w:spacing w:line="200" w:lineRule="auto"/>
              <w:jc w:val="center"/>
              <w:rPr>
                <w:sz w:val="20"/>
                <w:szCs w:val="20"/>
              </w:rPr>
            </w:pPr>
            <w:r w:rsidRPr="00F5353D">
              <w:rPr>
                <w:sz w:val="20"/>
                <w:szCs w:val="20"/>
              </w:rPr>
              <w:t>Coef.</w:t>
            </w:r>
          </w:p>
        </w:tc>
        <w:tc>
          <w:tcPr>
            <w:tcW w:w="208" w:type="pct"/>
            <w:tcBorders>
              <w:top w:val="single" w:sz="18" w:space="0" w:color="auto"/>
              <w:bottom w:val="single" w:sz="18" w:space="0" w:color="auto"/>
              <w:right w:val="single" w:sz="18" w:space="0" w:color="auto"/>
            </w:tcBorders>
            <w:tcMar>
              <w:top w:w="8" w:type="dxa"/>
              <w:left w:w="28" w:type="dxa"/>
              <w:bottom w:w="8" w:type="dxa"/>
              <w:right w:w="28" w:type="dxa"/>
            </w:tcMar>
            <w:vAlign w:val="center"/>
          </w:tcPr>
          <w:p w14:paraId="15C574B8" w14:textId="77777777" w:rsidR="00A50CF7" w:rsidRPr="00F5353D" w:rsidRDefault="00A50CF7" w:rsidP="00D63D95">
            <w:pPr>
              <w:spacing w:line="200" w:lineRule="auto"/>
              <w:jc w:val="center"/>
              <w:rPr>
                <w:sz w:val="20"/>
                <w:szCs w:val="20"/>
              </w:rPr>
            </w:pPr>
            <w:r w:rsidRPr="00F5353D">
              <w:rPr>
                <w:sz w:val="20"/>
                <w:szCs w:val="20"/>
              </w:rPr>
              <w:t>t-stat</w:t>
            </w:r>
          </w:p>
        </w:tc>
        <w:tc>
          <w:tcPr>
            <w:tcW w:w="210" w:type="pct"/>
            <w:gridSpan w:val="2"/>
            <w:tcBorders>
              <w:top w:val="single" w:sz="18" w:space="0" w:color="auto"/>
              <w:left w:val="single" w:sz="18" w:space="0" w:color="auto"/>
              <w:bottom w:val="single" w:sz="18" w:space="0" w:color="auto"/>
            </w:tcBorders>
            <w:tcMar>
              <w:top w:w="8" w:type="dxa"/>
              <w:left w:w="28" w:type="dxa"/>
              <w:bottom w:w="8" w:type="dxa"/>
              <w:right w:w="28" w:type="dxa"/>
            </w:tcMar>
            <w:vAlign w:val="center"/>
          </w:tcPr>
          <w:p w14:paraId="531B6E97" w14:textId="77777777" w:rsidR="00A50CF7" w:rsidRPr="00F5353D" w:rsidRDefault="00A50CF7" w:rsidP="00D63D95">
            <w:pPr>
              <w:spacing w:line="200" w:lineRule="auto"/>
              <w:jc w:val="center"/>
              <w:rPr>
                <w:sz w:val="20"/>
                <w:szCs w:val="20"/>
              </w:rPr>
            </w:pPr>
            <w:r w:rsidRPr="00F5353D">
              <w:rPr>
                <w:sz w:val="20"/>
                <w:szCs w:val="20"/>
              </w:rPr>
              <w:t>Coef.</w:t>
            </w:r>
          </w:p>
        </w:tc>
        <w:tc>
          <w:tcPr>
            <w:tcW w:w="209" w:type="pct"/>
            <w:tcBorders>
              <w:top w:val="single" w:sz="18" w:space="0" w:color="auto"/>
              <w:bottom w:val="single" w:sz="18" w:space="0" w:color="auto"/>
              <w:right w:val="single" w:sz="8" w:space="0" w:color="auto"/>
            </w:tcBorders>
            <w:tcMar>
              <w:top w:w="8" w:type="dxa"/>
              <w:left w:w="28" w:type="dxa"/>
              <w:bottom w:w="8" w:type="dxa"/>
              <w:right w:w="28" w:type="dxa"/>
            </w:tcMar>
            <w:vAlign w:val="center"/>
          </w:tcPr>
          <w:p w14:paraId="5E6E7616" w14:textId="77777777" w:rsidR="00A50CF7" w:rsidRPr="00F5353D" w:rsidRDefault="00A50CF7" w:rsidP="00D63D95">
            <w:pPr>
              <w:spacing w:line="200" w:lineRule="auto"/>
              <w:jc w:val="center"/>
              <w:rPr>
                <w:sz w:val="20"/>
                <w:szCs w:val="20"/>
              </w:rPr>
            </w:pPr>
            <w:r w:rsidRPr="00F5353D">
              <w:rPr>
                <w:sz w:val="20"/>
                <w:szCs w:val="20"/>
              </w:rPr>
              <w:t>t-stat</w:t>
            </w:r>
          </w:p>
        </w:tc>
        <w:tc>
          <w:tcPr>
            <w:tcW w:w="209" w:type="pct"/>
            <w:tcBorders>
              <w:top w:val="single" w:sz="18" w:space="0" w:color="auto"/>
              <w:left w:val="single" w:sz="8" w:space="0" w:color="auto"/>
              <w:bottom w:val="single" w:sz="18" w:space="0" w:color="auto"/>
            </w:tcBorders>
            <w:tcMar>
              <w:top w:w="8" w:type="dxa"/>
              <w:left w:w="28" w:type="dxa"/>
              <w:bottom w:w="8" w:type="dxa"/>
              <w:right w:w="28" w:type="dxa"/>
            </w:tcMar>
            <w:vAlign w:val="center"/>
          </w:tcPr>
          <w:p w14:paraId="4EB52506" w14:textId="77777777" w:rsidR="00A50CF7" w:rsidRPr="00F5353D" w:rsidRDefault="00A50CF7" w:rsidP="00D63D95">
            <w:pPr>
              <w:spacing w:line="200" w:lineRule="auto"/>
              <w:jc w:val="center"/>
              <w:rPr>
                <w:sz w:val="20"/>
                <w:szCs w:val="20"/>
              </w:rPr>
            </w:pPr>
            <w:r w:rsidRPr="00F5353D">
              <w:rPr>
                <w:sz w:val="20"/>
                <w:szCs w:val="20"/>
              </w:rPr>
              <w:t>Coef.</w:t>
            </w:r>
          </w:p>
        </w:tc>
        <w:tc>
          <w:tcPr>
            <w:tcW w:w="245" w:type="pct"/>
            <w:tcBorders>
              <w:top w:val="single" w:sz="18" w:space="0" w:color="auto"/>
              <w:bottom w:val="single" w:sz="18" w:space="0" w:color="auto"/>
              <w:right w:val="single" w:sz="18" w:space="0" w:color="auto"/>
            </w:tcBorders>
            <w:tcMar>
              <w:top w:w="8" w:type="dxa"/>
              <w:left w:w="28" w:type="dxa"/>
              <w:bottom w:w="8" w:type="dxa"/>
              <w:right w:w="28" w:type="dxa"/>
            </w:tcMar>
            <w:vAlign w:val="center"/>
          </w:tcPr>
          <w:p w14:paraId="165A3AC3" w14:textId="77777777" w:rsidR="00A50CF7" w:rsidRPr="00F5353D" w:rsidRDefault="00A50CF7" w:rsidP="00D63D95">
            <w:pPr>
              <w:spacing w:line="200" w:lineRule="auto"/>
              <w:jc w:val="center"/>
              <w:rPr>
                <w:sz w:val="20"/>
                <w:szCs w:val="20"/>
              </w:rPr>
            </w:pPr>
            <w:r w:rsidRPr="00F5353D">
              <w:rPr>
                <w:sz w:val="20"/>
                <w:szCs w:val="20"/>
              </w:rPr>
              <w:t>t-stat</w:t>
            </w:r>
          </w:p>
        </w:tc>
        <w:tc>
          <w:tcPr>
            <w:tcW w:w="209" w:type="pct"/>
            <w:tcBorders>
              <w:top w:val="single" w:sz="18" w:space="0" w:color="auto"/>
              <w:left w:val="single" w:sz="18" w:space="0" w:color="auto"/>
              <w:bottom w:val="single" w:sz="18" w:space="0" w:color="auto"/>
              <w:right w:val="dotted" w:sz="4" w:space="0" w:color="auto"/>
            </w:tcBorders>
            <w:tcMar>
              <w:top w:w="8" w:type="dxa"/>
              <w:left w:w="28" w:type="dxa"/>
              <w:bottom w:w="8" w:type="dxa"/>
              <w:right w:w="28" w:type="dxa"/>
            </w:tcMar>
            <w:vAlign w:val="center"/>
          </w:tcPr>
          <w:p w14:paraId="1E8D0DAE" w14:textId="77777777" w:rsidR="00A50CF7" w:rsidRPr="00F5353D" w:rsidRDefault="00A50CF7" w:rsidP="00D63D95">
            <w:pPr>
              <w:spacing w:line="200" w:lineRule="auto"/>
              <w:jc w:val="center"/>
              <w:rPr>
                <w:sz w:val="20"/>
                <w:szCs w:val="20"/>
              </w:rPr>
            </w:pPr>
            <w:r w:rsidRPr="00F5353D">
              <w:rPr>
                <w:sz w:val="20"/>
                <w:szCs w:val="20"/>
              </w:rPr>
              <w:t>Coef.</w:t>
            </w:r>
          </w:p>
        </w:tc>
        <w:tc>
          <w:tcPr>
            <w:tcW w:w="246" w:type="pct"/>
            <w:tcBorders>
              <w:top w:val="single" w:sz="18" w:space="0" w:color="auto"/>
              <w:left w:val="dotted" w:sz="4" w:space="0" w:color="auto"/>
              <w:bottom w:val="single" w:sz="18" w:space="0" w:color="auto"/>
              <w:right w:val="single" w:sz="18" w:space="0" w:color="auto"/>
            </w:tcBorders>
            <w:tcMar>
              <w:top w:w="8" w:type="dxa"/>
              <w:left w:w="28" w:type="dxa"/>
              <w:bottom w:w="8" w:type="dxa"/>
              <w:right w:w="28" w:type="dxa"/>
            </w:tcMar>
            <w:vAlign w:val="center"/>
          </w:tcPr>
          <w:p w14:paraId="24528096" w14:textId="77777777" w:rsidR="00A50CF7" w:rsidRPr="00F5353D" w:rsidRDefault="00A50CF7" w:rsidP="00D63D95">
            <w:pPr>
              <w:spacing w:line="200" w:lineRule="auto"/>
              <w:jc w:val="center"/>
              <w:rPr>
                <w:sz w:val="20"/>
                <w:szCs w:val="20"/>
              </w:rPr>
            </w:pPr>
            <w:r w:rsidRPr="00F5353D">
              <w:rPr>
                <w:sz w:val="20"/>
                <w:szCs w:val="20"/>
              </w:rPr>
              <w:t>t-stat</w:t>
            </w:r>
          </w:p>
        </w:tc>
        <w:tc>
          <w:tcPr>
            <w:tcW w:w="209" w:type="pct"/>
            <w:tcBorders>
              <w:top w:val="single" w:sz="18" w:space="0" w:color="auto"/>
              <w:left w:val="single" w:sz="18" w:space="0" w:color="auto"/>
              <w:bottom w:val="single" w:sz="18" w:space="0" w:color="auto"/>
            </w:tcBorders>
            <w:tcMar>
              <w:top w:w="8" w:type="dxa"/>
              <w:left w:w="28" w:type="dxa"/>
              <w:bottom w:w="8" w:type="dxa"/>
              <w:right w:w="28" w:type="dxa"/>
            </w:tcMar>
            <w:vAlign w:val="center"/>
          </w:tcPr>
          <w:p w14:paraId="0C1BD310" w14:textId="77777777" w:rsidR="00A50CF7" w:rsidRPr="00F5353D" w:rsidRDefault="00A50CF7" w:rsidP="00D63D95">
            <w:pPr>
              <w:spacing w:line="200" w:lineRule="auto"/>
              <w:jc w:val="center"/>
              <w:rPr>
                <w:sz w:val="20"/>
                <w:szCs w:val="20"/>
              </w:rPr>
            </w:pPr>
            <w:r w:rsidRPr="00F5353D">
              <w:rPr>
                <w:sz w:val="20"/>
                <w:szCs w:val="20"/>
              </w:rPr>
              <w:t>Coef.</w:t>
            </w:r>
          </w:p>
        </w:tc>
        <w:tc>
          <w:tcPr>
            <w:tcW w:w="209" w:type="pct"/>
            <w:tcBorders>
              <w:top w:val="single" w:sz="18" w:space="0" w:color="auto"/>
              <w:bottom w:val="single" w:sz="18" w:space="0" w:color="auto"/>
              <w:right w:val="single" w:sz="8" w:space="0" w:color="auto"/>
            </w:tcBorders>
            <w:tcMar>
              <w:top w:w="8" w:type="dxa"/>
              <w:left w:w="28" w:type="dxa"/>
              <w:bottom w:w="8" w:type="dxa"/>
              <w:right w:w="28" w:type="dxa"/>
            </w:tcMar>
            <w:vAlign w:val="center"/>
          </w:tcPr>
          <w:p w14:paraId="227CB4C0" w14:textId="77777777" w:rsidR="00A50CF7" w:rsidRPr="00F5353D" w:rsidRDefault="00A50CF7" w:rsidP="00D63D95">
            <w:pPr>
              <w:spacing w:line="200" w:lineRule="auto"/>
              <w:jc w:val="center"/>
              <w:rPr>
                <w:sz w:val="20"/>
                <w:szCs w:val="20"/>
              </w:rPr>
            </w:pPr>
            <w:r w:rsidRPr="00F5353D">
              <w:rPr>
                <w:sz w:val="20"/>
                <w:szCs w:val="20"/>
              </w:rPr>
              <w:t>t-stat</w:t>
            </w:r>
          </w:p>
        </w:tc>
        <w:tc>
          <w:tcPr>
            <w:tcW w:w="201" w:type="pct"/>
            <w:tcBorders>
              <w:top w:val="single" w:sz="18" w:space="0" w:color="auto"/>
              <w:left w:val="single" w:sz="8" w:space="0" w:color="auto"/>
              <w:bottom w:val="single" w:sz="18" w:space="0" w:color="auto"/>
            </w:tcBorders>
            <w:tcMar>
              <w:top w:w="8" w:type="dxa"/>
              <w:left w:w="28" w:type="dxa"/>
              <w:bottom w:w="8" w:type="dxa"/>
              <w:right w:w="28" w:type="dxa"/>
            </w:tcMar>
            <w:vAlign w:val="center"/>
          </w:tcPr>
          <w:p w14:paraId="252EFC79" w14:textId="77777777" w:rsidR="00A50CF7" w:rsidRPr="00F5353D" w:rsidRDefault="00A50CF7" w:rsidP="00D63D95">
            <w:pPr>
              <w:spacing w:line="200" w:lineRule="auto"/>
              <w:jc w:val="center"/>
              <w:rPr>
                <w:sz w:val="20"/>
                <w:szCs w:val="20"/>
              </w:rPr>
            </w:pPr>
            <w:r w:rsidRPr="00F5353D">
              <w:rPr>
                <w:sz w:val="20"/>
                <w:szCs w:val="20"/>
              </w:rPr>
              <w:t>Coef.</w:t>
            </w:r>
          </w:p>
        </w:tc>
        <w:tc>
          <w:tcPr>
            <w:tcW w:w="206" w:type="pct"/>
            <w:gridSpan w:val="2"/>
            <w:tcBorders>
              <w:top w:val="single" w:sz="18" w:space="0" w:color="auto"/>
              <w:bottom w:val="single" w:sz="18" w:space="0" w:color="auto"/>
            </w:tcBorders>
            <w:tcMar>
              <w:top w:w="8" w:type="dxa"/>
              <w:left w:w="28" w:type="dxa"/>
              <w:bottom w:w="8" w:type="dxa"/>
              <w:right w:w="28" w:type="dxa"/>
            </w:tcMar>
            <w:vAlign w:val="center"/>
          </w:tcPr>
          <w:p w14:paraId="169875D1" w14:textId="77777777" w:rsidR="00A50CF7" w:rsidRPr="00F5353D" w:rsidRDefault="00A50CF7" w:rsidP="00D63D95">
            <w:pPr>
              <w:spacing w:line="200" w:lineRule="auto"/>
              <w:jc w:val="center"/>
              <w:rPr>
                <w:sz w:val="20"/>
                <w:szCs w:val="20"/>
              </w:rPr>
            </w:pPr>
            <w:r w:rsidRPr="00F5353D">
              <w:rPr>
                <w:sz w:val="20"/>
                <w:szCs w:val="20"/>
              </w:rPr>
              <w:t>t-stat</w:t>
            </w:r>
          </w:p>
        </w:tc>
      </w:tr>
      <w:tr w:rsidR="00D91EF2" w:rsidRPr="00F5353D" w14:paraId="7729E9B8" w14:textId="77777777" w:rsidTr="005D6432">
        <w:trPr>
          <w:cantSplit/>
          <w:trHeight w:val="187"/>
        </w:trPr>
        <w:tc>
          <w:tcPr>
            <w:tcW w:w="1599" w:type="pct"/>
            <w:gridSpan w:val="2"/>
            <w:tcBorders>
              <w:top w:val="single" w:sz="18" w:space="0" w:color="auto"/>
              <w:bottom w:val="single" w:sz="18" w:space="0" w:color="auto"/>
              <w:right w:val="single" w:sz="18" w:space="0" w:color="auto"/>
            </w:tcBorders>
            <w:tcMar>
              <w:top w:w="8" w:type="dxa"/>
              <w:left w:w="28" w:type="dxa"/>
              <w:bottom w:w="8" w:type="dxa"/>
              <w:right w:w="28" w:type="dxa"/>
            </w:tcMar>
            <w:vAlign w:val="center"/>
          </w:tcPr>
          <w:p w14:paraId="1B09824A" w14:textId="77777777" w:rsidR="00D91EF2" w:rsidRPr="00F5353D" w:rsidRDefault="00D91EF2" w:rsidP="00D91EF2">
            <w:pPr>
              <w:spacing w:line="200" w:lineRule="auto"/>
              <w:rPr>
                <w:sz w:val="20"/>
                <w:szCs w:val="20"/>
              </w:rPr>
            </w:pPr>
            <w:r w:rsidRPr="00F5353D">
              <w:rPr>
                <w:b/>
                <w:bCs/>
                <w:sz w:val="20"/>
                <w:szCs w:val="20"/>
              </w:rPr>
              <w:t>Constants</w:t>
            </w:r>
          </w:p>
        </w:tc>
        <w:tc>
          <w:tcPr>
            <w:tcW w:w="213" w:type="pct"/>
            <w:gridSpan w:val="2"/>
            <w:tcBorders>
              <w:top w:val="single" w:sz="18" w:space="0" w:color="auto"/>
              <w:left w:val="single" w:sz="18" w:space="0" w:color="auto"/>
              <w:bottom w:val="single" w:sz="18" w:space="0" w:color="auto"/>
            </w:tcBorders>
            <w:tcMar>
              <w:top w:w="8" w:type="dxa"/>
              <w:left w:w="28" w:type="dxa"/>
              <w:bottom w:w="8" w:type="dxa"/>
              <w:right w:w="28" w:type="dxa"/>
            </w:tcMar>
            <w:vAlign w:val="bottom"/>
          </w:tcPr>
          <w:p w14:paraId="56D811FF" w14:textId="3641A3C6" w:rsidR="00D91EF2" w:rsidRPr="00F5353D" w:rsidRDefault="00D91EF2" w:rsidP="00D91EF2">
            <w:pPr>
              <w:tabs>
                <w:tab w:val="decimal" w:pos="288"/>
              </w:tabs>
              <w:spacing w:line="199" w:lineRule="auto"/>
              <w:jc w:val="right"/>
              <w:rPr>
                <w:sz w:val="20"/>
                <w:szCs w:val="20"/>
              </w:rPr>
            </w:pPr>
            <w:r w:rsidRPr="00F5353D">
              <w:rPr>
                <w:color w:val="000000"/>
                <w:sz w:val="20"/>
                <w:szCs w:val="20"/>
              </w:rPr>
              <w:t>-1.08</w:t>
            </w:r>
          </w:p>
        </w:tc>
        <w:tc>
          <w:tcPr>
            <w:tcW w:w="205" w:type="pct"/>
            <w:tcBorders>
              <w:top w:val="single" w:sz="18" w:space="0" w:color="auto"/>
              <w:bottom w:val="single" w:sz="18" w:space="0" w:color="auto"/>
              <w:right w:val="single" w:sz="18" w:space="0" w:color="auto"/>
            </w:tcBorders>
            <w:tcMar>
              <w:top w:w="8" w:type="dxa"/>
              <w:left w:w="28" w:type="dxa"/>
              <w:bottom w:w="8" w:type="dxa"/>
              <w:right w:w="28" w:type="dxa"/>
            </w:tcMar>
            <w:vAlign w:val="bottom"/>
          </w:tcPr>
          <w:p w14:paraId="3A37378F" w14:textId="0F34BF05" w:rsidR="00D91EF2" w:rsidRPr="00F5353D" w:rsidRDefault="00D91EF2" w:rsidP="00D91EF2">
            <w:pPr>
              <w:tabs>
                <w:tab w:val="decimal" w:pos="288"/>
              </w:tabs>
              <w:spacing w:line="199" w:lineRule="auto"/>
              <w:jc w:val="right"/>
              <w:rPr>
                <w:sz w:val="20"/>
                <w:szCs w:val="20"/>
              </w:rPr>
            </w:pPr>
            <w:r w:rsidRPr="00F5353D">
              <w:rPr>
                <w:color w:val="000000"/>
                <w:sz w:val="20"/>
                <w:szCs w:val="20"/>
              </w:rPr>
              <w:t>-7.58</w:t>
            </w:r>
          </w:p>
        </w:tc>
        <w:tc>
          <w:tcPr>
            <w:tcW w:w="204" w:type="pct"/>
            <w:tcBorders>
              <w:top w:val="single" w:sz="18" w:space="0" w:color="auto"/>
              <w:left w:val="single" w:sz="18" w:space="0" w:color="auto"/>
              <w:bottom w:val="single" w:sz="18" w:space="0" w:color="auto"/>
            </w:tcBorders>
            <w:tcMar>
              <w:top w:w="8" w:type="dxa"/>
              <w:left w:w="28" w:type="dxa"/>
              <w:bottom w:w="8" w:type="dxa"/>
              <w:right w:w="28" w:type="dxa"/>
            </w:tcMar>
            <w:vAlign w:val="bottom"/>
          </w:tcPr>
          <w:p w14:paraId="735B2D35" w14:textId="6970EF33" w:rsidR="00D91EF2" w:rsidRPr="00F5353D" w:rsidRDefault="00D91EF2" w:rsidP="00D91EF2">
            <w:pPr>
              <w:tabs>
                <w:tab w:val="decimal" w:pos="288"/>
              </w:tabs>
              <w:spacing w:line="199" w:lineRule="auto"/>
              <w:jc w:val="right"/>
              <w:rPr>
                <w:sz w:val="20"/>
                <w:szCs w:val="20"/>
              </w:rPr>
            </w:pPr>
            <w:r w:rsidRPr="00F5353D">
              <w:rPr>
                <w:color w:val="000000"/>
                <w:sz w:val="20"/>
                <w:szCs w:val="20"/>
              </w:rPr>
              <w:t>-1.34</w:t>
            </w:r>
          </w:p>
        </w:tc>
        <w:tc>
          <w:tcPr>
            <w:tcW w:w="209" w:type="pct"/>
            <w:tcBorders>
              <w:top w:val="single" w:sz="18" w:space="0" w:color="auto"/>
              <w:bottom w:val="single" w:sz="18" w:space="0" w:color="auto"/>
              <w:right w:val="single" w:sz="8" w:space="0" w:color="auto"/>
            </w:tcBorders>
            <w:tcMar>
              <w:top w:w="8" w:type="dxa"/>
              <w:left w:w="28" w:type="dxa"/>
              <w:bottom w:w="8" w:type="dxa"/>
              <w:right w:w="28" w:type="dxa"/>
            </w:tcMar>
            <w:vAlign w:val="bottom"/>
          </w:tcPr>
          <w:p w14:paraId="0BE2364E" w14:textId="2C955EC8" w:rsidR="00D91EF2" w:rsidRPr="00F5353D" w:rsidRDefault="00D91EF2" w:rsidP="00D91EF2">
            <w:pPr>
              <w:tabs>
                <w:tab w:val="decimal" w:pos="288"/>
              </w:tabs>
              <w:spacing w:line="199" w:lineRule="auto"/>
              <w:jc w:val="right"/>
              <w:rPr>
                <w:sz w:val="20"/>
                <w:szCs w:val="20"/>
              </w:rPr>
            </w:pPr>
            <w:r w:rsidRPr="00F5353D">
              <w:rPr>
                <w:color w:val="000000"/>
                <w:sz w:val="20"/>
                <w:szCs w:val="20"/>
              </w:rPr>
              <w:t>-4.93</w:t>
            </w:r>
          </w:p>
        </w:tc>
        <w:tc>
          <w:tcPr>
            <w:tcW w:w="209" w:type="pct"/>
            <w:tcBorders>
              <w:top w:val="single" w:sz="18" w:space="0" w:color="auto"/>
              <w:left w:val="single" w:sz="8" w:space="0" w:color="auto"/>
              <w:bottom w:val="single" w:sz="18" w:space="0" w:color="auto"/>
            </w:tcBorders>
            <w:tcMar>
              <w:top w:w="8" w:type="dxa"/>
              <w:left w:w="28" w:type="dxa"/>
              <w:bottom w:w="8" w:type="dxa"/>
              <w:right w:w="28" w:type="dxa"/>
            </w:tcMar>
            <w:vAlign w:val="bottom"/>
          </w:tcPr>
          <w:p w14:paraId="0049FF1E" w14:textId="678A679A" w:rsidR="00D91EF2" w:rsidRPr="00F5353D" w:rsidRDefault="00D91EF2" w:rsidP="00D91EF2">
            <w:pPr>
              <w:tabs>
                <w:tab w:val="decimal" w:pos="288"/>
              </w:tabs>
              <w:spacing w:line="199" w:lineRule="auto"/>
              <w:jc w:val="right"/>
              <w:rPr>
                <w:sz w:val="20"/>
                <w:szCs w:val="20"/>
              </w:rPr>
            </w:pPr>
            <w:r w:rsidRPr="00F5353D">
              <w:rPr>
                <w:color w:val="000000"/>
                <w:sz w:val="20"/>
                <w:szCs w:val="20"/>
              </w:rPr>
              <w:t>-2.11</w:t>
            </w:r>
          </w:p>
        </w:tc>
        <w:tc>
          <w:tcPr>
            <w:tcW w:w="208" w:type="pct"/>
            <w:tcBorders>
              <w:top w:val="single" w:sz="18" w:space="0" w:color="auto"/>
              <w:bottom w:val="single" w:sz="18" w:space="0" w:color="auto"/>
              <w:right w:val="single" w:sz="18" w:space="0" w:color="auto"/>
            </w:tcBorders>
            <w:tcMar>
              <w:top w:w="8" w:type="dxa"/>
              <w:left w:w="28" w:type="dxa"/>
              <w:bottom w:w="8" w:type="dxa"/>
              <w:right w:w="28" w:type="dxa"/>
            </w:tcMar>
            <w:vAlign w:val="bottom"/>
          </w:tcPr>
          <w:p w14:paraId="31CCDEE4" w14:textId="43B55F3A" w:rsidR="00D91EF2" w:rsidRPr="00F5353D" w:rsidRDefault="00D91EF2" w:rsidP="00D91EF2">
            <w:pPr>
              <w:tabs>
                <w:tab w:val="decimal" w:pos="288"/>
              </w:tabs>
              <w:spacing w:line="199" w:lineRule="auto"/>
              <w:jc w:val="right"/>
              <w:rPr>
                <w:sz w:val="20"/>
                <w:szCs w:val="20"/>
              </w:rPr>
            </w:pPr>
            <w:r w:rsidRPr="00F5353D">
              <w:rPr>
                <w:color w:val="000000"/>
                <w:sz w:val="20"/>
                <w:szCs w:val="20"/>
              </w:rPr>
              <w:t>-5.49</w:t>
            </w:r>
          </w:p>
        </w:tc>
        <w:tc>
          <w:tcPr>
            <w:tcW w:w="210" w:type="pct"/>
            <w:gridSpan w:val="2"/>
            <w:tcBorders>
              <w:top w:val="single" w:sz="18" w:space="0" w:color="auto"/>
              <w:left w:val="single" w:sz="18" w:space="0" w:color="auto"/>
              <w:bottom w:val="single" w:sz="18" w:space="0" w:color="auto"/>
            </w:tcBorders>
            <w:tcMar>
              <w:top w:w="8" w:type="dxa"/>
              <w:left w:w="28" w:type="dxa"/>
              <w:bottom w:w="8" w:type="dxa"/>
              <w:right w:w="28" w:type="dxa"/>
            </w:tcMar>
            <w:vAlign w:val="bottom"/>
          </w:tcPr>
          <w:p w14:paraId="1B8FA520" w14:textId="6D70F6D4" w:rsidR="00D91EF2" w:rsidRPr="00F5353D" w:rsidRDefault="00D91EF2" w:rsidP="00D91EF2">
            <w:pPr>
              <w:tabs>
                <w:tab w:val="decimal" w:pos="288"/>
              </w:tabs>
              <w:spacing w:line="199" w:lineRule="auto"/>
              <w:jc w:val="right"/>
              <w:rPr>
                <w:sz w:val="20"/>
                <w:szCs w:val="20"/>
              </w:rPr>
            </w:pPr>
            <w:r w:rsidRPr="00F5353D">
              <w:rPr>
                <w:color w:val="000000"/>
                <w:sz w:val="20"/>
                <w:szCs w:val="20"/>
              </w:rPr>
              <w:t>-0.37</w:t>
            </w:r>
          </w:p>
        </w:tc>
        <w:tc>
          <w:tcPr>
            <w:tcW w:w="209" w:type="pct"/>
            <w:tcBorders>
              <w:top w:val="single" w:sz="18" w:space="0" w:color="auto"/>
              <w:bottom w:val="single" w:sz="18" w:space="0" w:color="auto"/>
              <w:right w:val="single" w:sz="8" w:space="0" w:color="auto"/>
            </w:tcBorders>
            <w:tcMar>
              <w:top w:w="8" w:type="dxa"/>
              <w:left w:w="28" w:type="dxa"/>
              <w:bottom w:w="8" w:type="dxa"/>
              <w:right w:w="28" w:type="dxa"/>
            </w:tcMar>
            <w:vAlign w:val="bottom"/>
          </w:tcPr>
          <w:p w14:paraId="70BE8BBF" w14:textId="21BA0998" w:rsidR="00D91EF2" w:rsidRPr="00F5353D" w:rsidRDefault="00D91EF2" w:rsidP="00D91EF2">
            <w:pPr>
              <w:tabs>
                <w:tab w:val="decimal" w:pos="288"/>
              </w:tabs>
              <w:spacing w:line="199" w:lineRule="auto"/>
              <w:jc w:val="right"/>
              <w:rPr>
                <w:sz w:val="20"/>
                <w:szCs w:val="20"/>
              </w:rPr>
            </w:pPr>
            <w:r w:rsidRPr="00F5353D">
              <w:rPr>
                <w:color w:val="000000"/>
                <w:sz w:val="20"/>
                <w:szCs w:val="20"/>
              </w:rPr>
              <w:t>-1.73</w:t>
            </w:r>
          </w:p>
        </w:tc>
        <w:tc>
          <w:tcPr>
            <w:tcW w:w="209" w:type="pct"/>
            <w:tcBorders>
              <w:top w:val="single" w:sz="18" w:space="0" w:color="auto"/>
              <w:left w:val="single" w:sz="8" w:space="0" w:color="auto"/>
              <w:bottom w:val="single" w:sz="18" w:space="0" w:color="auto"/>
            </w:tcBorders>
            <w:tcMar>
              <w:top w:w="8" w:type="dxa"/>
              <w:left w:w="28" w:type="dxa"/>
              <w:bottom w:w="8" w:type="dxa"/>
              <w:right w:w="28" w:type="dxa"/>
            </w:tcMar>
            <w:vAlign w:val="bottom"/>
          </w:tcPr>
          <w:p w14:paraId="59041765" w14:textId="7CCA12AA" w:rsidR="00D91EF2" w:rsidRPr="00F5353D" w:rsidRDefault="00D91EF2" w:rsidP="00D91EF2">
            <w:pPr>
              <w:tabs>
                <w:tab w:val="decimal" w:pos="288"/>
              </w:tabs>
              <w:spacing w:line="199" w:lineRule="auto"/>
              <w:jc w:val="right"/>
              <w:rPr>
                <w:sz w:val="20"/>
                <w:szCs w:val="20"/>
              </w:rPr>
            </w:pPr>
            <w:r w:rsidRPr="00F5353D">
              <w:rPr>
                <w:color w:val="000000"/>
                <w:sz w:val="20"/>
                <w:szCs w:val="20"/>
              </w:rPr>
              <w:t>-0.81</w:t>
            </w:r>
          </w:p>
        </w:tc>
        <w:tc>
          <w:tcPr>
            <w:tcW w:w="245" w:type="pct"/>
            <w:tcBorders>
              <w:top w:val="single" w:sz="18" w:space="0" w:color="auto"/>
              <w:bottom w:val="single" w:sz="18" w:space="0" w:color="auto"/>
              <w:right w:val="single" w:sz="18" w:space="0" w:color="auto"/>
            </w:tcBorders>
            <w:tcMar>
              <w:top w:w="8" w:type="dxa"/>
              <w:left w:w="28" w:type="dxa"/>
              <w:bottom w:w="8" w:type="dxa"/>
              <w:right w:w="28" w:type="dxa"/>
            </w:tcMar>
            <w:vAlign w:val="bottom"/>
          </w:tcPr>
          <w:p w14:paraId="0D026505" w14:textId="6F3B0562" w:rsidR="00D91EF2" w:rsidRPr="00F5353D" w:rsidRDefault="00D91EF2" w:rsidP="00D91EF2">
            <w:pPr>
              <w:tabs>
                <w:tab w:val="decimal" w:pos="288"/>
              </w:tabs>
              <w:spacing w:line="199" w:lineRule="auto"/>
              <w:jc w:val="right"/>
              <w:rPr>
                <w:sz w:val="20"/>
                <w:szCs w:val="20"/>
              </w:rPr>
            </w:pPr>
            <w:r w:rsidRPr="00F5353D">
              <w:rPr>
                <w:color w:val="000000"/>
                <w:sz w:val="20"/>
                <w:szCs w:val="20"/>
              </w:rPr>
              <w:t>-3.35</w:t>
            </w:r>
          </w:p>
        </w:tc>
        <w:tc>
          <w:tcPr>
            <w:tcW w:w="209" w:type="pct"/>
            <w:tcBorders>
              <w:top w:val="single" w:sz="18" w:space="0" w:color="auto"/>
              <w:left w:val="single" w:sz="18" w:space="0" w:color="auto"/>
              <w:bottom w:val="single" w:sz="18" w:space="0" w:color="auto"/>
              <w:right w:val="dotted" w:sz="4" w:space="0" w:color="auto"/>
            </w:tcBorders>
            <w:tcMar>
              <w:top w:w="8" w:type="dxa"/>
              <w:left w:w="28" w:type="dxa"/>
              <w:bottom w:w="8" w:type="dxa"/>
              <w:right w:w="28" w:type="dxa"/>
            </w:tcMar>
            <w:vAlign w:val="bottom"/>
          </w:tcPr>
          <w:p w14:paraId="2FEA36CD" w14:textId="7700BEB8" w:rsidR="00D91EF2" w:rsidRPr="00F5353D" w:rsidRDefault="00D91EF2" w:rsidP="00D91EF2">
            <w:pPr>
              <w:tabs>
                <w:tab w:val="left" w:pos="219"/>
                <w:tab w:val="decimal" w:pos="288"/>
              </w:tabs>
              <w:spacing w:line="199" w:lineRule="auto"/>
              <w:jc w:val="right"/>
              <w:rPr>
                <w:sz w:val="20"/>
                <w:szCs w:val="20"/>
              </w:rPr>
            </w:pPr>
            <w:r w:rsidRPr="00F5353D">
              <w:rPr>
                <w:color w:val="000000"/>
                <w:sz w:val="20"/>
                <w:szCs w:val="20"/>
              </w:rPr>
              <w:t>-2.13</w:t>
            </w:r>
          </w:p>
        </w:tc>
        <w:tc>
          <w:tcPr>
            <w:tcW w:w="246" w:type="pct"/>
            <w:tcBorders>
              <w:top w:val="single" w:sz="18" w:space="0" w:color="auto"/>
              <w:left w:val="dotted" w:sz="4" w:space="0" w:color="auto"/>
              <w:bottom w:val="single" w:sz="18" w:space="0" w:color="auto"/>
              <w:right w:val="single" w:sz="18" w:space="0" w:color="auto"/>
            </w:tcBorders>
            <w:tcMar>
              <w:top w:w="8" w:type="dxa"/>
              <w:left w:w="28" w:type="dxa"/>
              <w:bottom w:w="8" w:type="dxa"/>
              <w:right w:w="28" w:type="dxa"/>
            </w:tcMar>
            <w:vAlign w:val="bottom"/>
          </w:tcPr>
          <w:p w14:paraId="474522F9" w14:textId="72A18AA8" w:rsidR="00D91EF2" w:rsidRPr="00F5353D" w:rsidRDefault="00D91EF2" w:rsidP="00D91EF2">
            <w:pPr>
              <w:tabs>
                <w:tab w:val="decimal" w:pos="288"/>
              </w:tabs>
              <w:spacing w:line="199" w:lineRule="auto"/>
              <w:jc w:val="right"/>
              <w:rPr>
                <w:sz w:val="20"/>
                <w:szCs w:val="20"/>
              </w:rPr>
            </w:pPr>
            <w:r w:rsidRPr="00F5353D">
              <w:rPr>
                <w:color w:val="000000"/>
                <w:sz w:val="20"/>
                <w:szCs w:val="20"/>
              </w:rPr>
              <w:t>-10.61</w:t>
            </w:r>
          </w:p>
        </w:tc>
        <w:tc>
          <w:tcPr>
            <w:tcW w:w="209" w:type="pct"/>
            <w:tcBorders>
              <w:top w:val="single" w:sz="18" w:space="0" w:color="auto"/>
              <w:left w:val="single" w:sz="18" w:space="0" w:color="auto"/>
              <w:bottom w:val="single" w:sz="18" w:space="0" w:color="auto"/>
            </w:tcBorders>
            <w:tcMar>
              <w:top w:w="8" w:type="dxa"/>
              <w:left w:w="28" w:type="dxa"/>
              <w:bottom w:w="8" w:type="dxa"/>
              <w:right w:w="28" w:type="dxa"/>
            </w:tcMar>
            <w:vAlign w:val="bottom"/>
          </w:tcPr>
          <w:p w14:paraId="425B95C1" w14:textId="38F1BB58" w:rsidR="00D91EF2" w:rsidRPr="00F5353D" w:rsidRDefault="00D91EF2" w:rsidP="00D91EF2">
            <w:pPr>
              <w:tabs>
                <w:tab w:val="decimal" w:pos="288"/>
              </w:tabs>
              <w:spacing w:line="199" w:lineRule="auto"/>
              <w:jc w:val="right"/>
              <w:rPr>
                <w:sz w:val="20"/>
                <w:szCs w:val="20"/>
              </w:rPr>
            </w:pPr>
            <w:r w:rsidRPr="00F5353D">
              <w:rPr>
                <w:color w:val="000000"/>
                <w:sz w:val="20"/>
                <w:szCs w:val="20"/>
              </w:rPr>
              <w:t>-0.85</w:t>
            </w:r>
          </w:p>
        </w:tc>
        <w:tc>
          <w:tcPr>
            <w:tcW w:w="209" w:type="pct"/>
            <w:tcBorders>
              <w:top w:val="single" w:sz="18" w:space="0" w:color="auto"/>
              <w:bottom w:val="single" w:sz="18" w:space="0" w:color="auto"/>
              <w:right w:val="single" w:sz="8" w:space="0" w:color="auto"/>
            </w:tcBorders>
            <w:tcMar>
              <w:top w:w="8" w:type="dxa"/>
              <w:left w:w="28" w:type="dxa"/>
              <w:bottom w:w="8" w:type="dxa"/>
              <w:right w:w="28" w:type="dxa"/>
            </w:tcMar>
            <w:vAlign w:val="bottom"/>
          </w:tcPr>
          <w:p w14:paraId="4E8CEB26" w14:textId="2CACE075" w:rsidR="00D91EF2" w:rsidRPr="00F5353D" w:rsidRDefault="00D91EF2" w:rsidP="00D91EF2">
            <w:pPr>
              <w:tabs>
                <w:tab w:val="decimal" w:pos="288"/>
              </w:tabs>
              <w:spacing w:line="199" w:lineRule="auto"/>
              <w:jc w:val="right"/>
              <w:rPr>
                <w:sz w:val="20"/>
                <w:szCs w:val="20"/>
              </w:rPr>
            </w:pPr>
            <w:r w:rsidRPr="00F5353D">
              <w:rPr>
                <w:color w:val="000000"/>
                <w:sz w:val="20"/>
                <w:szCs w:val="20"/>
              </w:rPr>
              <w:t>-3.62</w:t>
            </w:r>
          </w:p>
        </w:tc>
        <w:tc>
          <w:tcPr>
            <w:tcW w:w="201" w:type="pct"/>
            <w:tcBorders>
              <w:top w:val="single" w:sz="18" w:space="0" w:color="auto"/>
              <w:left w:val="single" w:sz="8" w:space="0" w:color="auto"/>
              <w:bottom w:val="single" w:sz="18" w:space="0" w:color="auto"/>
            </w:tcBorders>
            <w:tcMar>
              <w:top w:w="8" w:type="dxa"/>
              <w:left w:w="28" w:type="dxa"/>
              <w:bottom w:w="8" w:type="dxa"/>
              <w:right w:w="28" w:type="dxa"/>
            </w:tcMar>
            <w:vAlign w:val="bottom"/>
          </w:tcPr>
          <w:p w14:paraId="0F25E913" w14:textId="2CC2023E" w:rsidR="00D91EF2" w:rsidRPr="00F5353D" w:rsidRDefault="00D91EF2" w:rsidP="00D91EF2">
            <w:pPr>
              <w:tabs>
                <w:tab w:val="decimal" w:pos="288"/>
              </w:tabs>
              <w:spacing w:line="199" w:lineRule="auto"/>
              <w:jc w:val="right"/>
              <w:rPr>
                <w:sz w:val="20"/>
                <w:szCs w:val="20"/>
              </w:rPr>
            </w:pPr>
            <w:r w:rsidRPr="00F5353D">
              <w:rPr>
                <w:color w:val="000000"/>
                <w:sz w:val="20"/>
                <w:szCs w:val="20"/>
              </w:rPr>
              <w:t>-0.12</w:t>
            </w:r>
          </w:p>
        </w:tc>
        <w:tc>
          <w:tcPr>
            <w:tcW w:w="206" w:type="pct"/>
            <w:gridSpan w:val="2"/>
            <w:tcBorders>
              <w:top w:val="single" w:sz="18" w:space="0" w:color="auto"/>
              <w:bottom w:val="single" w:sz="8" w:space="0" w:color="auto"/>
            </w:tcBorders>
            <w:tcMar>
              <w:top w:w="8" w:type="dxa"/>
              <w:left w:w="28" w:type="dxa"/>
              <w:bottom w:w="8" w:type="dxa"/>
              <w:right w:w="28" w:type="dxa"/>
            </w:tcMar>
            <w:vAlign w:val="bottom"/>
          </w:tcPr>
          <w:p w14:paraId="3C6B3054" w14:textId="29DCD4C6" w:rsidR="00D91EF2" w:rsidRPr="00F5353D" w:rsidRDefault="00D91EF2" w:rsidP="00D91EF2">
            <w:pPr>
              <w:tabs>
                <w:tab w:val="decimal" w:pos="288"/>
              </w:tabs>
              <w:spacing w:line="199" w:lineRule="auto"/>
              <w:jc w:val="right"/>
              <w:rPr>
                <w:sz w:val="20"/>
                <w:szCs w:val="20"/>
              </w:rPr>
            </w:pPr>
            <w:r w:rsidRPr="00F5353D">
              <w:rPr>
                <w:color w:val="000000"/>
                <w:sz w:val="20"/>
                <w:szCs w:val="20"/>
              </w:rPr>
              <w:t>-0.42</w:t>
            </w:r>
          </w:p>
        </w:tc>
      </w:tr>
      <w:tr w:rsidR="00752A00" w:rsidRPr="00F5353D" w14:paraId="539F97BB" w14:textId="77777777" w:rsidTr="00582E1F">
        <w:trPr>
          <w:cantSplit/>
          <w:trHeight w:val="187"/>
        </w:trPr>
        <w:tc>
          <w:tcPr>
            <w:tcW w:w="5000" w:type="pct"/>
            <w:gridSpan w:val="21"/>
            <w:tcBorders>
              <w:top w:val="single" w:sz="18" w:space="0" w:color="auto"/>
            </w:tcBorders>
            <w:tcMar>
              <w:top w:w="8" w:type="dxa"/>
              <w:left w:w="28" w:type="dxa"/>
              <w:bottom w:w="8" w:type="dxa"/>
              <w:right w:w="28" w:type="dxa"/>
            </w:tcMar>
            <w:vAlign w:val="center"/>
          </w:tcPr>
          <w:p w14:paraId="1DF82491" w14:textId="58950F13" w:rsidR="00752A00" w:rsidRPr="00F5353D" w:rsidRDefault="00752A00" w:rsidP="00D63D95">
            <w:pPr>
              <w:tabs>
                <w:tab w:val="decimal" w:pos="288"/>
              </w:tabs>
              <w:spacing w:line="200" w:lineRule="auto"/>
              <w:rPr>
                <w:sz w:val="20"/>
                <w:szCs w:val="20"/>
              </w:rPr>
            </w:pPr>
            <w:r w:rsidRPr="00F5353D">
              <w:rPr>
                <w:b/>
                <w:bCs/>
                <w:i/>
                <w:iCs/>
                <w:sz w:val="20"/>
                <w:szCs w:val="20"/>
              </w:rPr>
              <w:t>Individual</w:t>
            </w:r>
            <w:r w:rsidR="008137B6" w:rsidRPr="00F5353D">
              <w:rPr>
                <w:b/>
                <w:bCs/>
                <w:i/>
                <w:iCs/>
                <w:sz w:val="20"/>
                <w:szCs w:val="20"/>
              </w:rPr>
              <w:t>-</w:t>
            </w:r>
            <w:r w:rsidRPr="00F5353D">
              <w:rPr>
                <w:b/>
                <w:bCs/>
                <w:i/>
                <w:iCs/>
                <w:sz w:val="20"/>
                <w:szCs w:val="20"/>
              </w:rPr>
              <w:t>level demographic characteristics</w:t>
            </w:r>
          </w:p>
        </w:tc>
      </w:tr>
      <w:tr w:rsidR="003D0A0E" w:rsidRPr="00F5353D" w14:paraId="03E82FF1" w14:textId="77777777" w:rsidTr="008C7AA0">
        <w:trPr>
          <w:cantSplit/>
          <w:trHeight w:val="187"/>
        </w:trPr>
        <w:tc>
          <w:tcPr>
            <w:tcW w:w="862" w:type="pct"/>
            <w:tcBorders>
              <w:top w:val="single" w:sz="8" w:space="0" w:color="auto"/>
              <w:bottom w:val="single" w:sz="8" w:space="0" w:color="auto"/>
              <w:right w:val="single" w:sz="8" w:space="0" w:color="auto"/>
            </w:tcBorders>
            <w:tcMar>
              <w:top w:w="8" w:type="dxa"/>
              <w:left w:w="28" w:type="dxa"/>
              <w:bottom w:w="8" w:type="dxa"/>
              <w:right w:w="28" w:type="dxa"/>
            </w:tcMar>
            <w:vAlign w:val="center"/>
          </w:tcPr>
          <w:p w14:paraId="2C8CBE98" w14:textId="77777777" w:rsidR="003D0A0E" w:rsidRPr="00F5353D" w:rsidRDefault="003D0A0E" w:rsidP="003D0A0E">
            <w:pPr>
              <w:spacing w:line="200" w:lineRule="auto"/>
              <w:rPr>
                <w:sz w:val="20"/>
                <w:szCs w:val="20"/>
              </w:rPr>
            </w:pPr>
            <w:r w:rsidRPr="00F5353D">
              <w:rPr>
                <w:sz w:val="20"/>
                <w:szCs w:val="20"/>
              </w:rPr>
              <w:t>Gender (male)</w:t>
            </w:r>
          </w:p>
        </w:tc>
        <w:tc>
          <w:tcPr>
            <w:tcW w:w="737" w:type="pct"/>
            <w:tcBorders>
              <w:top w:val="single" w:sz="8" w:space="0" w:color="auto"/>
              <w:left w:val="single" w:sz="8" w:space="0" w:color="auto"/>
              <w:bottom w:val="single" w:sz="8" w:space="0" w:color="auto"/>
              <w:right w:val="single" w:sz="18" w:space="0" w:color="auto"/>
            </w:tcBorders>
            <w:tcMar>
              <w:top w:w="8" w:type="dxa"/>
              <w:left w:w="28" w:type="dxa"/>
              <w:bottom w:w="8" w:type="dxa"/>
              <w:right w:w="28" w:type="dxa"/>
            </w:tcMar>
            <w:vAlign w:val="center"/>
          </w:tcPr>
          <w:p w14:paraId="2E78A902" w14:textId="77777777" w:rsidR="003D0A0E" w:rsidRPr="00F5353D" w:rsidRDefault="003D0A0E" w:rsidP="003D0A0E">
            <w:pPr>
              <w:spacing w:line="200" w:lineRule="auto"/>
              <w:rPr>
                <w:sz w:val="20"/>
                <w:szCs w:val="20"/>
              </w:rPr>
            </w:pPr>
            <w:r w:rsidRPr="00F5353D">
              <w:rPr>
                <w:sz w:val="20"/>
                <w:szCs w:val="20"/>
              </w:rPr>
              <w:t>Female</w:t>
            </w:r>
          </w:p>
        </w:tc>
        <w:tc>
          <w:tcPr>
            <w:tcW w:w="209" w:type="pct"/>
            <w:tcBorders>
              <w:top w:val="single" w:sz="8" w:space="0" w:color="auto"/>
              <w:left w:val="single" w:sz="18" w:space="0" w:color="auto"/>
              <w:bottom w:val="single" w:sz="8" w:space="0" w:color="auto"/>
            </w:tcBorders>
            <w:tcMar>
              <w:top w:w="8" w:type="dxa"/>
              <w:left w:w="28" w:type="dxa"/>
              <w:bottom w:w="8" w:type="dxa"/>
              <w:right w:w="28" w:type="dxa"/>
            </w:tcMar>
            <w:vAlign w:val="bottom"/>
          </w:tcPr>
          <w:p w14:paraId="65F878C2" w14:textId="702CC213" w:rsidR="003D0A0E" w:rsidRPr="00F5353D" w:rsidRDefault="003D0A0E" w:rsidP="003D0A0E">
            <w:pPr>
              <w:tabs>
                <w:tab w:val="decimal" w:pos="288"/>
              </w:tabs>
              <w:spacing w:line="200" w:lineRule="auto"/>
              <w:jc w:val="center"/>
              <w:rPr>
                <w:sz w:val="20"/>
                <w:szCs w:val="20"/>
              </w:rPr>
            </w:pPr>
            <w:r w:rsidRPr="00F5353D">
              <w:rPr>
                <w:color w:val="000000"/>
                <w:sz w:val="20"/>
                <w:szCs w:val="20"/>
              </w:rPr>
              <w:t>0.21</w:t>
            </w:r>
          </w:p>
        </w:tc>
        <w:tc>
          <w:tcPr>
            <w:tcW w:w="209" w:type="pct"/>
            <w:gridSpan w:val="2"/>
            <w:tcBorders>
              <w:top w:val="single" w:sz="8" w:space="0" w:color="auto"/>
              <w:bottom w:val="single" w:sz="8" w:space="0" w:color="auto"/>
              <w:right w:val="single" w:sz="18" w:space="0" w:color="auto"/>
            </w:tcBorders>
            <w:tcMar>
              <w:top w:w="8" w:type="dxa"/>
              <w:left w:w="28" w:type="dxa"/>
              <w:bottom w:w="8" w:type="dxa"/>
              <w:right w:w="28" w:type="dxa"/>
            </w:tcMar>
            <w:vAlign w:val="bottom"/>
          </w:tcPr>
          <w:p w14:paraId="083D8BD0" w14:textId="001E5548" w:rsidR="003D0A0E" w:rsidRPr="00F5353D" w:rsidRDefault="003D0A0E" w:rsidP="003D0A0E">
            <w:pPr>
              <w:tabs>
                <w:tab w:val="decimal" w:pos="288"/>
              </w:tabs>
              <w:spacing w:line="200" w:lineRule="auto"/>
              <w:jc w:val="center"/>
              <w:rPr>
                <w:sz w:val="20"/>
                <w:szCs w:val="20"/>
              </w:rPr>
            </w:pPr>
            <w:r w:rsidRPr="00F5353D">
              <w:rPr>
                <w:color w:val="000000"/>
                <w:sz w:val="20"/>
                <w:szCs w:val="20"/>
              </w:rPr>
              <w:t>5.75</w:t>
            </w:r>
          </w:p>
        </w:tc>
        <w:tc>
          <w:tcPr>
            <w:tcW w:w="204" w:type="pct"/>
            <w:tcBorders>
              <w:top w:val="single" w:sz="8" w:space="0" w:color="auto"/>
              <w:left w:val="single" w:sz="18" w:space="0" w:color="auto"/>
              <w:bottom w:val="single" w:sz="8" w:space="0" w:color="auto"/>
            </w:tcBorders>
            <w:tcMar>
              <w:top w:w="8" w:type="dxa"/>
              <w:left w:w="28" w:type="dxa"/>
              <w:bottom w:w="8" w:type="dxa"/>
              <w:right w:w="28" w:type="dxa"/>
            </w:tcMar>
            <w:vAlign w:val="bottom"/>
          </w:tcPr>
          <w:p w14:paraId="3C295C2A" w14:textId="25FBFB3B" w:rsidR="003D0A0E" w:rsidRPr="00F5353D" w:rsidRDefault="003D0A0E" w:rsidP="003D0A0E">
            <w:pPr>
              <w:tabs>
                <w:tab w:val="decimal" w:pos="288"/>
              </w:tabs>
              <w:spacing w:line="200" w:lineRule="auto"/>
              <w:jc w:val="center"/>
              <w:rPr>
                <w:sz w:val="20"/>
                <w:szCs w:val="20"/>
              </w:rPr>
            </w:pPr>
            <w:r w:rsidRPr="00F5353D">
              <w:rPr>
                <w:color w:val="000000"/>
                <w:sz w:val="20"/>
                <w:szCs w:val="20"/>
              </w:rPr>
              <w:t>0.10</w:t>
            </w:r>
          </w:p>
        </w:tc>
        <w:tc>
          <w:tcPr>
            <w:tcW w:w="209" w:type="pct"/>
            <w:tcBorders>
              <w:top w:val="single" w:sz="8" w:space="0" w:color="auto"/>
              <w:bottom w:val="single" w:sz="8" w:space="0" w:color="auto"/>
              <w:right w:val="single" w:sz="8" w:space="0" w:color="auto"/>
            </w:tcBorders>
            <w:tcMar>
              <w:top w:w="8" w:type="dxa"/>
              <w:left w:w="28" w:type="dxa"/>
              <w:bottom w:w="8" w:type="dxa"/>
              <w:right w:w="28" w:type="dxa"/>
            </w:tcMar>
            <w:vAlign w:val="bottom"/>
          </w:tcPr>
          <w:p w14:paraId="19C19A8A" w14:textId="4EE1D795" w:rsidR="003D0A0E" w:rsidRPr="00F5353D" w:rsidRDefault="003D0A0E" w:rsidP="003D0A0E">
            <w:pPr>
              <w:tabs>
                <w:tab w:val="decimal" w:pos="288"/>
              </w:tabs>
              <w:spacing w:line="200" w:lineRule="auto"/>
              <w:jc w:val="center"/>
              <w:rPr>
                <w:sz w:val="20"/>
                <w:szCs w:val="20"/>
              </w:rPr>
            </w:pPr>
            <w:r w:rsidRPr="00F5353D">
              <w:rPr>
                <w:color w:val="000000"/>
                <w:sz w:val="20"/>
                <w:szCs w:val="20"/>
              </w:rPr>
              <w:t>1.27</w:t>
            </w:r>
          </w:p>
        </w:tc>
        <w:tc>
          <w:tcPr>
            <w:tcW w:w="209" w:type="pct"/>
            <w:tcBorders>
              <w:top w:val="single" w:sz="8" w:space="0" w:color="auto"/>
              <w:left w:val="single" w:sz="8" w:space="0" w:color="auto"/>
              <w:bottom w:val="single" w:sz="8" w:space="0" w:color="auto"/>
            </w:tcBorders>
            <w:tcMar>
              <w:top w:w="8" w:type="dxa"/>
              <w:left w:w="28" w:type="dxa"/>
              <w:bottom w:w="8" w:type="dxa"/>
              <w:right w:w="28" w:type="dxa"/>
            </w:tcMar>
            <w:vAlign w:val="center"/>
          </w:tcPr>
          <w:p w14:paraId="33526D76" w14:textId="4A8EDB09"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14" w:type="pct"/>
            <w:gridSpan w:val="2"/>
            <w:tcBorders>
              <w:top w:val="single" w:sz="8" w:space="0" w:color="auto"/>
              <w:bottom w:val="single" w:sz="8" w:space="0" w:color="auto"/>
              <w:right w:val="single" w:sz="18" w:space="0" w:color="auto"/>
            </w:tcBorders>
            <w:tcMar>
              <w:top w:w="8" w:type="dxa"/>
              <w:left w:w="28" w:type="dxa"/>
              <w:bottom w:w="8" w:type="dxa"/>
              <w:right w:w="28" w:type="dxa"/>
            </w:tcMar>
            <w:vAlign w:val="center"/>
          </w:tcPr>
          <w:p w14:paraId="7C3E0CB9" w14:textId="6575C5C7"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4" w:type="pct"/>
            <w:tcBorders>
              <w:top w:val="single" w:sz="8" w:space="0" w:color="auto"/>
              <w:left w:val="single" w:sz="18" w:space="0" w:color="auto"/>
              <w:bottom w:val="single" w:sz="8" w:space="0" w:color="auto"/>
            </w:tcBorders>
            <w:tcMar>
              <w:top w:w="8" w:type="dxa"/>
              <w:left w:w="28" w:type="dxa"/>
              <w:bottom w:w="8" w:type="dxa"/>
              <w:right w:w="28" w:type="dxa"/>
            </w:tcMar>
            <w:vAlign w:val="center"/>
          </w:tcPr>
          <w:p w14:paraId="737B12A2" w14:textId="6964B95E"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bottom w:val="single" w:sz="8" w:space="0" w:color="auto"/>
              <w:right w:val="single" w:sz="8" w:space="0" w:color="auto"/>
            </w:tcBorders>
            <w:tcMar>
              <w:top w:w="8" w:type="dxa"/>
              <w:left w:w="28" w:type="dxa"/>
              <w:bottom w:w="8" w:type="dxa"/>
              <w:right w:w="28" w:type="dxa"/>
            </w:tcMar>
            <w:vAlign w:val="center"/>
          </w:tcPr>
          <w:p w14:paraId="5386D3C0" w14:textId="58282A02"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left w:val="single" w:sz="8" w:space="0" w:color="auto"/>
              <w:bottom w:val="single" w:sz="8" w:space="0" w:color="auto"/>
            </w:tcBorders>
            <w:tcMar>
              <w:top w:w="8" w:type="dxa"/>
              <w:left w:w="28" w:type="dxa"/>
              <w:bottom w:w="8" w:type="dxa"/>
              <w:right w:w="28" w:type="dxa"/>
            </w:tcMar>
            <w:vAlign w:val="center"/>
          </w:tcPr>
          <w:p w14:paraId="7676532D" w14:textId="75B44BC7"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5" w:type="pct"/>
            <w:tcBorders>
              <w:top w:val="single" w:sz="8" w:space="0" w:color="auto"/>
              <w:bottom w:val="single" w:sz="8" w:space="0" w:color="auto"/>
              <w:right w:val="single" w:sz="18" w:space="0" w:color="auto"/>
            </w:tcBorders>
            <w:tcMar>
              <w:top w:w="8" w:type="dxa"/>
              <w:left w:w="28" w:type="dxa"/>
              <w:bottom w:w="8" w:type="dxa"/>
              <w:right w:w="28" w:type="dxa"/>
            </w:tcMar>
            <w:vAlign w:val="center"/>
          </w:tcPr>
          <w:p w14:paraId="3461CACD" w14:textId="20CBFCBE"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left w:val="single" w:sz="18" w:space="0" w:color="auto"/>
              <w:bottom w:val="single" w:sz="8" w:space="0" w:color="auto"/>
            </w:tcBorders>
            <w:tcMar>
              <w:top w:w="8" w:type="dxa"/>
              <w:left w:w="28" w:type="dxa"/>
              <w:bottom w:w="8" w:type="dxa"/>
              <w:right w:w="28" w:type="dxa"/>
            </w:tcMar>
            <w:vAlign w:val="bottom"/>
          </w:tcPr>
          <w:p w14:paraId="26ADF237" w14:textId="113F38E7" w:rsidR="003D0A0E" w:rsidRPr="00F5353D" w:rsidRDefault="003D0A0E" w:rsidP="003D0A0E">
            <w:pPr>
              <w:tabs>
                <w:tab w:val="left" w:pos="219"/>
                <w:tab w:val="decimal" w:pos="288"/>
              </w:tabs>
              <w:spacing w:line="200" w:lineRule="auto"/>
              <w:jc w:val="right"/>
              <w:rPr>
                <w:sz w:val="20"/>
                <w:szCs w:val="20"/>
              </w:rPr>
            </w:pPr>
            <w:r w:rsidRPr="00F5353D">
              <w:rPr>
                <w:color w:val="000000"/>
                <w:sz w:val="20"/>
                <w:szCs w:val="20"/>
              </w:rPr>
              <w:t>0.29</w:t>
            </w:r>
          </w:p>
        </w:tc>
        <w:tc>
          <w:tcPr>
            <w:tcW w:w="246" w:type="pct"/>
            <w:tcBorders>
              <w:top w:val="single" w:sz="8" w:space="0" w:color="auto"/>
              <w:bottom w:val="single" w:sz="8" w:space="0" w:color="auto"/>
              <w:right w:val="single" w:sz="18" w:space="0" w:color="auto"/>
            </w:tcBorders>
            <w:tcMar>
              <w:top w:w="8" w:type="dxa"/>
              <w:left w:w="28" w:type="dxa"/>
              <w:bottom w:w="8" w:type="dxa"/>
              <w:right w:w="28" w:type="dxa"/>
            </w:tcMar>
            <w:vAlign w:val="bottom"/>
          </w:tcPr>
          <w:p w14:paraId="7A31F65A" w14:textId="41769EFB" w:rsidR="003D0A0E" w:rsidRPr="00F5353D" w:rsidRDefault="003D0A0E" w:rsidP="003D0A0E">
            <w:pPr>
              <w:tabs>
                <w:tab w:val="decimal" w:pos="288"/>
              </w:tabs>
              <w:spacing w:line="200" w:lineRule="auto"/>
              <w:jc w:val="center"/>
              <w:rPr>
                <w:sz w:val="20"/>
                <w:szCs w:val="20"/>
              </w:rPr>
            </w:pPr>
            <w:r w:rsidRPr="00F5353D">
              <w:rPr>
                <w:color w:val="000000"/>
                <w:sz w:val="20"/>
                <w:szCs w:val="20"/>
              </w:rPr>
              <w:t>2.46</w:t>
            </w:r>
          </w:p>
        </w:tc>
        <w:tc>
          <w:tcPr>
            <w:tcW w:w="209" w:type="pct"/>
            <w:tcBorders>
              <w:top w:val="single" w:sz="8" w:space="0" w:color="auto"/>
              <w:left w:val="single" w:sz="18" w:space="0" w:color="auto"/>
              <w:bottom w:val="single" w:sz="8" w:space="0" w:color="auto"/>
            </w:tcBorders>
            <w:tcMar>
              <w:top w:w="8" w:type="dxa"/>
              <w:left w:w="28" w:type="dxa"/>
              <w:bottom w:w="8" w:type="dxa"/>
              <w:right w:w="28" w:type="dxa"/>
            </w:tcMar>
            <w:vAlign w:val="bottom"/>
          </w:tcPr>
          <w:p w14:paraId="69C4DABF" w14:textId="69A31F4E" w:rsidR="003D0A0E" w:rsidRPr="00F5353D" w:rsidRDefault="003D0A0E" w:rsidP="003D0A0E">
            <w:pPr>
              <w:tabs>
                <w:tab w:val="decimal" w:pos="288"/>
              </w:tabs>
              <w:spacing w:line="200" w:lineRule="auto"/>
              <w:jc w:val="center"/>
              <w:rPr>
                <w:sz w:val="20"/>
                <w:szCs w:val="20"/>
              </w:rPr>
            </w:pPr>
            <w:r w:rsidRPr="00F5353D">
              <w:rPr>
                <w:color w:val="000000"/>
                <w:sz w:val="20"/>
                <w:szCs w:val="20"/>
              </w:rPr>
              <w:t>0.09</w:t>
            </w:r>
          </w:p>
        </w:tc>
        <w:tc>
          <w:tcPr>
            <w:tcW w:w="209" w:type="pct"/>
            <w:tcBorders>
              <w:top w:val="single" w:sz="8" w:space="0" w:color="auto"/>
              <w:bottom w:val="single" w:sz="8" w:space="0" w:color="auto"/>
              <w:right w:val="single" w:sz="8" w:space="0" w:color="auto"/>
            </w:tcBorders>
            <w:tcMar>
              <w:top w:w="8" w:type="dxa"/>
              <w:left w:w="28" w:type="dxa"/>
              <w:bottom w:w="8" w:type="dxa"/>
              <w:right w:w="28" w:type="dxa"/>
            </w:tcMar>
            <w:vAlign w:val="bottom"/>
          </w:tcPr>
          <w:p w14:paraId="4008BB8F" w14:textId="31F4F4BD" w:rsidR="003D0A0E" w:rsidRPr="00F5353D" w:rsidRDefault="003D0A0E" w:rsidP="003D0A0E">
            <w:pPr>
              <w:tabs>
                <w:tab w:val="decimal" w:pos="288"/>
              </w:tabs>
              <w:spacing w:line="200" w:lineRule="auto"/>
              <w:jc w:val="center"/>
              <w:rPr>
                <w:sz w:val="20"/>
                <w:szCs w:val="20"/>
              </w:rPr>
            </w:pPr>
            <w:r w:rsidRPr="00F5353D">
              <w:rPr>
                <w:color w:val="000000"/>
                <w:sz w:val="20"/>
                <w:szCs w:val="20"/>
              </w:rPr>
              <w:t>1.04</w:t>
            </w:r>
          </w:p>
        </w:tc>
        <w:tc>
          <w:tcPr>
            <w:tcW w:w="207" w:type="pct"/>
            <w:gridSpan w:val="2"/>
            <w:tcBorders>
              <w:top w:val="single" w:sz="8" w:space="0" w:color="auto"/>
              <w:left w:val="single" w:sz="8" w:space="0" w:color="auto"/>
              <w:bottom w:val="single" w:sz="8" w:space="0" w:color="auto"/>
            </w:tcBorders>
            <w:tcMar>
              <w:top w:w="8" w:type="dxa"/>
              <w:left w:w="28" w:type="dxa"/>
              <w:bottom w:w="8" w:type="dxa"/>
              <w:right w:w="28" w:type="dxa"/>
            </w:tcMar>
            <w:vAlign w:val="bottom"/>
          </w:tcPr>
          <w:p w14:paraId="2A10458D" w14:textId="2C0609F8" w:rsidR="003D0A0E" w:rsidRPr="00F5353D" w:rsidRDefault="003D0A0E" w:rsidP="003D0A0E">
            <w:pPr>
              <w:tabs>
                <w:tab w:val="decimal" w:pos="288"/>
              </w:tabs>
              <w:spacing w:line="200" w:lineRule="auto"/>
              <w:jc w:val="center"/>
              <w:rPr>
                <w:sz w:val="20"/>
                <w:szCs w:val="20"/>
              </w:rPr>
            </w:pPr>
            <w:r w:rsidRPr="00F5353D">
              <w:rPr>
                <w:color w:val="000000"/>
                <w:sz w:val="20"/>
                <w:szCs w:val="20"/>
              </w:rPr>
              <w:t>-0.17</w:t>
            </w:r>
          </w:p>
        </w:tc>
        <w:tc>
          <w:tcPr>
            <w:tcW w:w="200" w:type="pct"/>
            <w:tcBorders>
              <w:top w:val="single" w:sz="8" w:space="0" w:color="auto"/>
              <w:bottom w:val="single" w:sz="8" w:space="0" w:color="auto"/>
            </w:tcBorders>
            <w:tcMar>
              <w:top w:w="8" w:type="dxa"/>
              <w:left w:w="28" w:type="dxa"/>
              <w:bottom w:w="8" w:type="dxa"/>
              <w:right w:w="28" w:type="dxa"/>
            </w:tcMar>
            <w:vAlign w:val="bottom"/>
          </w:tcPr>
          <w:p w14:paraId="4D48FB94" w14:textId="7EB9275D" w:rsidR="003D0A0E" w:rsidRPr="00F5353D" w:rsidRDefault="003D0A0E" w:rsidP="003D0A0E">
            <w:pPr>
              <w:tabs>
                <w:tab w:val="decimal" w:pos="288"/>
              </w:tabs>
              <w:spacing w:line="200" w:lineRule="auto"/>
              <w:jc w:val="center"/>
              <w:rPr>
                <w:sz w:val="20"/>
                <w:szCs w:val="20"/>
              </w:rPr>
            </w:pPr>
            <w:r w:rsidRPr="00F5353D">
              <w:rPr>
                <w:color w:val="000000"/>
                <w:sz w:val="20"/>
                <w:szCs w:val="20"/>
              </w:rPr>
              <w:t>-2.07</w:t>
            </w:r>
          </w:p>
        </w:tc>
      </w:tr>
      <w:tr w:rsidR="003D0A0E" w:rsidRPr="00F5353D" w14:paraId="27A1F55D" w14:textId="77777777" w:rsidTr="008C7AA0">
        <w:trPr>
          <w:cantSplit/>
          <w:trHeight w:val="187"/>
        </w:trPr>
        <w:tc>
          <w:tcPr>
            <w:tcW w:w="862" w:type="pct"/>
            <w:vMerge w:val="restart"/>
            <w:tcBorders>
              <w:top w:val="single" w:sz="8" w:space="0" w:color="auto"/>
              <w:right w:val="single" w:sz="8" w:space="0" w:color="auto"/>
            </w:tcBorders>
            <w:tcMar>
              <w:top w:w="8" w:type="dxa"/>
              <w:left w:w="28" w:type="dxa"/>
              <w:bottom w:w="8" w:type="dxa"/>
              <w:right w:w="28" w:type="dxa"/>
            </w:tcMar>
            <w:vAlign w:val="center"/>
          </w:tcPr>
          <w:p w14:paraId="7D83D57D" w14:textId="77777777" w:rsidR="003D0A0E" w:rsidRPr="00F5353D" w:rsidRDefault="003D0A0E" w:rsidP="003D0A0E">
            <w:pPr>
              <w:spacing w:line="200" w:lineRule="auto"/>
              <w:rPr>
                <w:sz w:val="20"/>
                <w:szCs w:val="20"/>
              </w:rPr>
            </w:pPr>
            <w:r w:rsidRPr="00F5353D">
              <w:rPr>
                <w:sz w:val="20"/>
                <w:szCs w:val="20"/>
              </w:rPr>
              <w:t>Age (18 to 24 years)</w:t>
            </w:r>
          </w:p>
        </w:tc>
        <w:tc>
          <w:tcPr>
            <w:tcW w:w="737" w:type="pct"/>
            <w:tcBorders>
              <w:top w:val="single" w:sz="8" w:space="0" w:color="auto"/>
              <w:left w:val="single" w:sz="8" w:space="0" w:color="auto"/>
              <w:right w:val="single" w:sz="18" w:space="0" w:color="auto"/>
            </w:tcBorders>
            <w:tcMar>
              <w:top w:w="8" w:type="dxa"/>
              <w:left w:w="28" w:type="dxa"/>
              <w:bottom w:w="8" w:type="dxa"/>
              <w:right w:w="28" w:type="dxa"/>
            </w:tcMar>
            <w:vAlign w:val="center"/>
          </w:tcPr>
          <w:p w14:paraId="45A20B4E" w14:textId="77777777" w:rsidR="003D0A0E" w:rsidRPr="00F5353D" w:rsidRDefault="003D0A0E" w:rsidP="003D0A0E">
            <w:pPr>
              <w:spacing w:line="200" w:lineRule="auto"/>
              <w:rPr>
                <w:sz w:val="20"/>
                <w:szCs w:val="20"/>
              </w:rPr>
            </w:pPr>
            <w:r w:rsidRPr="00F5353D">
              <w:rPr>
                <w:sz w:val="20"/>
                <w:szCs w:val="20"/>
              </w:rPr>
              <w:t>25 to 44 years</w:t>
            </w:r>
          </w:p>
        </w:tc>
        <w:tc>
          <w:tcPr>
            <w:tcW w:w="209" w:type="pct"/>
            <w:tcBorders>
              <w:top w:val="single" w:sz="8" w:space="0" w:color="auto"/>
              <w:left w:val="single" w:sz="18" w:space="0" w:color="auto"/>
            </w:tcBorders>
            <w:tcMar>
              <w:top w:w="8" w:type="dxa"/>
              <w:left w:w="28" w:type="dxa"/>
              <w:bottom w:w="8" w:type="dxa"/>
              <w:right w:w="28" w:type="dxa"/>
            </w:tcMar>
            <w:vAlign w:val="center"/>
          </w:tcPr>
          <w:p w14:paraId="74988294" w14:textId="270D890F"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gridSpan w:val="2"/>
            <w:tcBorders>
              <w:top w:val="single" w:sz="8" w:space="0" w:color="auto"/>
              <w:right w:val="single" w:sz="18" w:space="0" w:color="auto"/>
            </w:tcBorders>
            <w:tcMar>
              <w:top w:w="8" w:type="dxa"/>
              <w:left w:w="28" w:type="dxa"/>
              <w:bottom w:w="8" w:type="dxa"/>
              <w:right w:w="28" w:type="dxa"/>
            </w:tcMar>
            <w:vAlign w:val="center"/>
          </w:tcPr>
          <w:p w14:paraId="19D66067" w14:textId="4D4FCFAD"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4" w:type="pct"/>
            <w:tcBorders>
              <w:top w:val="single" w:sz="8" w:space="0" w:color="auto"/>
              <w:left w:val="single" w:sz="18" w:space="0" w:color="auto"/>
            </w:tcBorders>
            <w:tcMar>
              <w:top w:w="8" w:type="dxa"/>
              <w:left w:w="28" w:type="dxa"/>
              <w:bottom w:w="8" w:type="dxa"/>
              <w:right w:w="28" w:type="dxa"/>
            </w:tcMar>
            <w:vAlign w:val="center"/>
          </w:tcPr>
          <w:p w14:paraId="503D13FA" w14:textId="630F7C4C"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right w:val="single" w:sz="8" w:space="0" w:color="auto"/>
            </w:tcBorders>
            <w:tcMar>
              <w:top w:w="8" w:type="dxa"/>
              <w:left w:w="28" w:type="dxa"/>
              <w:bottom w:w="8" w:type="dxa"/>
              <w:right w:w="28" w:type="dxa"/>
            </w:tcMar>
            <w:vAlign w:val="center"/>
          </w:tcPr>
          <w:p w14:paraId="52343F60" w14:textId="64205895"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left w:val="single" w:sz="8" w:space="0" w:color="auto"/>
            </w:tcBorders>
            <w:tcMar>
              <w:top w:w="8" w:type="dxa"/>
              <w:left w:w="28" w:type="dxa"/>
              <w:bottom w:w="8" w:type="dxa"/>
              <w:right w:w="28" w:type="dxa"/>
            </w:tcMar>
            <w:vAlign w:val="center"/>
          </w:tcPr>
          <w:p w14:paraId="397032BF" w14:textId="72315781"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14" w:type="pct"/>
            <w:gridSpan w:val="2"/>
            <w:tcBorders>
              <w:top w:val="single" w:sz="8" w:space="0" w:color="auto"/>
              <w:right w:val="single" w:sz="18" w:space="0" w:color="auto"/>
            </w:tcBorders>
            <w:tcMar>
              <w:top w:w="8" w:type="dxa"/>
              <w:left w:w="28" w:type="dxa"/>
              <w:bottom w:w="8" w:type="dxa"/>
              <w:right w:w="28" w:type="dxa"/>
            </w:tcMar>
            <w:vAlign w:val="center"/>
          </w:tcPr>
          <w:p w14:paraId="2057A04E" w14:textId="69F6E580"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4" w:type="pct"/>
            <w:tcBorders>
              <w:top w:val="single" w:sz="8" w:space="0" w:color="auto"/>
              <w:left w:val="single" w:sz="18" w:space="0" w:color="auto"/>
            </w:tcBorders>
            <w:tcMar>
              <w:top w:w="8" w:type="dxa"/>
              <w:left w:w="28" w:type="dxa"/>
              <w:bottom w:w="8" w:type="dxa"/>
              <w:right w:w="28" w:type="dxa"/>
            </w:tcMar>
            <w:vAlign w:val="center"/>
          </w:tcPr>
          <w:p w14:paraId="5CAD9EC9" w14:textId="17E066EC"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right w:val="single" w:sz="8" w:space="0" w:color="auto"/>
            </w:tcBorders>
            <w:tcMar>
              <w:top w:w="8" w:type="dxa"/>
              <w:left w:w="28" w:type="dxa"/>
              <w:bottom w:w="8" w:type="dxa"/>
              <w:right w:w="28" w:type="dxa"/>
            </w:tcMar>
            <w:vAlign w:val="center"/>
          </w:tcPr>
          <w:p w14:paraId="0BB165AE" w14:textId="16D91732"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left w:val="single" w:sz="8" w:space="0" w:color="auto"/>
            </w:tcBorders>
            <w:tcMar>
              <w:top w:w="8" w:type="dxa"/>
              <w:left w:w="28" w:type="dxa"/>
              <w:bottom w:w="8" w:type="dxa"/>
              <w:right w:w="28" w:type="dxa"/>
            </w:tcMar>
            <w:vAlign w:val="center"/>
          </w:tcPr>
          <w:p w14:paraId="2F9683D4" w14:textId="4CABCAC8"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5" w:type="pct"/>
            <w:tcBorders>
              <w:top w:val="single" w:sz="8" w:space="0" w:color="auto"/>
              <w:right w:val="single" w:sz="18" w:space="0" w:color="auto"/>
            </w:tcBorders>
            <w:tcMar>
              <w:top w:w="8" w:type="dxa"/>
              <w:left w:w="28" w:type="dxa"/>
              <w:bottom w:w="8" w:type="dxa"/>
              <w:right w:w="28" w:type="dxa"/>
            </w:tcMar>
            <w:vAlign w:val="center"/>
          </w:tcPr>
          <w:p w14:paraId="3C4C17A9" w14:textId="758F389D"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left w:val="single" w:sz="18" w:space="0" w:color="auto"/>
            </w:tcBorders>
            <w:tcMar>
              <w:top w:w="8" w:type="dxa"/>
              <w:left w:w="28" w:type="dxa"/>
              <w:bottom w:w="8" w:type="dxa"/>
              <w:right w:w="28" w:type="dxa"/>
            </w:tcMar>
            <w:vAlign w:val="center"/>
          </w:tcPr>
          <w:p w14:paraId="4E347859" w14:textId="0CAF44FF"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6" w:type="pct"/>
            <w:tcBorders>
              <w:top w:val="single" w:sz="8" w:space="0" w:color="auto"/>
              <w:right w:val="single" w:sz="18" w:space="0" w:color="auto"/>
            </w:tcBorders>
            <w:tcMar>
              <w:top w:w="8" w:type="dxa"/>
              <w:left w:w="28" w:type="dxa"/>
              <w:bottom w:w="8" w:type="dxa"/>
              <w:right w:w="28" w:type="dxa"/>
            </w:tcMar>
            <w:vAlign w:val="center"/>
          </w:tcPr>
          <w:p w14:paraId="4DF9D2E3" w14:textId="3AF6B305"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left w:val="single" w:sz="18" w:space="0" w:color="auto"/>
            </w:tcBorders>
            <w:tcMar>
              <w:top w:w="8" w:type="dxa"/>
              <w:left w:w="28" w:type="dxa"/>
              <w:bottom w:w="8" w:type="dxa"/>
              <w:right w:w="28" w:type="dxa"/>
            </w:tcMar>
            <w:vAlign w:val="center"/>
          </w:tcPr>
          <w:p w14:paraId="041C1F2B" w14:textId="3707B0F4"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right w:val="single" w:sz="8" w:space="0" w:color="auto"/>
            </w:tcBorders>
            <w:tcMar>
              <w:top w:w="8" w:type="dxa"/>
              <w:left w:w="28" w:type="dxa"/>
              <w:bottom w:w="8" w:type="dxa"/>
              <w:right w:w="28" w:type="dxa"/>
            </w:tcMar>
            <w:vAlign w:val="center"/>
          </w:tcPr>
          <w:p w14:paraId="45E459C9" w14:textId="3D1C5071"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7" w:type="pct"/>
            <w:gridSpan w:val="2"/>
            <w:tcBorders>
              <w:top w:val="single" w:sz="8" w:space="0" w:color="auto"/>
              <w:left w:val="single" w:sz="8" w:space="0" w:color="auto"/>
            </w:tcBorders>
            <w:tcMar>
              <w:top w:w="8" w:type="dxa"/>
              <w:left w:w="28" w:type="dxa"/>
              <w:bottom w:w="8" w:type="dxa"/>
              <w:right w:w="28" w:type="dxa"/>
            </w:tcMar>
            <w:vAlign w:val="bottom"/>
          </w:tcPr>
          <w:p w14:paraId="64555174" w14:textId="0A7D1128" w:rsidR="003D0A0E" w:rsidRPr="00F5353D" w:rsidRDefault="003D0A0E" w:rsidP="003D0A0E">
            <w:pPr>
              <w:tabs>
                <w:tab w:val="decimal" w:pos="288"/>
              </w:tabs>
              <w:spacing w:line="200" w:lineRule="auto"/>
              <w:jc w:val="center"/>
              <w:rPr>
                <w:sz w:val="20"/>
                <w:szCs w:val="20"/>
              </w:rPr>
            </w:pPr>
            <w:r w:rsidRPr="00F5353D">
              <w:rPr>
                <w:color w:val="000000"/>
                <w:sz w:val="20"/>
                <w:szCs w:val="20"/>
              </w:rPr>
              <w:t>-0.24</w:t>
            </w:r>
          </w:p>
        </w:tc>
        <w:tc>
          <w:tcPr>
            <w:tcW w:w="200" w:type="pct"/>
            <w:tcBorders>
              <w:top w:val="single" w:sz="8" w:space="0" w:color="auto"/>
            </w:tcBorders>
            <w:tcMar>
              <w:top w:w="8" w:type="dxa"/>
              <w:left w:w="28" w:type="dxa"/>
              <w:bottom w:w="8" w:type="dxa"/>
              <w:right w:w="28" w:type="dxa"/>
            </w:tcMar>
            <w:vAlign w:val="bottom"/>
          </w:tcPr>
          <w:p w14:paraId="3822BC63" w14:textId="7B07E8D2" w:rsidR="003D0A0E" w:rsidRPr="00F5353D" w:rsidRDefault="003D0A0E" w:rsidP="003D0A0E">
            <w:pPr>
              <w:tabs>
                <w:tab w:val="decimal" w:pos="288"/>
              </w:tabs>
              <w:spacing w:line="200" w:lineRule="auto"/>
              <w:jc w:val="center"/>
              <w:rPr>
                <w:sz w:val="20"/>
                <w:szCs w:val="20"/>
              </w:rPr>
            </w:pPr>
            <w:r w:rsidRPr="00F5353D">
              <w:rPr>
                <w:color w:val="000000"/>
                <w:sz w:val="20"/>
                <w:szCs w:val="20"/>
              </w:rPr>
              <w:t>-2.64</w:t>
            </w:r>
          </w:p>
        </w:tc>
      </w:tr>
      <w:tr w:rsidR="003D0A0E" w:rsidRPr="00F5353D" w14:paraId="56F4E441" w14:textId="77777777" w:rsidTr="005D6432">
        <w:trPr>
          <w:cantSplit/>
          <w:trHeight w:val="216"/>
        </w:trPr>
        <w:tc>
          <w:tcPr>
            <w:tcW w:w="862" w:type="pct"/>
            <w:vMerge/>
            <w:tcBorders>
              <w:right w:val="single" w:sz="8" w:space="0" w:color="auto"/>
            </w:tcBorders>
            <w:tcMar>
              <w:top w:w="8" w:type="dxa"/>
              <w:left w:w="28" w:type="dxa"/>
              <w:bottom w:w="8" w:type="dxa"/>
              <w:right w:w="28" w:type="dxa"/>
            </w:tcMar>
            <w:vAlign w:val="center"/>
          </w:tcPr>
          <w:p w14:paraId="0B4EAAA2" w14:textId="77777777" w:rsidR="003D0A0E" w:rsidRPr="00F5353D" w:rsidRDefault="003D0A0E" w:rsidP="003D0A0E">
            <w:pPr>
              <w:spacing w:line="200" w:lineRule="auto"/>
              <w:rPr>
                <w:sz w:val="20"/>
                <w:szCs w:val="20"/>
              </w:rPr>
            </w:pPr>
          </w:p>
        </w:tc>
        <w:tc>
          <w:tcPr>
            <w:tcW w:w="737" w:type="pct"/>
            <w:tcBorders>
              <w:left w:val="single" w:sz="8" w:space="0" w:color="auto"/>
              <w:right w:val="single" w:sz="18" w:space="0" w:color="auto"/>
            </w:tcBorders>
            <w:tcMar>
              <w:top w:w="8" w:type="dxa"/>
              <w:left w:w="28" w:type="dxa"/>
              <w:bottom w:w="8" w:type="dxa"/>
              <w:right w:w="28" w:type="dxa"/>
            </w:tcMar>
            <w:vAlign w:val="center"/>
          </w:tcPr>
          <w:p w14:paraId="63F4C504" w14:textId="77777777" w:rsidR="003D0A0E" w:rsidRPr="00F5353D" w:rsidRDefault="003D0A0E" w:rsidP="003D0A0E">
            <w:pPr>
              <w:spacing w:line="200" w:lineRule="auto"/>
              <w:rPr>
                <w:sz w:val="20"/>
                <w:szCs w:val="20"/>
              </w:rPr>
            </w:pPr>
            <w:r w:rsidRPr="00F5353D">
              <w:rPr>
                <w:sz w:val="20"/>
                <w:szCs w:val="20"/>
              </w:rPr>
              <w:t>45 to 64 years</w:t>
            </w:r>
          </w:p>
        </w:tc>
        <w:tc>
          <w:tcPr>
            <w:tcW w:w="209" w:type="pct"/>
            <w:tcBorders>
              <w:left w:val="single" w:sz="18" w:space="0" w:color="auto"/>
            </w:tcBorders>
            <w:tcMar>
              <w:top w:w="8" w:type="dxa"/>
              <w:left w:w="28" w:type="dxa"/>
              <w:bottom w:w="8" w:type="dxa"/>
              <w:right w:w="28" w:type="dxa"/>
            </w:tcMar>
            <w:vAlign w:val="bottom"/>
          </w:tcPr>
          <w:p w14:paraId="40372530" w14:textId="50070D88" w:rsidR="003D0A0E" w:rsidRPr="00F5353D" w:rsidRDefault="003D0A0E" w:rsidP="003D0A0E">
            <w:pPr>
              <w:tabs>
                <w:tab w:val="decimal" w:pos="288"/>
              </w:tabs>
              <w:spacing w:line="200" w:lineRule="auto"/>
              <w:jc w:val="center"/>
              <w:rPr>
                <w:sz w:val="20"/>
                <w:szCs w:val="20"/>
              </w:rPr>
            </w:pPr>
            <w:r w:rsidRPr="00F5353D">
              <w:rPr>
                <w:color w:val="000000"/>
                <w:sz w:val="20"/>
                <w:szCs w:val="20"/>
              </w:rPr>
              <w:t>0.37</w:t>
            </w:r>
          </w:p>
        </w:tc>
        <w:tc>
          <w:tcPr>
            <w:tcW w:w="209" w:type="pct"/>
            <w:gridSpan w:val="2"/>
            <w:tcBorders>
              <w:right w:val="single" w:sz="18" w:space="0" w:color="auto"/>
            </w:tcBorders>
            <w:tcMar>
              <w:top w:w="8" w:type="dxa"/>
              <w:left w:w="28" w:type="dxa"/>
              <w:bottom w:w="8" w:type="dxa"/>
              <w:right w:w="28" w:type="dxa"/>
            </w:tcMar>
            <w:vAlign w:val="bottom"/>
          </w:tcPr>
          <w:p w14:paraId="1E9A6A25" w14:textId="399EFCDD" w:rsidR="003D0A0E" w:rsidRPr="00F5353D" w:rsidRDefault="003D0A0E" w:rsidP="003D0A0E">
            <w:pPr>
              <w:tabs>
                <w:tab w:val="decimal" w:pos="288"/>
              </w:tabs>
              <w:spacing w:line="200" w:lineRule="auto"/>
              <w:jc w:val="center"/>
              <w:rPr>
                <w:sz w:val="20"/>
                <w:szCs w:val="20"/>
              </w:rPr>
            </w:pPr>
            <w:r w:rsidRPr="00F5353D">
              <w:rPr>
                <w:color w:val="000000"/>
                <w:sz w:val="20"/>
                <w:szCs w:val="20"/>
              </w:rPr>
              <w:t>7.73</w:t>
            </w:r>
          </w:p>
        </w:tc>
        <w:tc>
          <w:tcPr>
            <w:tcW w:w="204" w:type="pct"/>
            <w:tcBorders>
              <w:left w:val="single" w:sz="18" w:space="0" w:color="auto"/>
            </w:tcBorders>
            <w:tcMar>
              <w:top w:w="8" w:type="dxa"/>
              <w:left w:w="28" w:type="dxa"/>
              <w:bottom w:w="8" w:type="dxa"/>
              <w:right w:w="28" w:type="dxa"/>
            </w:tcMar>
            <w:vAlign w:val="center"/>
          </w:tcPr>
          <w:p w14:paraId="24E6E0C3" w14:textId="47F33853"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48497214" w14:textId="58C4AD14"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8" w:space="0" w:color="auto"/>
            </w:tcBorders>
            <w:tcMar>
              <w:top w:w="8" w:type="dxa"/>
              <w:left w:w="28" w:type="dxa"/>
              <w:bottom w:w="8" w:type="dxa"/>
              <w:right w:w="28" w:type="dxa"/>
            </w:tcMar>
            <w:vAlign w:val="center"/>
          </w:tcPr>
          <w:p w14:paraId="44AA4FEB" w14:textId="3FCF403C"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14" w:type="pct"/>
            <w:gridSpan w:val="2"/>
            <w:tcBorders>
              <w:right w:val="single" w:sz="18" w:space="0" w:color="auto"/>
            </w:tcBorders>
            <w:tcMar>
              <w:top w:w="8" w:type="dxa"/>
              <w:left w:w="28" w:type="dxa"/>
              <w:bottom w:w="8" w:type="dxa"/>
              <w:right w:w="28" w:type="dxa"/>
            </w:tcMar>
            <w:vAlign w:val="center"/>
          </w:tcPr>
          <w:p w14:paraId="54C8BE5D" w14:textId="0CE00462"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4" w:type="pct"/>
            <w:tcBorders>
              <w:left w:val="single" w:sz="18" w:space="0" w:color="auto"/>
            </w:tcBorders>
            <w:tcMar>
              <w:top w:w="8" w:type="dxa"/>
              <w:left w:w="28" w:type="dxa"/>
              <w:bottom w:w="8" w:type="dxa"/>
              <w:right w:w="28" w:type="dxa"/>
            </w:tcMar>
            <w:vAlign w:val="bottom"/>
          </w:tcPr>
          <w:p w14:paraId="343BE761" w14:textId="11D5CF1C" w:rsidR="003D0A0E" w:rsidRPr="00F5353D" w:rsidRDefault="003D0A0E" w:rsidP="003D0A0E">
            <w:pPr>
              <w:tabs>
                <w:tab w:val="decimal" w:pos="288"/>
              </w:tabs>
              <w:spacing w:line="200" w:lineRule="auto"/>
              <w:jc w:val="center"/>
              <w:rPr>
                <w:sz w:val="20"/>
                <w:szCs w:val="20"/>
              </w:rPr>
            </w:pPr>
            <w:r w:rsidRPr="00F5353D">
              <w:rPr>
                <w:color w:val="000000"/>
                <w:sz w:val="20"/>
                <w:szCs w:val="20"/>
              </w:rPr>
              <w:t>-0.11</w:t>
            </w:r>
          </w:p>
        </w:tc>
        <w:tc>
          <w:tcPr>
            <w:tcW w:w="209" w:type="pct"/>
            <w:tcBorders>
              <w:right w:val="single" w:sz="8" w:space="0" w:color="auto"/>
            </w:tcBorders>
            <w:tcMar>
              <w:top w:w="8" w:type="dxa"/>
              <w:left w:w="28" w:type="dxa"/>
              <w:bottom w:w="8" w:type="dxa"/>
              <w:right w:w="28" w:type="dxa"/>
            </w:tcMar>
            <w:vAlign w:val="bottom"/>
          </w:tcPr>
          <w:p w14:paraId="792835CC" w14:textId="52771A5F" w:rsidR="003D0A0E" w:rsidRPr="00F5353D" w:rsidRDefault="003D0A0E" w:rsidP="003D0A0E">
            <w:pPr>
              <w:tabs>
                <w:tab w:val="decimal" w:pos="288"/>
              </w:tabs>
              <w:spacing w:line="200" w:lineRule="auto"/>
              <w:jc w:val="center"/>
              <w:rPr>
                <w:sz w:val="20"/>
                <w:szCs w:val="20"/>
              </w:rPr>
            </w:pPr>
            <w:r w:rsidRPr="00F5353D">
              <w:rPr>
                <w:color w:val="000000"/>
                <w:sz w:val="20"/>
                <w:szCs w:val="20"/>
              </w:rPr>
              <w:t>-1.44</w:t>
            </w:r>
          </w:p>
        </w:tc>
        <w:tc>
          <w:tcPr>
            <w:tcW w:w="209" w:type="pct"/>
            <w:tcBorders>
              <w:left w:val="single" w:sz="8" w:space="0" w:color="auto"/>
            </w:tcBorders>
            <w:tcMar>
              <w:top w:w="8" w:type="dxa"/>
              <w:left w:w="28" w:type="dxa"/>
              <w:bottom w:w="8" w:type="dxa"/>
              <w:right w:w="28" w:type="dxa"/>
            </w:tcMar>
            <w:vAlign w:val="center"/>
          </w:tcPr>
          <w:p w14:paraId="16A4D0D8" w14:textId="127BD6B3"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5" w:type="pct"/>
            <w:tcBorders>
              <w:right w:val="single" w:sz="18" w:space="0" w:color="auto"/>
            </w:tcBorders>
            <w:tcMar>
              <w:top w:w="8" w:type="dxa"/>
              <w:left w:w="28" w:type="dxa"/>
              <w:bottom w:w="8" w:type="dxa"/>
              <w:right w:w="28" w:type="dxa"/>
            </w:tcMar>
            <w:vAlign w:val="center"/>
          </w:tcPr>
          <w:p w14:paraId="4BEC9A27" w14:textId="33E847A7"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18" w:space="0" w:color="auto"/>
            </w:tcBorders>
            <w:tcMar>
              <w:top w:w="8" w:type="dxa"/>
              <w:left w:w="28" w:type="dxa"/>
              <w:bottom w:w="8" w:type="dxa"/>
              <w:right w:w="28" w:type="dxa"/>
            </w:tcMar>
            <w:vAlign w:val="center"/>
          </w:tcPr>
          <w:p w14:paraId="4EE2A009" w14:textId="253E8C21"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6" w:type="pct"/>
            <w:tcBorders>
              <w:right w:val="single" w:sz="18" w:space="0" w:color="auto"/>
            </w:tcBorders>
            <w:tcMar>
              <w:top w:w="8" w:type="dxa"/>
              <w:left w:w="28" w:type="dxa"/>
              <w:bottom w:w="8" w:type="dxa"/>
              <w:right w:w="28" w:type="dxa"/>
            </w:tcMar>
            <w:vAlign w:val="center"/>
          </w:tcPr>
          <w:p w14:paraId="67225940" w14:textId="6B928223"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18" w:space="0" w:color="auto"/>
            </w:tcBorders>
            <w:tcMar>
              <w:top w:w="8" w:type="dxa"/>
              <w:left w:w="28" w:type="dxa"/>
              <w:bottom w:w="8" w:type="dxa"/>
              <w:right w:w="28" w:type="dxa"/>
            </w:tcMar>
            <w:vAlign w:val="center"/>
          </w:tcPr>
          <w:p w14:paraId="2BC6E03E" w14:textId="0246C3B0"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079564E5" w14:textId="6FCDF919"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7" w:type="pct"/>
            <w:gridSpan w:val="2"/>
            <w:tcBorders>
              <w:left w:val="single" w:sz="8" w:space="0" w:color="auto"/>
            </w:tcBorders>
            <w:tcMar>
              <w:top w:w="8" w:type="dxa"/>
              <w:left w:w="28" w:type="dxa"/>
              <w:bottom w:w="8" w:type="dxa"/>
              <w:right w:w="28" w:type="dxa"/>
            </w:tcMar>
            <w:vAlign w:val="bottom"/>
          </w:tcPr>
          <w:p w14:paraId="094C6BC7" w14:textId="797BB074" w:rsidR="003D0A0E" w:rsidRPr="00F5353D" w:rsidRDefault="003D0A0E" w:rsidP="003D0A0E">
            <w:pPr>
              <w:tabs>
                <w:tab w:val="decimal" w:pos="288"/>
              </w:tabs>
              <w:spacing w:line="200" w:lineRule="auto"/>
              <w:jc w:val="center"/>
              <w:rPr>
                <w:sz w:val="20"/>
                <w:szCs w:val="20"/>
              </w:rPr>
            </w:pPr>
            <w:r w:rsidRPr="00F5353D">
              <w:rPr>
                <w:color w:val="000000"/>
                <w:sz w:val="20"/>
                <w:szCs w:val="20"/>
              </w:rPr>
              <w:t>-0.24</w:t>
            </w:r>
          </w:p>
        </w:tc>
        <w:tc>
          <w:tcPr>
            <w:tcW w:w="200" w:type="pct"/>
            <w:tcMar>
              <w:top w:w="8" w:type="dxa"/>
              <w:left w:w="28" w:type="dxa"/>
              <w:bottom w:w="8" w:type="dxa"/>
              <w:right w:w="28" w:type="dxa"/>
            </w:tcMar>
            <w:vAlign w:val="bottom"/>
          </w:tcPr>
          <w:p w14:paraId="53CF68D0" w14:textId="192D4F33" w:rsidR="003D0A0E" w:rsidRPr="00F5353D" w:rsidRDefault="003D0A0E" w:rsidP="003D0A0E">
            <w:pPr>
              <w:tabs>
                <w:tab w:val="decimal" w:pos="288"/>
              </w:tabs>
              <w:spacing w:line="200" w:lineRule="auto"/>
              <w:jc w:val="center"/>
              <w:rPr>
                <w:sz w:val="20"/>
                <w:szCs w:val="20"/>
              </w:rPr>
            </w:pPr>
            <w:r w:rsidRPr="00F5353D">
              <w:rPr>
                <w:color w:val="000000"/>
                <w:sz w:val="20"/>
                <w:szCs w:val="20"/>
              </w:rPr>
              <w:t>-2.64</w:t>
            </w:r>
          </w:p>
        </w:tc>
      </w:tr>
      <w:tr w:rsidR="003D0A0E" w:rsidRPr="00F5353D" w14:paraId="1F1340A1" w14:textId="77777777" w:rsidTr="005D6432">
        <w:trPr>
          <w:cantSplit/>
          <w:trHeight w:val="187"/>
        </w:trPr>
        <w:tc>
          <w:tcPr>
            <w:tcW w:w="862" w:type="pct"/>
            <w:vMerge/>
            <w:tcBorders>
              <w:right w:val="single" w:sz="8" w:space="0" w:color="auto"/>
            </w:tcBorders>
            <w:tcMar>
              <w:top w:w="8" w:type="dxa"/>
              <w:left w:w="28" w:type="dxa"/>
              <w:bottom w:w="8" w:type="dxa"/>
              <w:right w:w="28" w:type="dxa"/>
            </w:tcMar>
            <w:vAlign w:val="center"/>
          </w:tcPr>
          <w:p w14:paraId="0BE572A6" w14:textId="77777777" w:rsidR="003D0A0E" w:rsidRPr="00F5353D" w:rsidRDefault="003D0A0E" w:rsidP="003D0A0E">
            <w:pPr>
              <w:spacing w:line="200" w:lineRule="auto"/>
              <w:rPr>
                <w:sz w:val="20"/>
                <w:szCs w:val="20"/>
              </w:rPr>
            </w:pPr>
          </w:p>
        </w:tc>
        <w:tc>
          <w:tcPr>
            <w:tcW w:w="737" w:type="pct"/>
            <w:tcBorders>
              <w:left w:val="single" w:sz="8" w:space="0" w:color="auto"/>
              <w:right w:val="single" w:sz="18" w:space="0" w:color="auto"/>
            </w:tcBorders>
            <w:tcMar>
              <w:top w:w="8" w:type="dxa"/>
              <w:left w:w="28" w:type="dxa"/>
              <w:bottom w:w="8" w:type="dxa"/>
              <w:right w:w="28" w:type="dxa"/>
            </w:tcMar>
            <w:vAlign w:val="center"/>
          </w:tcPr>
          <w:p w14:paraId="7C6C0665" w14:textId="77777777" w:rsidR="003D0A0E" w:rsidRPr="00F5353D" w:rsidRDefault="003D0A0E" w:rsidP="003D0A0E">
            <w:pPr>
              <w:spacing w:line="200" w:lineRule="auto"/>
              <w:rPr>
                <w:sz w:val="20"/>
                <w:szCs w:val="20"/>
              </w:rPr>
            </w:pPr>
            <w:r w:rsidRPr="00F5353D">
              <w:rPr>
                <w:sz w:val="20"/>
                <w:szCs w:val="20"/>
              </w:rPr>
              <w:t>65 to 74 years</w:t>
            </w:r>
          </w:p>
        </w:tc>
        <w:tc>
          <w:tcPr>
            <w:tcW w:w="209" w:type="pct"/>
            <w:tcBorders>
              <w:left w:val="single" w:sz="18" w:space="0" w:color="auto"/>
            </w:tcBorders>
            <w:tcMar>
              <w:top w:w="8" w:type="dxa"/>
              <w:left w:w="28" w:type="dxa"/>
              <w:bottom w:w="8" w:type="dxa"/>
              <w:right w:w="28" w:type="dxa"/>
            </w:tcMar>
            <w:vAlign w:val="bottom"/>
          </w:tcPr>
          <w:p w14:paraId="573E4474" w14:textId="235777B0" w:rsidR="003D0A0E" w:rsidRPr="00F5353D" w:rsidRDefault="003D0A0E" w:rsidP="003D0A0E">
            <w:pPr>
              <w:tabs>
                <w:tab w:val="decimal" w:pos="288"/>
              </w:tabs>
              <w:spacing w:line="200" w:lineRule="auto"/>
              <w:jc w:val="center"/>
              <w:rPr>
                <w:sz w:val="20"/>
                <w:szCs w:val="20"/>
              </w:rPr>
            </w:pPr>
            <w:r w:rsidRPr="00F5353D">
              <w:rPr>
                <w:color w:val="000000"/>
                <w:sz w:val="20"/>
                <w:szCs w:val="20"/>
              </w:rPr>
              <w:t>0.57</w:t>
            </w:r>
          </w:p>
        </w:tc>
        <w:tc>
          <w:tcPr>
            <w:tcW w:w="209" w:type="pct"/>
            <w:gridSpan w:val="2"/>
            <w:tcBorders>
              <w:right w:val="single" w:sz="18" w:space="0" w:color="auto"/>
            </w:tcBorders>
            <w:tcMar>
              <w:top w:w="8" w:type="dxa"/>
              <w:left w:w="28" w:type="dxa"/>
              <w:bottom w:w="8" w:type="dxa"/>
              <w:right w:w="28" w:type="dxa"/>
            </w:tcMar>
            <w:vAlign w:val="bottom"/>
          </w:tcPr>
          <w:p w14:paraId="0AD50869" w14:textId="6D9766C3" w:rsidR="003D0A0E" w:rsidRPr="00F5353D" w:rsidRDefault="003D0A0E" w:rsidP="003D0A0E">
            <w:pPr>
              <w:tabs>
                <w:tab w:val="decimal" w:pos="288"/>
              </w:tabs>
              <w:spacing w:line="200" w:lineRule="auto"/>
              <w:jc w:val="center"/>
              <w:rPr>
                <w:sz w:val="20"/>
                <w:szCs w:val="20"/>
              </w:rPr>
            </w:pPr>
            <w:r w:rsidRPr="00F5353D">
              <w:rPr>
                <w:color w:val="000000"/>
                <w:sz w:val="20"/>
                <w:szCs w:val="20"/>
              </w:rPr>
              <w:t>10.01</w:t>
            </w:r>
          </w:p>
        </w:tc>
        <w:tc>
          <w:tcPr>
            <w:tcW w:w="204" w:type="pct"/>
            <w:tcBorders>
              <w:left w:val="single" w:sz="18" w:space="0" w:color="auto"/>
            </w:tcBorders>
            <w:tcMar>
              <w:top w:w="8" w:type="dxa"/>
              <w:left w:w="28" w:type="dxa"/>
              <w:bottom w:w="8" w:type="dxa"/>
              <w:right w:w="28" w:type="dxa"/>
            </w:tcMar>
            <w:vAlign w:val="center"/>
          </w:tcPr>
          <w:p w14:paraId="29B057B2" w14:textId="0C30CBCF"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6D21204D" w14:textId="47077B1F"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8" w:space="0" w:color="auto"/>
            </w:tcBorders>
            <w:tcMar>
              <w:top w:w="8" w:type="dxa"/>
              <w:left w:w="28" w:type="dxa"/>
              <w:bottom w:w="8" w:type="dxa"/>
              <w:right w:w="28" w:type="dxa"/>
            </w:tcMar>
            <w:vAlign w:val="center"/>
          </w:tcPr>
          <w:p w14:paraId="2AE1259B" w14:textId="0914DB21"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14" w:type="pct"/>
            <w:gridSpan w:val="2"/>
            <w:tcBorders>
              <w:right w:val="single" w:sz="18" w:space="0" w:color="auto"/>
            </w:tcBorders>
            <w:tcMar>
              <w:top w:w="8" w:type="dxa"/>
              <w:left w:w="28" w:type="dxa"/>
              <w:bottom w:w="8" w:type="dxa"/>
              <w:right w:w="28" w:type="dxa"/>
            </w:tcMar>
            <w:vAlign w:val="center"/>
          </w:tcPr>
          <w:p w14:paraId="1A6C7A10" w14:textId="002724F5"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4" w:type="pct"/>
            <w:tcBorders>
              <w:left w:val="single" w:sz="18" w:space="0" w:color="auto"/>
            </w:tcBorders>
            <w:tcMar>
              <w:top w:w="8" w:type="dxa"/>
              <w:left w:w="28" w:type="dxa"/>
              <w:bottom w:w="8" w:type="dxa"/>
              <w:right w:w="28" w:type="dxa"/>
            </w:tcMar>
            <w:vAlign w:val="center"/>
          </w:tcPr>
          <w:p w14:paraId="4E93679E" w14:textId="357E3A70"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07FAEDE5" w14:textId="4694BC8B"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8" w:space="0" w:color="auto"/>
            </w:tcBorders>
            <w:tcMar>
              <w:top w:w="8" w:type="dxa"/>
              <w:left w:w="28" w:type="dxa"/>
              <w:bottom w:w="8" w:type="dxa"/>
              <w:right w:w="28" w:type="dxa"/>
            </w:tcMar>
            <w:vAlign w:val="center"/>
          </w:tcPr>
          <w:p w14:paraId="40852755" w14:textId="7111951A"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5" w:type="pct"/>
            <w:tcBorders>
              <w:right w:val="single" w:sz="18" w:space="0" w:color="auto"/>
            </w:tcBorders>
            <w:tcMar>
              <w:top w:w="8" w:type="dxa"/>
              <w:left w:w="28" w:type="dxa"/>
              <w:bottom w:w="8" w:type="dxa"/>
              <w:right w:w="28" w:type="dxa"/>
            </w:tcMar>
            <w:vAlign w:val="center"/>
          </w:tcPr>
          <w:p w14:paraId="4F42CA1C" w14:textId="4A91F291"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18" w:space="0" w:color="auto"/>
            </w:tcBorders>
            <w:tcMar>
              <w:top w:w="8" w:type="dxa"/>
              <w:left w:w="28" w:type="dxa"/>
              <w:bottom w:w="8" w:type="dxa"/>
              <w:right w:w="28" w:type="dxa"/>
            </w:tcMar>
            <w:vAlign w:val="center"/>
          </w:tcPr>
          <w:p w14:paraId="50507308" w14:textId="6E9762BC"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6" w:type="pct"/>
            <w:tcBorders>
              <w:right w:val="single" w:sz="18" w:space="0" w:color="auto"/>
            </w:tcBorders>
            <w:tcMar>
              <w:top w:w="8" w:type="dxa"/>
              <w:left w:w="28" w:type="dxa"/>
              <w:bottom w:w="8" w:type="dxa"/>
              <w:right w:w="28" w:type="dxa"/>
            </w:tcMar>
            <w:vAlign w:val="center"/>
          </w:tcPr>
          <w:p w14:paraId="3959D219" w14:textId="40B3C766"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18" w:space="0" w:color="auto"/>
            </w:tcBorders>
            <w:tcMar>
              <w:top w:w="8" w:type="dxa"/>
              <w:left w:w="28" w:type="dxa"/>
              <w:bottom w:w="8" w:type="dxa"/>
              <w:right w:w="28" w:type="dxa"/>
            </w:tcMar>
            <w:vAlign w:val="center"/>
          </w:tcPr>
          <w:p w14:paraId="45DDDAE7" w14:textId="5F60EBFB"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6B23B73E" w14:textId="2449E9F5"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7" w:type="pct"/>
            <w:gridSpan w:val="2"/>
            <w:tcBorders>
              <w:left w:val="single" w:sz="8" w:space="0" w:color="auto"/>
            </w:tcBorders>
            <w:tcMar>
              <w:top w:w="8" w:type="dxa"/>
              <w:left w:w="28" w:type="dxa"/>
              <w:bottom w:w="8" w:type="dxa"/>
              <w:right w:w="28" w:type="dxa"/>
            </w:tcMar>
            <w:vAlign w:val="center"/>
          </w:tcPr>
          <w:p w14:paraId="5439B1DE" w14:textId="673905AC"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0" w:type="pct"/>
            <w:tcMar>
              <w:top w:w="8" w:type="dxa"/>
              <w:left w:w="28" w:type="dxa"/>
              <w:bottom w:w="8" w:type="dxa"/>
              <w:right w:w="28" w:type="dxa"/>
            </w:tcMar>
            <w:vAlign w:val="center"/>
          </w:tcPr>
          <w:p w14:paraId="446984AA" w14:textId="119B77EC" w:rsidR="003D0A0E" w:rsidRPr="00F5353D" w:rsidRDefault="003D0A0E" w:rsidP="003D0A0E">
            <w:pPr>
              <w:tabs>
                <w:tab w:val="decimal" w:pos="288"/>
              </w:tabs>
              <w:spacing w:line="200" w:lineRule="auto"/>
              <w:jc w:val="center"/>
              <w:rPr>
                <w:sz w:val="20"/>
                <w:szCs w:val="20"/>
              </w:rPr>
            </w:pPr>
            <w:r w:rsidRPr="00F5353D">
              <w:rPr>
                <w:sz w:val="20"/>
                <w:szCs w:val="20"/>
              </w:rPr>
              <w:t>—</w:t>
            </w:r>
          </w:p>
        </w:tc>
      </w:tr>
      <w:tr w:rsidR="003D0A0E" w:rsidRPr="00F5353D" w14:paraId="5E5045EC" w14:textId="77777777" w:rsidTr="008C7AA0">
        <w:trPr>
          <w:cantSplit/>
          <w:trHeight w:val="187"/>
        </w:trPr>
        <w:tc>
          <w:tcPr>
            <w:tcW w:w="862" w:type="pct"/>
            <w:vMerge/>
            <w:tcBorders>
              <w:bottom w:val="single" w:sz="8" w:space="0" w:color="auto"/>
              <w:right w:val="single" w:sz="8" w:space="0" w:color="auto"/>
            </w:tcBorders>
            <w:tcMar>
              <w:top w:w="8" w:type="dxa"/>
              <w:left w:w="28" w:type="dxa"/>
              <w:bottom w:w="8" w:type="dxa"/>
              <w:right w:w="28" w:type="dxa"/>
            </w:tcMar>
            <w:vAlign w:val="center"/>
          </w:tcPr>
          <w:p w14:paraId="40A33648" w14:textId="77777777" w:rsidR="003D0A0E" w:rsidRPr="00F5353D" w:rsidRDefault="003D0A0E" w:rsidP="003D0A0E">
            <w:pPr>
              <w:spacing w:line="200" w:lineRule="auto"/>
              <w:rPr>
                <w:sz w:val="20"/>
                <w:szCs w:val="20"/>
              </w:rPr>
            </w:pPr>
          </w:p>
        </w:tc>
        <w:tc>
          <w:tcPr>
            <w:tcW w:w="737" w:type="pct"/>
            <w:tcBorders>
              <w:left w:val="single" w:sz="8" w:space="0" w:color="auto"/>
              <w:bottom w:val="single" w:sz="8" w:space="0" w:color="auto"/>
              <w:right w:val="single" w:sz="18" w:space="0" w:color="auto"/>
            </w:tcBorders>
            <w:tcMar>
              <w:top w:w="8" w:type="dxa"/>
              <w:left w:w="28" w:type="dxa"/>
              <w:bottom w:w="8" w:type="dxa"/>
              <w:right w:w="28" w:type="dxa"/>
            </w:tcMar>
            <w:vAlign w:val="center"/>
          </w:tcPr>
          <w:p w14:paraId="5066412C" w14:textId="6AE28745" w:rsidR="003D0A0E" w:rsidRPr="00F5353D" w:rsidRDefault="003D0A0E" w:rsidP="003D0A0E">
            <w:pPr>
              <w:spacing w:line="200" w:lineRule="auto"/>
              <w:rPr>
                <w:sz w:val="20"/>
                <w:szCs w:val="20"/>
              </w:rPr>
            </w:pPr>
            <w:r w:rsidRPr="00F5353D">
              <w:rPr>
                <w:sz w:val="20"/>
                <w:szCs w:val="20"/>
              </w:rPr>
              <w:t>75 years or older</w:t>
            </w:r>
          </w:p>
        </w:tc>
        <w:tc>
          <w:tcPr>
            <w:tcW w:w="209" w:type="pct"/>
            <w:tcBorders>
              <w:left w:val="single" w:sz="18" w:space="0" w:color="auto"/>
              <w:bottom w:val="single" w:sz="8" w:space="0" w:color="auto"/>
            </w:tcBorders>
            <w:tcMar>
              <w:top w:w="8" w:type="dxa"/>
              <w:left w:w="28" w:type="dxa"/>
              <w:bottom w:w="8" w:type="dxa"/>
              <w:right w:w="28" w:type="dxa"/>
            </w:tcMar>
            <w:vAlign w:val="bottom"/>
          </w:tcPr>
          <w:p w14:paraId="7DDF06BA" w14:textId="644E4026" w:rsidR="003D0A0E" w:rsidRPr="00F5353D" w:rsidRDefault="003D0A0E" w:rsidP="003D0A0E">
            <w:pPr>
              <w:tabs>
                <w:tab w:val="decimal" w:pos="288"/>
              </w:tabs>
              <w:spacing w:line="200" w:lineRule="auto"/>
              <w:jc w:val="center"/>
              <w:rPr>
                <w:sz w:val="20"/>
                <w:szCs w:val="20"/>
              </w:rPr>
            </w:pPr>
            <w:r w:rsidRPr="00F5353D">
              <w:rPr>
                <w:color w:val="000000"/>
                <w:sz w:val="20"/>
                <w:szCs w:val="20"/>
              </w:rPr>
              <w:t>0.74</w:t>
            </w:r>
          </w:p>
        </w:tc>
        <w:tc>
          <w:tcPr>
            <w:tcW w:w="209" w:type="pct"/>
            <w:gridSpan w:val="2"/>
            <w:tcBorders>
              <w:bottom w:val="single" w:sz="8" w:space="0" w:color="auto"/>
              <w:right w:val="single" w:sz="18" w:space="0" w:color="auto"/>
            </w:tcBorders>
            <w:tcMar>
              <w:top w:w="8" w:type="dxa"/>
              <w:left w:w="28" w:type="dxa"/>
              <w:bottom w:w="8" w:type="dxa"/>
              <w:right w:w="28" w:type="dxa"/>
            </w:tcMar>
            <w:vAlign w:val="bottom"/>
          </w:tcPr>
          <w:p w14:paraId="7012144A" w14:textId="28FFCEA4" w:rsidR="003D0A0E" w:rsidRPr="00F5353D" w:rsidRDefault="003D0A0E" w:rsidP="003D0A0E">
            <w:pPr>
              <w:tabs>
                <w:tab w:val="decimal" w:pos="288"/>
              </w:tabs>
              <w:spacing w:line="200" w:lineRule="auto"/>
              <w:jc w:val="center"/>
              <w:rPr>
                <w:sz w:val="20"/>
                <w:szCs w:val="20"/>
              </w:rPr>
            </w:pPr>
            <w:r w:rsidRPr="00F5353D">
              <w:rPr>
                <w:color w:val="000000"/>
                <w:sz w:val="20"/>
                <w:szCs w:val="20"/>
              </w:rPr>
              <w:t>11.19</w:t>
            </w:r>
          </w:p>
        </w:tc>
        <w:tc>
          <w:tcPr>
            <w:tcW w:w="204" w:type="pct"/>
            <w:tcBorders>
              <w:left w:val="single" w:sz="18" w:space="0" w:color="auto"/>
              <w:bottom w:val="single" w:sz="8" w:space="0" w:color="auto"/>
            </w:tcBorders>
            <w:tcMar>
              <w:top w:w="8" w:type="dxa"/>
              <w:left w:w="28" w:type="dxa"/>
              <w:bottom w:w="8" w:type="dxa"/>
              <w:right w:w="28" w:type="dxa"/>
            </w:tcMar>
            <w:vAlign w:val="center"/>
          </w:tcPr>
          <w:p w14:paraId="00A14B81" w14:textId="050B3393"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bottom w:val="single" w:sz="8" w:space="0" w:color="auto"/>
              <w:right w:val="single" w:sz="8" w:space="0" w:color="auto"/>
            </w:tcBorders>
            <w:tcMar>
              <w:top w:w="8" w:type="dxa"/>
              <w:left w:w="28" w:type="dxa"/>
              <w:bottom w:w="8" w:type="dxa"/>
              <w:right w:w="28" w:type="dxa"/>
            </w:tcMar>
            <w:vAlign w:val="center"/>
          </w:tcPr>
          <w:p w14:paraId="46DA47A3" w14:textId="19C643AE"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8" w:space="0" w:color="auto"/>
              <w:bottom w:val="single" w:sz="8" w:space="0" w:color="auto"/>
            </w:tcBorders>
            <w:tcMar>
              <w:top w:w="8" w:type="dxa"/>
              <w:left w:w="28" w:type="dxa"/>
              <w:bottom w:w="8" w:type="dxa"/>
              <w:right w:w="28" w:type="dxa"/>
            </w:tcMar>
            <w:vAlign w:val="bottom"/>
          </w:tcPr>
          <w:p w14:paraId="3EFB25C3" w14:textId="598A1A3E" w:rsidR="003D0A0E" w:rsidRPr="00F5353D" w:rsidRDefault="003D0A0E" w:rsidP="003D0A0E">
            <w:pPr>
              <w:tabs>
                <w:tab w:val="decimal" w:pos="288"/>
              </w:tabs>
              <w:spacing w:line="200" w:lineRule="auto"/>
              <w:jc w:val="center"/>
              <w:rPr>
                <w:sz w:val="20"/>
                <w:szCs w:val="20"/>
              </w:rPr>
            </w:pPr>
            <w:r w:rsidRPr="00F5353D">
              <w:rPr>
                <w:color w:val="000000"/>
                <w:sz w:val="20"/>
                <w:szCs w:val="20"/>
              </w:rPr>
              <w:t>-0.50</w:t>
            </w:r>
          </w:p>
        </w:tc>
        <w:tc>
          <w:tcPr>
            <w:tcW w:w="214" w:type="pct"/>
            <w:gridSpan w:val="2"/>
            <w:tcBorders>
              <w:bottom w:val="single" w:sz="8" w:space="0" w:color="auto"/>
              <w:right w:val="single" w:sz="18" w:space="0" w:color="auto"/>
            </w:tcBorders>
            <w:tcMar>
              <w:top w:w="8" w:type="dxa"/>
              <w:left w:w="28" w:type="dxa"/>
              <w:bottom w:w="8" w:type="dxa"/>
              <w:right w:w="28" w:type="dxa"/>
            </w:tcMar>
            <w:vAlign w:val="bottom"/>
          </w:tcPr>
          <w:p w14:paraId="43E47E36" w14:textId="221DAD84" w:rsidR="003D0A0E" w:rsidRPr="00F5353D" w:rsidRDefault="003D0A0E" w:rsidP="003D0A0E">
            <w:pPr>
              <w:tabs>
                <w:tab w:val="decimal" w:pos="288"/>
              </w:tabs>
              <w:spacing w:line="200" w:lineRule="auto"/>
              <w:jc w:val="center"/>
              <w:rPr>
                <w:sz w:val="20"/>
                <w:szCs w:val="20"/>
              </w:rPr>
            </w:pPr>
            <w:r w:rsidRPr="00F5353D">
              <w:rPr>
                <w:color w:val="000000"/>
                <w:sz w:val="20"/>
                <w:szCs w:val="20"/>
              </w:rPr>
              <w:t>-2.88</w:t>
            </w:r>
          </w:p>
        </w:tc>
        <w:tc>
          <w:tcPr>
            <w:tcW w:w="204" w:type="pct"/>
            <w:tcBorders>
              <w:left w:val="single" w:sz="18" w:space="0" w:color="auto"/>
              <w:bottom w:val="single" w:sz="8" w:space="0" w:color="auto"/>
            </w:tcBorders>
            <w:tcMar>
              <w:top w:w="8" w:type="dxa"/>
              <w:left w:w="28" w:type="dxa"/>
              <w:bottom w:w="8" w:type="dxa"/>
              <w:right w:w="28" w:type="dxa"/>
            </w:tcMar>
            <w:vAlign w:val="center"/>
          </w:tcPr>
          <w:p w14:paraId="2FCAA553" w14:textId="531202E0"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bottom w:val="single" w:sz="8" w:space="0" w:color="auto"/>
              <w:right w:val="single" w:sz="8" w:space="0" w:color="auto"/>
            </w:tcBorders>
            <w:tcMar>
              <w:top w:w="8" w:type="dxa"/>
              <w:left w:w="28" w:type="dxa"/>
              <w:bottom w:w="8" w:type="dxa"/>
              <w:right w:w="28" w:type="dxa"/>
            </w:tcMar>
            <w:vAlign w:val="center"/>
          </w:tcPr>
          <w:p w14:paraId="0C35347A" w14:textId="7505382B"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8" w:space="0" w:color="auto"/>
              <w:bottom w:val="single" w:sz="8" w:space="0" w:color="auto"/>
            </w:tcBorders>
            <w:tcMar>
              <w:top w:w="8" w:type="dxa"/>
              <w:left w:w="28" w:type="dxa"/>
              <w:bottom w:w="8" w:type="dxa"/>
              <w:right w:w="28" w:type="dxa"/>
            </w:tcMar>
            <w:vAlign w:val="bottom"/>
          </w:tcPr>
          <w:p w14:paraId="702ADF32" w14:textId="2FB5ECAC" w:rsidR="003D0A0E" w:rsidRPr="00F5353D" w:rsidRDefault="003D0A0E" w:rsidP="003D0A0E">
            <w:pPr>
              <w:tabs>
                <w:tab w:val="decimal" w:pos="288"/>
              </w:tabs>
              <w:spacing w:line="200" w:lineRule="auto"/>
              <w:jc w:val="center"/>
              <w:rPr>
                <w:sz w:val="20"/>
                <w:szCs w:val="20"/>
              </w:rPr>
            </w:pPr>
            <w:r w:rsidRPr="00F5353D">
              <w:rPr>
                <w:color w:val="000000"/>
                <w:sz w:val="20"/>
                <w:szCs w:val="20"/>
              </w:rPr>
              <w:t>-0.21</w:t>
            </w:r>
          </w:p>
        </w:tc>
        <w:tc>
          <w:tcPr>
            <w:tcW w:w="245" w:type="pct"/>
            <w:tcBorders>
              <w:bottom w:val="single" w:sz="8" w:space="0" w:color="auto"/>
              <w:right w:val="single" w:sz="18" w:space="0" w:color="auto"/>
            </w:tcBorders>
            <w:tcMar>
              <w:top w:w="8" w:type="dxa"/>
              <w:left w:w="28" w:type="dxa"/>
              <w:bottom w:w="8" w:type="dxa"/>
              <w:right w:w="28" w:type="dxa"/>
            </w:tcMar>
            <w:vAlign w:val="bottom"/>
          </w:tcPr>
          <w:p w14:paraId="37C167D1" w14:textId="71455C78" w:rsidR="003D0A0E" w:rsidRPr="00F5353D" w:rsidRDefault="003D0A0E" w:rsidP="003D0A0E">
            <w:pPr>
              <w:tabs>
                <w:tab w:val="decimal" w:pos="288"/>
              </w:tabs>
              <w:spacing w:line="200" w:lineRule="auto"/>
              <w:jc w:val="center"/>
              <w:rPr>
                <w:sz w:val="20"/>
                <w:szCs w:val="20"/>
              </w:rPr>
            </w:pPr>
            <w:r w:rsidRPr="00F5353D">
              <w:rPr>
                <w:color w:val="000000"/>
                <w:sz w:val="20"/>
                <w:szCs w:val="20"/>
              </w:rPr>
              <w:t>-1.78</w:t>
            </w:r>
          </w:p>
        </w:tc>
        <w:tc>
          <w:tcPr>
            <w:tcW w:w="209" w:type="pct"/>
            <w:tcBorders>
              <w:left w:val="single" w:sz="18" w:space="0" w:color="auto"/>
              <w:bottom w:val="single" w:sz="8" w:space="0" w:color="auto"/>
            </w:tcBorders>
            <w:tcMar>
              <w:top w:w="8" w:type="dxa"/>
              <w:left w:w="28" w:type="dxa"/>
              <w:bottom w:w="8" w:type="dxa"/>
              <w:right w:w="28" w:type="dxa"/>
            </w:tcMar>
            <w:vAlign w:val="center"/>
          </w:tcPr>
          <w:p w14:paraId="11B89113" w14:textId="4BF56CB2"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6" w:type="pct"/>
            <w:tcBorders>
              <w:bottom w:val="single" w:sz="8" w:space="0" w:color="auto"/>
              <w:right w:val="single" w:sz="18" w:space="0" w:color="auto"/>
            </w:tcBorders>
            <w:tcMar>
              <w:top w:w="8" w:type="dxa"/>
              <w:left w:w="28" w:type="dxa"/>
              <w:bottom w:w="8" w:type="dxa"/>
              <w:right w:w="28" w:type="dxa"/>
            </w:tcMar>
            <w:vAlign w:val="center"/>
          </w:tcPr>
          <w:p w14:paraId="70A238B3" w14:textId="2157BDEF"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18" w:space="0" w:color="auto"/>
              <w:bottom w:val="single" w:sz="8" w:space="0" w:color="auto"/>
            </w:tcBorders>
            <w:tcMar>
              <w:top w:w="8" w:type="dxa"/>
              <w:left w:w="28" w:type="dxa"/>
              <w:bottom w:w="8" w:type="dxa"/>
              <w:right w:w="28" w:type="dxa"/>
            </w:tcMar>
            <w:vAlign w:val="center"/>
          </w:tcPr>
          <w:p w14:paraId="1A663114" w14:textId="42A11373"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bottom w:val="single" w:sz="8" w:space="0" w:color="auto"/>
              <w:right w:val="single" w:sz="8" w:space="0" w:color="auto"/>
            </w:tcBorders>
            <w:tcMar>
              <w:top w:w="8" w:type="dxa"/>
              <w:left w:w="28" w:type="dxa"/>
              <w:bottom w:w="8" w:type="dxa"/>
              <w:right w:w="28" w:type="dxa"/>
            </w:tcMar>
            <w:vAlign w:val="center"/>
          </w:tcPr>
          <w:p w14:paraId="5D757E17" w14:textId="38740C80"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7" w:type="pct"/>
            <w:gridSpan w:val="2"/>
            <w:tcBorders>
              <w:left w:val="single" w:sz="8" w:space="0" w:color="auto"/>
              <w:bottom w:val="single" w:sz="8" w:space="0" w:color="auto"/>
            </w:tcBorders>
            <w:tcMar>
              <w:top w:w="8" w:type="dxa"/>
              <w:left w:w="28" w:type="dxa"/>
              <w:bottom w:w="8" w:type="dxa"/>
              <w:right w:w="28" w:type="dxa"/>
            </w:tcMar>
            <w:vAlign w:val="center"/>
          </w:tcPr>
          <w:p w14:paraId="7F733089" w14:textId="14544372"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0" w:type="pct"/>
            <w:tcBorders>
              <w:bottom w:val="single" w:sz="8" w:space="0" w:color="auto"/>
            </w:tcBorders>
            <w:tcMar>
              <w:top w:w="8" w:type="dxa"/>
              <w:left w:w="28" w:type="dxa"/>
              <w:bottom w:w="8" w:type="dxa"/>
              <w:right w:w="28" w:type="dxa"/>
            </w:tcMar>
            <w:vAlign w:val="center"/>
          </w:tcPr>
          <w:p w14:paraId="011A0577" w14:textId="7FAC346B" w:rsidR="003D0A0E" w:rsidRPr="00F5353D" w:rsidRDefault="003D0A0E" w:rsidP="003D0A0E">
            <w:pPr>
              <w:tabs>
                <w:tab w:val="decimal" w:pos="288"/>
              </w:tabs>
              <w:spacing w:line="200" w:lineRule="auto"/>
              <w:jc w:val="center"/>
              <w:rPr>
                <w:sz w:val="20"/>
                <w:szCs w:val="20"/>
              </w:rPr>
            </w:pPr>
            <w:r w:rsidRPr="00F5353D">
              <w:rPr>
                <w:sz w:val="20"/>
                <w:szCs w:val="20"/>
              </w:rPr>
              <w:t>—</w:t>
            </w:r>
          </w:p>
        </w:tc>
      </w:tr>
      <w:tr w:rsidR="003D0A0E" w:rsidRPr="00F5353D" w14:paraId="5D0D4496" w14:textId="77777777" w:rsidTr="008C7AA0">
        <w:trPr>
          <w:cantSplit/>
          <w:trHeight w:val="187"/>
        </w:trPr>
        <w:tc>
          <w:tcPr>
            <w:tcW w:w="862" w:type="pct"/>
            <w:vMerge w:val="restart"/>
            <w:tcBorders>
              <w:top w:val="single" w:sz="8" w:space="0" w:color="auto"/>
              <w:right w:val="single" w:sz="8" w:space="0" w:color="auto"/>
            </w:tcBorders>
            <w:tcMar>
              <w:top w:w="8" w:type="dxa"/>
              <w:left w:w="28" w:type="dxa"/>
              <w:bottom w:w="8" w:type="dxa"/>
              <w:right w:w="28" w:type="dxa"/>
            </w:tcMar>
            <w:vAlign w:val="center"/>
          </w:tcPr>
          <w:p w14:paraId="48976892" w14:textId="45D58567" w:rsidR="003D0A0E" w:rsidRPr="00F5353D" w:rsidRDefault="003D0A0E" w:rsidP="003D0A0E">
            <w:pPr>
              <w:spacing w:line="200" w:lineRule="auto"/>
              <w:rPr>
                <w:sz w:val="20"/>
                <w:szCs w:val="20"/>
              </w:rPr>
            </w:pPr>
            <w:r w:rsidRPr="00F5353D">
              <w:rPr>
                <w:sz w:val="20"/>
                <w:szCs w:val="20"/>
              </w:rPr>
              <w:t>Employment status</w:t>
            </w:r>
          </w:p>
          <w:p w14:paraId="73937550" w14:textId="77777777" w:rsidR="003D0A0E" w:rsidRPr="00F5353D" w:rsidRDefault="003D0A0E" w:rsidP="003D0A0E">
            <w:pPr>
              <w:spacing w:line="200" w:lineRule="auto"/>
              <w:rPr>
                <w:sz w:val="20"/>
                <w:szCs w:val="20"/>
              </w:rPr>
            </w:pPr>
            <w:r w:rsidRPr="00F5353D">
              <w:rPr>
                <w:sz w:val="20"/>
                <w:szCs w:val="20"/>
              </w:rPr>
              <w:t>(not employed)</w:t>
            </w:r>
          </w:p>
        </w:tc>
        <w:tc>
          <w:tcPr>
            <w:tcW w:w="737" w:type="pct"/>
            <w:tcBorders>
              <w:top w:val="single" w:sz="8" w:space="0" w:color="auto"/>
              <w:left w:val="single" w:sz="8" w:space="0" w:color="auto"/>
              <w:right w:val="single" w:sz="18" w:space="0" w:color="auto"/>
            </w:tcBorders>
            <w:tcMar>
              <w:top w:w="8" w:type="dxa"/>
              <w:left w:w="28" w:type="dxa"/>
              <w:bottom w:w="8" w:type="dxa"/>
              <w:right w:w="28" w:type="dxa"/>
            </w:tcMar>
            <w:vAlign w:val="center"/>
          </w:tcPr>
          <w:p w14:paraId="7B087AD1" w14:textId="54C60B45" w:rsidR="003D0A0E" w:rsidRPr="00F5353D" w:rsidRDefault="003D0A0E" w:rsidP="003D0A0E">
            <w:pPr>
              <w:spacing w:line="200" w:lineRule="auto"/>
              <w:rPr>
                <w:sz w:val="20"/>
                <w:szCs w:val="20"/>
              </w:rPr>
            </w:pPr>
            <w:r w:rsidRPr="00F5353D">
              <w:rPr>
                <w:sz w:val="20"/>
                <w:szCs w:val="20"/>
              </w:rPr>
              <w:t>Full-time</w:t>
            </w:r>
          </w:p>
        </w:tc>
        <w:tc>
          <w:tcPr>
            <w:tcW w:w="209" w:type="pct"/>
            <w:tcBorders>
              <w:top w:val="single" w:sz="8" w:space="0" w:color="auto"/>
              <w:left w:val="single" w:sz="18" w:space="0" w:color="auto"/>
            </w:tcBorders>
            <w:tcMar>
              <w:top w:w="8" w:type="dxa"/>
              <w:left w:w="28" w:type="dxa"/>
              <w:bottom w:w="8" w:type="dxa"/>
              <w:right w:w="28" w:type="dxa"/>
            </w:tcMar>
            <w:vAlign w:val="bottom"/>
          </w:tcPr>
          <w:p w14:paraId="0F5C8E67" w14:textId="01192CCE" w:rsidR="003D0A0E" w:rsidRPr="00F5353D" w:rsidRDefault="003D0A0E" w:rsidP="003D0A0E">
            <w:pPr>
              <w:tabs>
                <w:tab w:val="decimal" w:pos="288"/>
              </w:tabs>
              <w:spacing w:line="200" w:lineRule="auto"/>
              <w:jc w:val="center"/>
              <w:rPr>
                <w:sz w:val="20"/>
                <w:szCs w:val="20"/>
              </w:rPr>
            </w:pPr>
            <w:r w:rsidRPr="00F5353D">
              <w:rPr>
                <w:color w:val="000000"/>
                <w:sz w:val="20"/>
                <w:szCs w:val="20"/>
              </w:rPr>
              <w:t>-0.31</w:t>
            </w:r>
          </w:p>
        </w:tc>
        <w:tc>
          <w:tcPr>
            <w:tcW w:w="209" w:type="pct"/>
            <w:gridSpan w:val="2"/>
            <w:tcBorders>
              <w:top w:val="single" w:sz="8" w:space="0" w:color="auto"/>
              <w:right w:val="single" w:sz="18" w:space="0" w:color="auto"/>
            </w:tcBorders>
            <w:tcMar>
              <w:top w:w="8" w:type="dxa"/>
              <w:left w:w="28" w:type="dxa"/>
              <w:bottom w:w="8" w:type="dxa"/>
              <w:right w:w="28" w:type="dxa"/>
            </w:tcMar>
            <w:vAlign w:val="bottom"/>
          </w:tcPr>
          <w:p w14:paraId="6CCFBD3D" w14:textId="3DD87955" w:rsidR="003D0A0E" w:rsidRPr="00F5353D" w:rsidRDefault="003D0A0E" w:rsidP="003D0A0E">
            <w:pPr>
              <w:tabs>
                <w:tab w:val="decimal" w:pos="288"/>
              </w:tabs>
              <w:spacing w:line="200" w:lineRule="auto"/>
              <w:jc w:val="center"/>
              <w:rPr>
                <w:sz w:val="20"/>
                <w:szCs w:val="20"/>
              </w:rPr>
            </w:pPr>
            <w:r w:rsidRPr="00F5353D">
              <w:rPr>
                <w:color w:val="000000"/>
                <w:sz w:val="20"/>
                <w:szCs w:val="20"/>
              </w:rPr>
              <w:t>-6.26</w:t>
            </w:r>
          </w:p>
        </w:tc>
        <w:tc>
          <w:tcPr>
            <w:tcW w:w="204" w:type="pct"/>
            <w:tcBorders>
              <w:top w:val="single" w:sz="8" w:space="0" w:color="auto"/>
              <w:left w:val="single" w:sz="18" w:space="0" w:color="auto"/>
            </w:tcBorders>
            <w:tcMar>
              <w:top w:w="8" w:type="dxa"/>
              <w:left w:w="28" w:type="dxa"/>
              <w:bottom w:w="8" w:type="dxa"/>
              <w:right w:w="28" w:type="dxa"/>
            </w:tcMar>
            <w:vAlign w:val="center"/>
          </w:tcPr>
          <w:p w14:paraId="789BB35C" w14:textId="11BDEC7F"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right w:val="single" w:sz="8" w:space="0" w:color="auto"/>
            </w:tcBorders>
            <w:tcMar>
              <w:top w:w="8" w:type="dxa"/>
              <w:left w:w="28" w:type="dxa"/>
              <w:bottom w:w="8" w:type="dxa"/>
              <w:right w:w="28" w:type="dxa"/>
            </w:tcMar>
            <w:vAlign w:val="center"/>
          </w:tcPr>
          <w:p w14:paraId="083CC756" w14:textId="3E2673DE"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left w:val="single" w:sz="8" w:space="0" w:color="auto"/>
            </w:tcBorders>
            <w:tcMar>
              <w:top w:w="8" w:type="dxa"/>
              <w:left w:w="28" w:type="dxa"/>
              <w:bottom w:w="8" w:type="dxa"/>
              <w:right w:w="28" w:type="dxa"/>
            </w:tcMar>
            <w:vAlign w:val="center"/>
          </w:tcPr>
          <w:p w14:paraId="1EB7EBE9" w14:textId="6437DA2C"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14" w:type="pct"/>
            <w:gridSpan w:val="2"/>
            <w:tcBorders>
              <w:top w:val="single" w:sz="8" w:space="0" w:color="auto"/>
              <w:right w:val="single" w:sz="18" w:space="0" w:color="auto"/>
            </w:tcBorders>
            <w:tcMar>
              <w:top w:w="8" w:type="dxa"/>
              <w:left w:w="28" w:type="dxa"/>
              <w:bottom w:w="8" w:type="dxa"/>
              <w:right w:w="28" w:type="dxa"/>
            </w:tcMar>
            <w:vAlign w:val="center"/>
          </w:tcPr>
          <w:p w14:paraId="10E20FEE" w14:textId="4DB9B19C"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4" w:type="pct"/>
            <w:tcBorders>
              <w:top w:val="single" w:sz="8" w:space="0" w:color="auto"/>
              <w:left w:val="single" w:sz="18" w:space="0" w:color="auto"/>
            </w:tcBorders>
            <w:tcMar>
              <w:top w:w="8" w:type="dxa"/>
              <w:left w:w="28" w:type="dxa"/>
              <w:bottom w:w="8" w:type="dxa"/>
              <w:right w:w="28" w:type="dxa"/>
            </w:tcMar>
            <w:vAlign w:val="center"/>
          </w:tcPr>
          <w:p w14:paraId="4B89DF79" w14:textId="67DF8F87"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right w:val="single" w:sz="8" w:space="0" w:color="auto"/>
            </w:tcBorders>
            <w:tcMar>
              <w:top w:w="8" w:type="dxa"/>
              <w:left w:w="28" w:type="dxa"/>
              <w:bottom w:w="8" w:type="dxa"/>
              <w:right w:w="28" w:type="dxa"/>
            </w:tcMar>
            <w:vAlign w:val="center"/>
          </w:tcPr>
          <w:p w14:paraId="034EFFC6" w14:textId="0692106D"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left w:val="single" w:sz="8" w:space="0" w:color="auto"/>
            </w:tcBorders>
            <w:tcMar>
              <w:top w:w="8" w:type="dxa"/>
              <w:left w:w="28" w:type="dxa"/>
              <w:bottom w:w="8" w:type="dxa"/>
              <w:right w:w="28" w:type="dxa"/>
            </w:tcMar>
            <w:vAlign w:val="center"/>
          </w:tcPr>
          <w:p w14:paraId="08B7081B" w14:textId="2C8CEC08"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5" w:type="pct"/>
            <w:tcBorders>
              <w:top w:val="single" w:sz="8" w:space="0" w:color="auto"/>
              <w:right w:val="single" w:sz="18" w:space="0" w:color="auto"/>
            </w:tcBorders>
            <w:tcMar>
              <w:top w:w="8" w:type="dxa"/>
              <w:left w:w="28" w:type="dxa"/>
              <w:bottom w:w="8" w:type="dxa"/>
              <w:right w:w="28" w:type="dxa"/>
            </w:tcMar>
            <w:vAlign w:val="center"/>
          </w:tcPr>
          <w:p w14:paraId="70BE97A0" w14:textId="3547BEDB"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left w:val="single" w:sz="18" w:space="0" w:color="auto"/>
            </w:tcBorders>
            <w:tcMar>
              <w:top w:w="8" w:type="dxa"/>
              <w:left w:w="28" w:type="dxa"/>
              <w:bottom w:w="8" w:type="dxa"/>
              <w:right w:w="28" w:type="dxa"/>
            </w:tcMar>
            <w:vAlign w:val="bottom"/>
          </w:tcPr>
          <w:p w14:paraId="5ACBBF36" w14:textId="60E73956" w:rsidR="003D0A0E" w:rsidRPr="00F5353D" w:rsidRDefault="003D0A0E" w:rsidP="003D0A0E">
            <w:pPr>
              <w:tabs>
                <w:tab w:val="decimal" w:pos="288"/>
              </w:tabs>
              <w:spacing w:line="200" w:lineRule="auto"/>
              <w:jc w:val="center"/>
              <w:rPr>
                <w:sz w:val="20"/>
                <w:szCs w:val="20"/>
              </w:rPr>
            </w:pPr>
            <w:r w:rsidRPr="00F5353D">
              <w:rPr>
                <w:color w:val="000000"/>
                <w:sz w:val="20"/>
                <w:szCs w:val="20"/>
              </w:rPr>
              <w:t>-0.41</w:t>
            </w:r>
          </w:p>
        </w:tc>
        <w:tc>
          <w:tcPr>
            <w:tcW w:w="246" w:type="pct"/>
            <w:tcBorders>
              <w:top w:val="single" w:sz="8" w:space="0" w:color="auto"/>
              <w:right w:val="single" w:sz="18" w:space="0" w:color="auto"/>
            </w:tcBorders>
            <w:tcMar>
              <w:top w:w="8" w:type="dxa"/>
              <w:left w:w="28" w:type="dxa"/>
              <w:bottom w:w="8" w:type="dxa"/>
              <w:right w:w="28" w:type="dxa"/>
            </w:tcMar>
            <w:vAlign w:val="bottom"/>
          </w:tcPr>
          <w:p w14:paraId="5573737A" w14:textId="218F8CFC" w:rsidR="003D0A0E" w:rsidRPr="00F5353D" w:rsidRDefault="003D0A0E" w:rsidP="003D0A0E">
            <w:pPr>
              <w:tabs>
                <w:tab w:val="decimal" w:pos="288"/>
              </w:tabs>
              <w:spacing w:line="200" w:lineRule="auto"/>
              <w:jc w:val="center"/>
              <w:rPr>
                <w:sz w:val="20"/>
                <w:szCs w:val="20"/>
              </w:rPr>
            </w:pPr>
            <w:r w:rsidRPr="00F5353D">
              <w:rPr>
                <w:color w:val="000000"/>
                <w:sz w:val="20"/>
                <w:szCs w:val="20"/>
              </w:rPr>
              <w:t>-2.45</w:t>
            </w:r>
          </w:p>
        </w:tc>
        <w:tc>
          <w:tcPr>
            <w:tcW w:w="209" w:type="pct"/>
            <w:tcBorders>
              <w:top w:val="single" w:sz="8" w:space="0" w:color="auto"/>
              <w:left w:val="single" w:sz="18" w:space="0" w:color="auto"/>
            </w:tcBorders>
            <w:tcMar>
              <w:top w:w="8" w:type="dxa"/>
              <w:left w:w="28" w:type="dxa"/>
              <w:bottom w:w="8" w:type="dxa"/>
              <w:right w:w="28" w:type="dxa"/>
            </w:tcMar>
            <w:vAlign w:val="center"/>
          </w:tcPr>
          <w:p w14:paraId="4921E8A2" w14:textId="57106FA7"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right w:val="single" w:sz="8" w:space="0" w:color="auto"/>
            </w:tcBorders>
            <w:tcMar>
              <w:top w:w="8" w:type="dxa"/>
              <w:left w:w="28" w:type="dxa"/>
              <w:bottom w:w="8" w:type="dxa"/>
              <w:right w:w="28" w:type="dxa"/>
            </w:tcMar>
            <w:vAlign w:val="center"/>
          </w:tcPr>
          <w:p w14:paraId="34E67C79" w14:textId="2C983BC0"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7" w:type="pct"/>
            <w:gridSpan w:val="2"/>
            <w:tcBorders>
              <w:top w:val="single" w:sz="8" w:space="0" w:color="auto"/>
              <w:left w:val="single" w:sz="8" w:space="0" w:color="auto"/>
            </w:tcBorders>
            <w:tcMar>
              <w:top w:w="8" w:type="dxa"/>
              <w:left w:w="28" w:type="dxa"/>
              <w:bottom w:w="8" w:type="dxa"/>
              <w:right w:w="28" w:type="dxa"/>
            </w:tcMar>
            <w:vAlign w:val="center"/>
          </w:tcPr>
          <w:p w14:paraId="0941FDD6" w14:textId="0C63DC11"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0" w:type="pct"/>
            <w:tcBorders>
              <w:top w:val="single" w:sz="8" w:space="0" w:color="auto"/>
            </w:tcBorders>
            <w:tcMar>
              <w:top w:w="8" w:type="dxa"/>
              <w:left w:w="28" w:type="dxa"/>
              <w:bottom w:w="8" w:type="dxa"/>
              <w:right w:w="28" w:type="dxa"/>
            </w:tcMar>
            <w:vAlign w:val="center"/>
          </w:tcPr>
          <w:p w14:paraId="43B39FFB" w14:textId="6DFE40EE" w:rsidR="003D0A0E" w:rsidRPr="00F5353D" w:rsidRDefault="003D0A0E" w:rsidP="003D0A0E">
            <w:pPr>
              <w:tabs>
                <w:tab w:val="decimal" w:pos="288"/>
              </w:tabs>
              <w:spacing w:line="200" w:lineRule="auto"/>
              <w:jc w:val="center"/>
              <w:rPr>
                <w:sz w:val="20"/>
                <w:szCs w:val="20"/>
              </w:rPr>
            </w:pPr>
            <w:r w:rsidRPr="00F5353D">
              <w:rPr>
                <w:sz w:val="20"/>
                <w:szCs w:val="20"/>
              </w:rPr>
              <w:t>—</w:t>
            </w:r>
          </w:p>
        </w:tc>
      </w:tr>
      <w:tr w:rsidR="003D0A0E" w:rsidRPr="00F5353D" w14:paraId="421E355B" w14:textId="77777777" w:rsidTr="005D6432">
        <w:trPr>
          <w:cantSplit/>
          <w:trHeight w:val="187"/>
        </w:trPr>
        <w:tc>
          <w:tcPr>
            <w:tcW w:w="862" w:type="pct"/>
            <w:vMerge/>
            <w:tcBorders>
              <w:right w:val="single" w:sz="8" w:space="0" w:color="auto"/>
            </w:tcBorders>
            <w:tcMar>
              <w:top w:w="8" w:type="dxa"/>
              <w:left w:w="28" w:type="dxa"/>
              <w:bottom w:w="8" w:type="dxa"/>
              <w:right w:w="28" w:type="dxa"/>
            </w:tcMar>
            <w:vAlign w:val="center"/>
          </w:tcPr>
          <w:p w14:paraId="610D179D" w14:textId="77777777" w:rsidR="003D0A0E" w:rsidRPr="00F5353D" w:rsidRDefault="003D0A0E" w:rsidP="003D0A0E">
            <w:pPr>
              <w:spacing w:line="200" w:lineRule="auto"/>
              <w:rPr>
                <w:sz w:val="20"/>
                <w:szCs w:val="20"/>
              </w:rPr>
            </w:pPr>
          </w:p>
        </w:tc>
        <w:tc>
          <w:tcPr>
            <w:tcW w:w="737" w:type="pct"/>
            <w:tcBorders>
              <w:left w:val="single" w:sz="8" w:space="0" w:color="auto"/>
              <w:right w:val="single" w:sz="18" w:space="0" w:color="auto"/>
            </w:tcBorders>
            <w:tcMar>
              <w:top w:w="8" w:type="dxa"/>
              <w:left w:w="28" w:type="dxa"/>
              <w:bottom w:w="8" w:type="dxa"/>
              <w:right w:w="28" w:type="dxa"/>
            </w:tcMar>
            <w:vAlign w:val="center"/>
          </w:tcPr>
          <w:p w14:paraId="4E4FDC2B" w14:textId="69F8E69C" w:rsidR="003D0A0E" w:rsidRPr="00F5353D" w:rsidRDefault="003D0A0E" w:rsidP="003D0A0E">
            <w:pPr>
              <w:spacing w:line="200" w:lineRule="auto"/>
              <w:rPr>
                <w:sz w:val="20"/>
                <w:szCs w:val="20"/>
              </w:rPr>
            </w:pPr>
            <w:r w:rsidRPr="00F5353D">
              <w:rPr>
                <w:sz w:val="20"/>
                <w:szCs w:val="20"/>
              </w:rPr>
              <w:t>Part-time</w:t>
            </w:r>
          </w:p>
        </w:tc>
        <w:tc>
          <w:tcPr>
            <w:tcW w:w="209" w:type="pct"/>
            <w:tcBorders>
              <w:left w:val="single" w:sz="18" w:space="0" w:color="auto"/>
            </w:tcBorders>
            <w:tcMar>
              <w:top w:w="8" w:type="dxa"/>
              <w:left w:w="28" w:type="dxa"/>
              <w:bottom w:w="8" w:type="dxa"/>
              <w:right w:w="28" w:type="dxa"/>
            </w:tcMar>
            <w:vAlign w:val="bottom"/>
          </w:tcPr>
          <w:p w14:paraId="68BE3A4E" w14:textId="4284D323" w:rsidR="003D0A0E" w:rsidRPr="00F5353D" w:rsidRDefault="003D0A0E" w:rsidP="003D0A0E">
            <w:pPr>
              <w:tabs>
                <w:tab w:val="decimal" w:pos="288"/>
              </w:tabs>
              <w:spacing w:line="200" w:lineRule="auto"/>
              <w:jc w:val="center"/>
              <w:rPr>
                <w:sz w:val="20"/>
                <w:szCs w:val="20"/>
              </w:rPr>
            </w:pPr>
            <w:r w:rsidRPr="00F5353D">
              <w:rPr>
                <w:color w:val="000000"/>
                <w:sz w:val="20"/>
                <w:szCs w:val="20"/>
              </w:rPr>
              <w:t>-0.23</w:t>
            </w:r>
          </w:p>
        </w:tc>
        <w:tc>
          <w:tcPr>
            <w:tcW w:w="209" w:type="pct"/>
            <w:gridSpan w:val="2"/>
            <w:tcBorders>
              <w:right w:val="single" w:sz="18" w:space="0" w:color="auto"/>
            </w:tcBorders>
            <w:tcMar>
              <w:top w:w="8" w:type="dxa"/>
              <w:left w:w="28" w:type="dxa"/>
              <w:bottom w:w="8" w:type="dxa"/>
              <w:right w:w="28" w:type="dxa"/>
            </w:tcMar>
            <w:vAlign w:val="bottom"/>
          </w:tcPr>
          <w:p w14:paraId="64CFB69F" w14:textId="7CA4C35F" w:rsidR="003D0A0E" w:rsidRPr="00F5353D" w:rsidRDefault="003D0A0E" w:rsidP="003D0A0E">
            <w:pPr>
              <w:tabs>
                <w:tab w:val="decimal" w:pos="288"/>
              </w:tabs>
              <w:spacing w:line="200" w:lineRule="auto"/>
              <w:jc w:val="center"/>
              <w:rPr>
                <w:sz w:val="20"/>
                <w:szCs w:val="20"/>
              </w:rPr>
            </w:pPr>
            <w:r w:rsidRPr="00F5353D">
              <w:rPr>
                <w:color w:val="000000"/>
                <w:sz w:val="20"/>
                <w:szCs w:val="20"/>
              </w:rPr>
              <w:t>-3.55</w:t>
            </w:r>
          </w:p>
        </w:tc>
        <w:tc>
          <w:tcPr>
            <w:tcW w:w="204" w:type="pct"/>
            <w:tcBorders>
              <w:left w:val="single" w:sz="18" w:space="0" w:color="auto"/>
            </w:tcBorders>
            <w:tcMar>
              <w:top w:w="8" w:type="dxa"/>
              <w:left w:w="28" w:type="dxa"/>
              <w:bottom w:w="8" w:type="dxa"/>
              <w:right w:w="28" w:type="dxa"/>
            </w:tcMar>
            <w:vAlign w:val="center"/>
          </w:tcPr>
          <w:p w14:paraId="0F9DEE5F" w14:textId="36FAE8BA"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38CE689C" w14:textId="52BEE5C3"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8" w:space="0" w:color="auto"/>
            </w:tcBorders>
            <w:tcMar>
              <w:top w:w="8" w:type="dxa"/>
              <w:left w:w="28" w:type="dxa"/>
              <w:bottom w:w="8" w:type="dxa"/>
              <w:right w:w="28" w:type="dxa"/>
            </w:tcMar>
            <w:vAlign w:val="center"/>
          </w:tcPr>
          <w:p w14:paraId="6190080E" w14:textId="00813A8B"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14" w:type="pct"/>
            <w:gridSpan w:val="2"/>
            <w:tcBorders>
              <w:right w:val="single" w:sz="18" w:space="0" w:color="auto"/>
            </w:tcBorders>
            <w:tcMar>
              <w:top w:w="8" w:type="dxa"/>
              <w:left w:w="28" w:type="dxa"/>
              <w:bottom w:w="8" w:type="dxa"/>
              <w:right w:w="28" w:type="dxa"/>
            </w:tcMar>
            <w:vAlign w:val="center"/>
          </w:tcPr>
          <w:p w14:paraId="6D91E3B0" w14:textId="78AF8BA8"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4" w:type="pct"/>
            <w:tcBorders>
              <w:left w:val="single" w:sz="18" w:space="0" w:color="auto"/>
            </w:tcBorders>
            <w:tcMar>
              <w:top w:w="8" w:type="dxa"/>
              <w:left w:w="28" w:type="dxa"/>
              <w:bottom w:w="8" w:type="dxa"/>
              <w:right w:w="28" w:type="dxa"/>
            </w:tcMar>
            <w:vAlign w:val="center"/>
          </w:tcPr>
          <w:p w14:paraId="10D8D8A4" w14:textId="018DAFD6"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69FBCF3C" w14:textId="339F50E0"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8" w:space="0" w:color="auto"/>
            </w:tcBorders>
            <w:tcMar>
              <w:top w:w="8" w:type="dxa"/>
              <w:left w:w="28" w:type="dxa"/>
              <w:bottom w:w="8" w:type="dxa"/>
              <w:right w:w="28" w:type="dxa"/>
            </w:tcMar>
            <w:vAlign w:val="center"/>
          </w:tcPr>
          <w:p w14:paraId="7C4A31D2" w14:textId="01EE7AB2"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5" w:type="pct"/>
            <w:tcBorders>
              <w:right w:val="single" w:sz="18" w:space="0" w:color="auto"/>
            </w:tcBorders>
            <w:tcMar>
              <w:top w:w="8" w:type="dxa"/>
              <w:left w:w="28" w:type="dxa"/>
              <w:bottom w:w="8" w:type="dxa"/>
              <w:right w:w="28" w:type="dxa"/>
            </w:tcMar>
            <w:vAlign w:val="center"/>
          </w:tcPr>
          <w:p w14:paraId="45663D40" w14:textId="34E5AB0F"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18" w:space="0" w:color="auto"/>
            </w:tcBorders>
            <w:tcMar>
              <w:top w:w="8" w:type="dxa"/>
              <w:left w:w="28" w:type="dxa"/>
              <w:bottom w:w="8" w:type="dxa"/>
              <w:right w:w="28" w:type="dxa"/>
            </w:tcMar>
            <w:vAlign w:val="center"/>
          </w:tcPr>
          <w:p w14:paraId="7E4892BE" w14:textId="69E03CF9"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6" w:type="pct"/>
            <w:tcBorders>
              <w:right w:val="single" w:sz="18" w:space="0" w:color="auto"/>
            </w:tcBorders>
            <w:tcMar>
              <w:top w:w="8" w:type="dxa"/>
              <w:left w:w="28" w:type="dxa"/>
              <w:bottom w:w="8" w:type="dxa"/>
              <w:right w:w="28" w:type="dxa"/>
            </w:tcMar>
            <w:vAlign w:val="center"/>
          </w:tcPr>
          <w:p w14:paraId="413282B4" w14:textId="5A8FFF79"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18" w:space="0" w:color="auto"/>
            </w:tcBorders>
            <w:tcMar>
              <w:top w:w="8" w:type="dxa"/>
              <w:left w:w="28" w:type="dxa"/>
              <w:bottom w:w="8" w:type="dxa"/>
              <w:right w:w="28" w:type="dxa"/>
            </w:tcMar>
            <w:vAlign w:val="center"/>
          </w:tcPr>
          <w:p w14:paraId="49CCFAA6" w14:textId="6148B366"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57B8822D" w14:textId="3D174638"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7" w:type="pct"/>
            <w:gridSpan w:val="2"/>
            <w:tcBorders>
              <w:left w:val="single" w:sz="8" w:space="0" w:color="auto"/>
            </w:tcBorders>
            <w:tcMar>
              <w:top w:w="8" w:type="dxa"/>
              <w:left w:w="28" w:type="dxa"/>
              <w:bottom w:w="8" w:type="dxa"/>
              <w:right w:w="28" w:type="dxa"/>
            </w:tcMar>
            <w:vAlign w:val="center"/>
          </w:tcPr>
          <w:p w14:paraId="5C66EA50" w14:textId="40ED96FA"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0" w:type="pct"/>
            <w:tcMar>
              <w:top w:w="8" w:type="dxa"/>
              <w:left w:w="28" w:type="dxa"/>
              <w:bottom w:w="8" w:type="dxa"/>
              <w:right w:w="28" w:type="dxa"/>
            </w:tcMar>
            <w:vAlign w:val="center"/>
          </w:tcPr>
          <w:p w14:paraId="7337E377" w14:textId="75C5DD58" w:rsidR="003D0A0E" w:rsidRPr="00F5353D" w:rsidRDefault="003D0A0E" w:rsidP="003D0A0E">
            <w:pPr>
              <w:tabs>
                <w:tab w:val="decimal" w:pos="288"/>
              </w:tabs>
              <w:spacing w:line="200" w:lineRule="auto"/>
              <w:jc w:val="center"/>
              <w:rPr>
                <w:sz w:val="20"/>
                <w:szCs w:val="20"/>
              </w:rPr>
            </w:pPr>
            <w:r w:rsidRPr="00F5353D">
              <w:rPr>
                <w:sz w:val="20"/>
                <w:szCs w:val="20"/>
              </w:rPr>
              <w:t>—</w:t>
            </w:r>
          </w:p>
        </w:tc>
      </w:tr>
      <w:tr w:rsidR="003D0A0E" w:rsidRPr="00F5353D" w14:paraId="4D0AABFE" w14:textId="77777777" w:rsidTr="008C7AA0">
        <w:trPr>
          <w:cantSplit/>
          <w:trHeight w:val="187"/>
        </w:trPr>
        <w:tc>
          <w:tcPr>
            <w:tcW w:w="862" w:type="pct"/>
            <w:vMerge/>
            <w:tcBorders>
              <w:bottom w:val="single" w:sz="8" w:space="0" w:color="auto"/>
              <w:right w:val="single" w:sz="8" w:space="0" w:color="auto"/>
            </w:tcBorders>
            <w:tcMar>
              <w:top w:w="8" w:type="dxa"/>
              <w:left w:w="28" w:type="dxa"/>
              <w:bottom w:w="8" w:type="dxa"/>
              <w:right w:w="28" w:type="dxa"/>
            </w:tcMar>
            <w:vAlign w:val="center"/>
          </w:tcPr>
          <w:p w14:paraId="1BF1B7E8" w14:textId="77777777" w:rsidR="003D0A0E" w:rsidRPr="00F5353D" w:rsidRDefault="003D0A0E" w:rsidP="003D0A0E">
            <w:pPr>
              <w:spacing w:line="200" w:lineRule="auto"/>
              <w:rPr>
                <w:sz w:val="20"/>
                <w:szCs w:val="20"/>
              </w:rPr>
            </w:pPr>
          </w:p>
        </w:tc>
        <w:tc>
          <w:tcPr>
            <w:tcW w:w="737" w:type="pct"/>
            <w:tcBorders>
              <w:left w:val="single" w:sz="8" w:space="0" w:color="auto"/>
              <w:bottom w:val="single" w:sz="8" w:space="0" w:color="auto"/>
              <w:right w:val="single" w:sz="18" w:space="0" w:color="auto"/>
            </w:tcBorders>
            <w:tcMar>
              <w:top w:w="8" w:type="dxa"/>
              <w:left w:w="28" w:type="dxa"/>
              <w:bottom w:w="8" w:type="dxa"/>
              <w:right w:w="28" w:type="dxa"/>
            </w:tcMar>
            <w:vAlign w:val="center"/>
          </w:tcPr>
          <w:p w14:paraId="2328FC93" w14:textId="77777777" w:rsidR="003D0A0E" w:rsidRPr="00F5353D" w:rsidRDefault="003D0A0E" w:rsidP="003D0A0E">
            <w:pPr>
              <w:spacing w:line="200" w:lineRule="auto"/>
              <w:rPr>
                <w:sz w:val="20"/>
                <w:szCs w:val="20"/>
              </w:rPr>
            </w:pPr>
            <w:r w:rsidRPr="00F5353D">
              <w:rPr>
                <w:sz w:val="20"/>
                <w:szCs w:val="20"/>
              </w:rPr>
              <w:t>Retired</w:t>
            </w:r>
          </w:p>
        </w:tc>
        <w:tc>
          <w:tcPr>
            <w:tcW w:w="209" w:type="pct"/>
            <w:tcBorders>
              <w:left w:val="single" w:sz="18" w:space="0" w:color="auto"/>
              <w:bottom w:val="single" w:sz="8" w:space="0" w:color="auto"/>
            </w:tcBorders>
            <w:tcMar>
              <w:top w:w="8" w:type="dxa"/>
              <w:left w:w="28" w:type="dxa"/>
              <w:bottom w:w="8" w:type="dxa"/>
              <w:right w:w="28" w:type="dxa"/>
            </w:tcMar>
            <w:vAlign w:val="center"/>
          </w:tcPr>
          <w:p w14:paraId="766E5D34" w14:textId="59710FFD"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gridSpan w:val="2"/>
            <w:tcBorders>
              <w:bottom w:val="single" w:sz="8" w:space="0" w:color="auto"/>
              <w:right w:val="single" w:sz="18" w:space="0" w:color="auto"/>
            </w:tcBorders>
            <w:tcMar>
              <w:top w:w="8" w:type="dxa"/>
              <w:left w:w="28" w:type="dxa"/>
              <w:bottom w:w="8" w:type="dxa"/>
              <w:right w:w="28" w:type="dxa"/>
            </w:tcMar>
            <w:vAlign w:val="center"/>
          </w:tcPr>
          <w:p w14:paraId="02FA90E0" w14:textId="617F4369"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4" w:type="pct"/>
            <w:tcBorders>
              <w:left w:val="single" w:sz="18" w:space="0" w:color="auto"/>
              <w:bottom w:val="single" w:sz="8" w:space="0" w:color="auto"/>
            </w:tcBorders>
            <w:tcMar>
              <w:top w:w="8" w:type="dxa"/>
              <w:left w:w="28" w:type="dxa"/>
              <w:bottom w:w="8" w:type="dxa"/>
              <w:right w:w="28" w:type="dxa"/>
            </w:tcMar>
            <w:vAlign w:val="center"/>
          </w:tcPr>
          <w:p w14:paraId="619493F3" w14:textId="6A49FF90"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bottom w:val="single" w:sz="8" w:space="0" w:color="auto"/>
              <w:right w:val="single" w:sz="8" w:space="0" w:color="auto"/>
            </w:tcBorders>
            <w:tcMar>
              <w:top w:w="8" w:type="dxa"/>
              <w:left w:w="28" w:type="dxa"/>
              <w:bottom w:w="8" w:type="dxa"/>
              <w:right w:w="28" w:type="dxa"/>
            </w:tcMar>
            <w:vAlign w:val="center"/>
          </w:tcPr>
          <w:p w14:paraId="1BFCC26D" w14:textId="33DE3126"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8" w:space="0" w:color="auto"/>
              <w:bottom w:val="single" w:sz="8" w:space="0" w:color="auto"/>
            </w:tcBorders>
            <w:tcMar>
              <w:top w:w="8" w:type="dxa"/>
              <w:left w:w="28" w:type="dxa"/>
              <w:bottom w:w="8" w:type="dxa"/>
              <w:right w:w="28" w:type="dxa"/>
            </w:tcMar>
            <w:vAlign w:val="center"/>
          </w:tcPr>
          <w:p w14:paraId="4ABB7E5A" w14:textId="6E103F9D"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14" w:type="pct"/>
            <w:gridSpan w:val="2"/>
            <w:tcBorders>
              <w:bottom w:val="single" w:sz="8" w:space="0" w:color="auto"/>
              <w:right w:val="single" w:sz="18" w:space="0" w:color="auto"/>
            </w:tcBorders>
            <w:tcMar>
              <w:top w:w="8" w:type="dxa"/>
              <w:left w:w="28" w:type="dxa"/>
              <w:bottom w:w="8" w:type="dxa"/>
              <w:right w:w="28" w:type="dxa"/>
            </w:tcMar>
            <w:vAlign w:val="center"/>
          </w:tcPr>
          <w:p w14:paraId="15EB29B9" w14:textId="00656ED0"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4" w:type="pct"/>
            <w:tcBorders>
              <w:left w:val="single" w:sz="18" w:space="0" w:color="auto"/>
              <w:bottom w:val="single" w:sz="8" w:space="0" w:color="auto"/>
            </w:tcBorders>
            <w:tcMar>
              <w:top w:w="8" w:type="dxa"/>
              <w:left w:w="28" w:type="dxa"/>
              <w:bottom w:w="8" w:type="dxa"/>
              <w:right w:w="28" w:type="dxa"/>
            </w:tcMar>
            <w:vAlign w:val="bottom"/>
          </w:tcPr>
          <w:p w14:paraId="79AC6EAD" w14:textId="332B124E" w:rsidR="003D0A0E" w:rsidRPr="00F5353D" w:rsidRDefault="003D0A0E" w:rsidP="003D0A0E">
            <w:pPr>
              <w:tabs>
                <w:tab w:val="decimal" w:pos="288"/>
              </w:tabs>
              <w:spacing w:line="200" w:lineRule="auto"/>
              <w:jc w:val="center"/>
              <w:rPr>
                <w:sz w:val="20"/>
                <w:szCs w:val="20"/>
              </w:rPr>
            </w:pPr>
            <w:r w:rsidRPr="00F5353D">
              <w:rPr>
                <w:color w:val="000000"/>
                <w:sz w:val="20"/>
                <w:szCs w:val="20"/>
              </w:rPr>
              <w:t>-0.26</w:t>
            </w:r>
          </w:p>
        </w:tc>
        <w:tc>
          <w:tcPr>
            <w:tcW w:w="209" w:type="pct"/>
            <w:tcBorders>
              <w:bottom w:val="single" w:sz="8" w:space="0" w:color="auto"/>
              <w:right w:val="single" w:sz="8" w:space="0" w:color="auto"/>
            </w:tcBorders>
            <w:tcMar>
              <w:top w:w="8" w:type="dxa"/>
              <w:left w:w="28" w:type="dxa"/>
              <w:bottom w:w="8" w:type="dxa"/>
              <w:right w:w="28" w:type="dxa"/>
            </w:tcMar>
            <w:vAlign w:val="bottom"/>
          </w:tcPr>
          <w:p w14:paraId="671EE632" w14:textId="1669F7C8" w:rsidR="003D0A0E" w:rsidRPr="00F5353D" w:rsidRDefault="003D0A0E" w:rsidP="003D0A0E">
            <w:pPr>
              <w:tabs>
                <w:tab w:val="decimal" w:pos="288"/>
              </w:tabs>
              <w:spacing w:line="200" w:lineRule="auto"/>
              <w:jc w:val="center"/>
              <w:rPr>
                <w:sz w:val="20"/>
                <w:szCs w:val="20"/>
              </w:rPr>
            </w:pPr>
            <w:r w:rsidRPr="00F5353D">
              <w:rPr>
                <w:color w:val="000000"/>
                <w:sz w:val="20"/>
                <w:szCs w:val="20"/>
              </w:rPr>
              <w:t>-2.72</w:t>
            </w:r>
          </w:p>
        </w:tc>
        <w:tc>
          <w:tcPr>
            <w:tcW w:w="209" w:type="pct"/>
            <w:tcBorders>
              <w:left w:val="single" w:sz="8" w:space="0" w:color="auto"/>
              <w:bottom w:val="single" w:sz="8" w:space="0" w:color="auto"/>
            </w:tcBorders>
            <w:tcMar>
              <w:top w:w="8" w:type="dxa"/>
              <w:left w:w="28" w:type="dxa"/>
              <w:bottom w:w="8" w:type="dxa"/>
              <w:right w:w="28" w:type="dxa"/>
            </w:tcMar>
            <w:vAlign w:val="bottom"/>
          </w:tcPr>
          <w:p w14:paraId="2771F60A" w14:textId="50B39216" w:rsidR="003D0A0E" w:rsidRPr="00F5353D" w:rsidRDefault="003D0A0E" w:rsidP="003D0A0E">
            <w:pPr>
              <w:tabs>
                <w:tab w:val="decimal" w:pos="288"/>
              </w:tabs>
              <w:spacing w:line="200" w:lineRule="auto"/>
              <w:jc w:val="center"/>
              <w:rPr>
                <w:sz w:val="20"/>
                <w:szCs w:val="20"/>
              </w:rPr>
            </w:pPr>
            <w:r w:rsidRPr="00F5353D">
              <w:rPr>
                <w:color w:val="000000"/>
                <w:sz w:val="20"/>
                <w:szCs w:val="20"/>
              </w:rPr>
              <w:t>-0.13</w:t>
            </w:r>
          </w:p>
        </w:tc>
        <w:tc>
          <w:tcPr>
            <w:tcW w:w="245" w:type="pct"/>
            <w:tcBorders>
              <w:bottom w:val="single" w:sz="8" w:space="0" w:color="auto"/>
              <w:right w:val="single" w:sz="18" w:space="0" w:color="auto"/>
            </w:tcBorders>
            <w:tcMar>
              <w:top w:w="8" w:type="dxa"/>
              <w:left w:w="28" w:type="dxa"/>
              <w:bottom w:w="8" w:type="dxa"/>
              <w:right w:w="28" w:type="dxa"/>
            </w:tcMar>
            <w:vAlign w:val="bottom"/>
          </w:tcPr>
          <w:p w14:paraId="59F8AA5C" w14:textId="13F841D1" w:rsidR="003D0A0E" w:rsidRPr="00F5353D" w:rsidRDefault="003D0A0E" w:rsidP="003D0A0E">
            <w:pPr>
              <w:tabs>
                <w:tab w:val="decimal" w:pos="288"/>
              </w:tabs>
              <w:spacing w:line="200" w:lineRule="auto"/>
              <w:jc w:val="center"/>
              <w:rPr>
                <w:sz w:val="20"/>
                <w:szCs w:val="20"/>
              </w:rPr>
            </w:pPr>
            <w:r w:rsidRPr="00F5353D">
              <w:rPr>
                <w:color w:val="000000"/>
                <w:sz w:val="20"/>
                <w:szCs w:val="20"/>
              </w:rPr>
              <w:t>-1.38</w:t>
            </w:r>
          </w:p>
        </w:tc>
        <w:tc>
          <w:tcPr>
            <w:tcW w:w="209" w:type="pct"/>
            <w:tcBorders>
              <w:left w:val="single" w:sz="18" w:space="0" w:color="auto"/>
              <w:bottom w:val="single" w:sz="8" w:space="0" w:color="auto"/>
            </w:tcBorders>
            <w:tcMar>
              <w:top w:w="8" w:type="dxa"/>
              <w:left w:w="28" w:type="dxa"/>
              <w:bottom w:w="8" w:type="dxa"/>
              <w:right w:w="28" w:type="dxa"/>
            </w:tcMar>
            <w:vAlign w:val="center"/>
          </w:tcPr>
          <w:p w14:paraId="33AC6543" w14:textId="4A6902A1"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6" w:type="pct"/>
            <w:tcBorders>
              <w:bottom w:val="single" w:sz="8" w:space="0" w:color="auto"/>
              <w:right w:val="single" w:sz="18" w:space="0" w:color="auto"/>
            </w:tcBorders>
            <w:tcMar>
              <w:top w:w="8" w:type="dxa"/>
              <w:left w:w="28" w:type="dxa"/>
              <w:bottom w:w="8" w:type="dxa"/>
              <w:right w:w="28" w:type="dxa"/>
            </w:tcMar>
            <w:vAlign w:val="center"/>
          </w:tcPr>
          <w:p w14:paraId="77B58D02" w14:textId="3996BD9E"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18" w:space="0" w:color="auto"/>
              <w:bottom w:val="single" w:sz="8" w:space="0" w:color="auto"/>
            </w:tcBorders>
            <w:tcMar>
              <w:top w:w="8" w:type="dxa"/>
              <w:left w:w="28" w:type="dxa"/>
              <w:bottom w:w="8" w:type="dxa"/>
              <w:right w:w="28" w:type="dxa"/>
            </w:tcMar>
            <w:vAlign w:val="center"/>
          </w:tcPr>
          <w:p w14:paraId="0AEF857C" w14:textId="66F53C26"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bottom w:val="single" w:sz="8" w:space="0" w:color="auto"/>
              <w:right w:val="single" w:sz="8" w:space="0" w:color="auto"/>
            </w:tcBorders>
            <w:tcMar>
              <w:top w:w="8" w:type="dxa"/>
              <w:left w:w="28" w:type="dxa"/>
              <w:bottom w:w="8" w:type="dxa"/>
              <w:right w:w="28" w:type="dxa"/>
            </w:tcMar>
            <w:vAlign w:val="center"/>
          </w:tcPr>
          <w:p w14:paraId="21E08DFC" w14:textId="69117144"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7" w:type="pct"/>
            <w:gridSpan w:val="2"/>
            <w:tcBorders>
              <w:left w:val="single" w:sz="8" w:space="0" w:color="auto"/>
              <w:bottom w:val="single" w:sz="8" w:space="0" w:color="auto"/>
            </w:tcBorders>
            <w:tcMar>
              <w:top w:w="8" w:type="dxa"/>
              <w:left w:w="28" w:type="dxa"/>
              <w:bottom w:w="8" w:type="dxa"/>
              <w:right w:w="28" w:type="dxa"/>
            </w:tcMar>
            <w:vAlign w:val="bottom"/>
          </w:tcPr>
          <w:p w14:paraId="3EB3CF45" w14:textId="76B112F7" w:rsidR="003D0A0E" w:rsidRPr="00F5353D" w:rsidRDefault="003D0A0E" w:rsidP="003D0A0E">
            <w:pPr>
              <w:tabs>
                <w:tab w:val="decimal" w:pos="288"/>
              </w:tabs>
              <w:spacing w:line="200" w:lineRule="auto"/>
              <w:jc w:val="center"/>
              <w:rPr>
                <w:sz w:val="20"/>
                <w:szCs w:val="20"/>
              </w:rPr>
            </w:pPr>
            <w:r w:rsidRPr="00F5353D">
              <w:rPr>
                <w:color w:val="000000"/>
                <w:sz w:val="20"/>
                <w:szCs w:val="20"/>
              </w:rPr>
              <w:t>0.13</w:t>
            </w:r>
          </w:p>
        </w:tc>
        <w:tc>
          <w:tcPr>
            <w:tcW w:w="200" w:type="pct"/>
            <w:tcBorders>
              <w:bottom w:val="single" w:sz="8" w:space="0" w:color="auto"/>
            </w:tcBorders>
            <w:tcMar>
              <w:top w:w="8" w:type="dxa"/>
              <w:left w:w="28" w:type="dxa"/>
              <w:bottom w:w="8" w:type="dxa"/>
              <w:right w:w="28" w:type="dxa"/>
            </w:tcMar>
            <w:vAlign w:val="bottom"/>
          </w:tcPr>
          <w:p w14:paraId="132351ED" w14:textId="0231889E" w:rsidR="003D0A0E" w:rsidRPr="00F5353D" w:rsidRDefault="003D0A0E" w:rsidP="003D0A0E">
            <w:pPr>
              <w:tabs>
                <w:tab w:val="decimal" w:pos="288"/>
              </w:tabs>
              <w:spacing w:line="200" w:lineRule="auto"/>
              <w:jc w:val="center"/>
              <w:rPr>
                <w:sz w:val="20"/>
                <w:szCs w:val="20"/>
              </w:rPr>
            </w:pPr>
            <w:r w:rsidRPr="00F5353D">
              <w:rPr>
                <w:color w:val="000000"/>
                <w:sz w:val="20"/>
                <w:szCs w:val="20"/>
              </w:rPr>
              <w:t>1.24</w:t>
            </w:r>
          </w:p>
        </w:tc>
      </w:tr>
      <w:tr w:rsidR="003D0A0E" w:rsidRPr="00F5353D" w14:paraId="73BFF0DF" w14:textId="77777777" w:rsidTr="008C7AA0">
        <w:trPr>
          <w:cantSplit/>
          <w:trHeight w:val="187"/>
        </w:trPr>
        <w:tc>
          <w:tcPr>
            <w:tcW w:w="862" w:type="pct"/>
            <w:vMerge w:val="restart"/>
            <w:tcBorders>
              <w:top w:val="single" w:sz="8" w:space="0" w:color="auto"/>
              <w:right w:val="single" w:sz="8" w:space="0" w:color="auto"/>
            </w:tcBorders>
            <w:tcMar>
              <w:top w:w="8" w:type="dxa"/>
              <w:left w:w="28" w:type="dxa"/>
              <w:bottom w:w="8" w:type="dxa"/>
              <w:right w:w="28" w:type="dxa"/>
            </w:tcMar>
            <w:vAlign w:val="center"/>
          </w:tcPr>
          <w:p w14:paraId="2D750046" w14:textId="0F7448A0" w:rsidR="003D0A0E" w:rsidRPr="00F5353D" w:rsidRDefault="003D0A0E" w:rsidP="003D0A0E">
            <w:pPr>
              <w:spacing w:line="200" w:lineRule="auto"/>
              <w:rPr>
                <w:sz w:val="20"/>
                <w:szCs w:val="20"/>
              </w:rPr>
            </w:pPr>
            <w:r w:rsidRPr="00F5353D">
              <w:rPr>
                <w:sz w:val="20"/>
                <w:szCs w:val="20"/>
              </w:rPr>
              <w:t>Educational attainment</w:t>
            </w:r>
          </w:p>
          <w:p w14:paraId="7C983E77" w14:textId="77777777" w:rsidR="003D0A0E" w:rsidRPr="00F5353D" w:rsidRDefault="003D0A0E" w:rsidP="003D0A0E">
            <w:pPr>
              <w:spacing w:line="200" w:lineRule="auto"/>
              <w:rPr>
                <w:sz w:val="20"/>
                <w:szCs w:val="20"/>
              </w:rPr>
            </w:pPr>
            <w:r w:rsidRPr="00F5353D">
              <w:rPr>
                <w:sz w:val="20"/>
                <w:szCs w:val="20"/>
              </w:rPr>
              <w:t>(high school or less)</w:t>
            </w:r>
          </w:p>
        </w:tc>
        <w:tc>
          <w:tcPr>
            <w:tcW w:w="737" w:type="pct"/>
            <w:tcBorders>
              <w:top w:val="single" w:sz="8" w:space="0" w:color="auto"/>
              <w:left w:val="single" w:sz="8" w:space="0" w:color="auto"/>
              <w:right w:val="single" w:sz="18" w:space="0" w:color="auto"/>
            </w:tcBorders>
            <w:tcMar>
              <w:top w:w="8" w:type="dxa"/>
              <w:left w:w="28" w:type="dxa"/>
              <w:bottom w:w="8" w:type="dxa"/>
              <w:right w:w="28" w:type="dxa"/>
            </w:tcMar>
            <w:vAlign w:val="center"/>
          </w:tcPr>
          <w:p w14:paraId="77A14E8B" w14:textId="42BCEEAA" w:rsidR="003D0A0E" w:rsidRPr="00F5353D" w:rsidRDefault="003D0A0E" w:rsidP="003D0A0E">
            <w:pPr>
              <w:spacing w:line="200" w:lineRule="auto"/>
              <w:rPr>
                <w:sz w:val="20"/>
                <w:szCs w:val="20"/>
              </w:rPr>
            </w:pPr>
            <w:r w:rsidRPr="00F5353D">
              <w:rPr>
                <w:sz w:val="20"/>
                <w:szCs w:val="20"/>
              </w:rPr>
              <w:t>Some college</w:t>
            </w:r>
          </w:p>
        </w:tc>
        <w:tc>
          <w:tcPr>
            <w:tcW w:w="209" w:type="pct"/>
            <w:tcBorders>
              <w:top w:val="single" w:sz="8" w:space="0" w:color="auto"/>
              <w:left w:val="single" w:sz="18" w:space="0" w:color="auto"/>
            </w:tcBorders>
            <w:tcMar>
              <w:top w:w="8" w:type="dxa"/>
              <w:left w:w="28" w:type="dxa"/>
              <w:bottom w:w="8" w:type="dxa"/>
              <w:right w:w="28" w:type="dxa"/>
            </w:tcMar>
            <w:vAlign w:val="bottom"/>
          </w:tcPr>
          <w:p w14:paraId="024F1952" w14:textId="1C42F83E" w:rsidR="003D0A0E" w:rsidRPr="00F5353D" w:rsidRDefault="003D0A0E" w:rsidP="003D0A0E">
            <w:pPr>
              <w:tabs>
                <w:tab w:val="decimal" w:pos="288"/>
              </w:tabs>
              <w:spacing w:line="200" w:lineRule="auto"/>
              <w:jc w:val="center"/>
              <w:rPr>
                <w:sz w:val="20"/>
                <w:szCs w:val="20"/>
              </w:rPr>
            </w:pPr>
            <w:r w:rsidRPr="00F5353D">
              <w:rPr>
                <w:color w:val="000000"/>
                <w:sz w:val="20"/>
                <w:szCs w:val="20"/>
              </w:rPr>
              <w:t>-0.08</w:t>
            </w:r>
          </w:p>
        </w:tc>
        <w:tc>
          <w:tcPr>
            <w:tcW w:w="209" w:type="pct"/>
            <w:gridSpan w:val="2"/>
            <w:tcBorders>
              <w:top w:val="single" w:sz="8" w:space="0" w:color="auto"/>
              <w:right w:val="single" w:sz="18" w:space="0" w:color="auto"/>
            </w:tcBorders>
            <w:tcMar>
              <w:top w:w="8" w:type="dxa"/>
              <w:left w:w="28" w:type="dxa"/>
              <w:bottom w:w="8" w:type="dxa"/>
              <w:right w:w="28" w:type="dxa"/>
            </w:tcMar>
            <w:vAlign w:val="bottom"/>
          </w:tcPr>
          <w:p w14:paraId="2F8B04C7" w14:textId="503A10AE" w:rsidR="003D0A0E" w:rsidRPr="00F5353D" w:rsidRDefault="003D0A0E" w:rsidP="003D0A0E">
            <w:pPr>
              <w:tabs>
                <w:tab w:val="decimal" w:pos="288"/>
              </w:tabs>
              <w:spacing w:line="200" w:lineRule="auto"/>
              <w:jc w:val="center"/>
              <w:rPr>
                <w:sz w:val="20"/>
                <w:szCs w:val="20"/>
              </w:rPr>
            </w:pPr>
            <w:r w:rsidRPr="00F5353D">
              <w:rPr>
                <w:color w:val="000000"/>
                <w:sz w:val="20"/>
                <w:szCs w:val="20"/>
              </w:rPr>
              <w:t>-1.78</w:t>
            </w:r>
          </w:p>
        </w:tc>
        <w:tc>
          <w:tcPr>
            <w:tcW w:w="204" w:type="pct"/>
            <w:tcBorders>
              <w:top w:val="single" w:sz="8" w:space="0" w:color="auto"/>
              <w:left w:val="single" w:sz="18" w:space="0" w:color="auto"/>
            </w:tcBorders>
            <w:tcMar>
              <w:top w:w="8" w:type="dxa"/>
              <w:left w:w="28" w:type="dxa"/>
              <w:bottom w:w="8" w:type="dxa"/>
              <w:right w:w="28" w:type="dxa"/>
            </w:tcMar>
            <w:vAlign w:val="center"/>
          </w:tcPr>
          <w:p w14:paraId="034323A9" w14:textId="26EF0F2D"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right w:val="single" w:sz="8" w:space="0" w:color="auto"/>
            </w:tcBorders>
            <w:tcMar>
              <w:top w:w="8" w:type="dxa"/>
              <w:left w:w="28" w:type="dxa"/>
              <w:bottom w:w="8" w:type="dxa"/>
              <w:right w:w="28" w:type="dxa"/>
            </w:tcMar>
            <w:vAlign w:val="center"/>
          </w:tcPr>
          <w:p w14:paraId="41BBBAF3" w14:textId="3C260891"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left w:val="single" w:sz="8" w:space="0" w:color="auto"/>
            </w:tcBorders>
            <w:tcMar>
              <w:top w:w="8" w:type="dxa"/>
              <w:left w:w="28" w:type="dxa"/>
              <w:bottom w:w="8" w:type="dxa"/>
              <w:right w:w="28" w:type="dxa"/>
            </w:tcMar>
            <w:vAlign w:val="bottom"/>
          </w:tcPr>
          <w:p w14:paraId="59FFCABA" w14:textId="37C8162A" w:rsidR="003D0A0E" w:rsidRPr="00F5353D" w:rsidRDefault="003D0A0E" w:rsidP="003D0A0E">
            <w:pPr>
              <w:tabs>
                <w:tab w:val="decimal" w:pos="288"/>
              </w:tabs>
              <w:spacing w:line="200" w:lineRule="auto"/>
              <w:jc w:val="center"/>
              <w:rPr>
                <w:sz w:val="20"/>
                <w:szCs w:val="20"/>
              </w:rPr>
            </w:pPr>
            <w:r w:rsidRPr="00F5353D">
              <w:rPr>
                <w:color w:val="000000"/>
                <w:sz w:val="20"/>
                <w:szCs w:val="20"/>
              </w:rPr>
              <w:t>0.18</w:t>
            </w:r>
          </w:p>
        </w:tc>
        <w:tc>
          <w:tcPr>
            <w:tcW w:w="214" w:type="pct"/>
            <w:gridSpan w:val="2"/>
            <w:tcBorders>
              <w:top w:val="single" w:sz="8" w:space="0" w:color="auto"/>
              <w:right w:val="single" w:sz="18" w:space="0" w:color="auto"/>
            </w:tcBorders>
            <w:tcMar>
              <w:top w:w="8" w:type="dxa"/>
              <w:left w:w="28" w:type="dxa"/>
              <w:bottom w:w="8" w:type="dxa"/>
              <w:right w:w="28" w:type="dxa"/>
            </w:tcMar>
            <w:vAlign w:val="bottom"/>
          </w:tcPr>
          <w:p w14:paraId="4511393B" w14:textId="12071397" w:rsidR="003D0A0E" w:rsidRPr="00F5353D" w:rsidRDefault="003D0A0E" w:rsidP="003D0A0E">
            <w:pPr>
              <w:tabs>
                <w:tab w:val="decimal" w:pos="288"/>
              </w:tabs>
              <w:spacing w:line="200" w:lineRule="auto"/>
              <w:jc w:val="center"/>
              <w:rPr>
                <w:sz w:val="20"/>
                <w:szCs w:val="20"/>
              </w:rPr>
            </w:pPr>
            <w:r w:rsidRPr="00F5353D">
              <w:rPr>
                <w:color w:val="000000"/>
                <w:sz w:val="20"/>
                <w:szCs w:val="20"/>
              </w:rPr>
              <w:t>1.60</w:t>
            </w:r>
          </w:p>
        </w:tc>
        <w:tc>
          <w:tcPr>
            <w:tcW w:w="204" w:type="pct"/>
            <w:tcBorders>
              <w:top w:val="single" w:sz="8" w:space="0" w:color="auto"/>
              <w:left w:val="single" w:sz="18" w:space="0" w:color="auto"/>
            </w:tcBorders>
            <w:tcMar>
              <w:top w:w="8" w:type="dxa"/>
              <w:left w:w="28" w:type="dxa"/>
              <w:bottom w:w="8" w:type="dxa"/>
              <w:right w:w="28" w:type="dxa"/>
            </w:tcMar>
            <w:vAlign w:val="center"/>
          </w:tcPr>
          <w:p w14:paraId="40CD6958" w14:textId="59B0293E"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right w:val="single" w:sz="8" w:space="0" w:color="auto"/>
            </w:tcBorders>
            <w:tcMar>
              <w:top w:w="8" w:type="dxa"/>
              <w:left w:w="28" w:type="dxa"/>
              <w:bottom w:w="8" w:type="dxa"/>
              <w:right w:w="28" w:type="dxa"/>
            </w:tcMar>
            <w:vAlign w:val="center"/>
          </w:tcPr>
          <w:p w14:paraId="234F37CD" w14:textId="562B10B4"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left w:val="single" w:sz="8" w:space="0" w:color="auto"/>
            </w:tcBorders>
            <w:tcMar>
              <w:top w:w="8" w:type="dxa"/>
              <w:left w:w="28" w:type="dxa"/>
              <w:bottom w:w="8" w:type="dxa"/>
              <w:right w:w="28" w:type="dxa"/>
            </w:tcMar>
            <w:vAlign w:val="center"/>
          </w:tcPr>
          <w:p w14:paraId="311C7D5A" w14:textId="4D2CB9C8"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5" w:type="pct"/>
            <w:tcBorders>
              <w:top w:val="single" w:sz="8" w:space="0" w:color="auto"/>
              <w:right w:val="single" w:sz="18" w:space="0" w:color="auto"/>
            </w:tcBorders>
            <w:tcMar>
              <w:top w:w="8" w:type="dxa"/>
              <w:left w:w="28" w:type="dxa"/>
              <w:bottom w:w="8" w:type="dxa"/>
              <w:right w:w="28" w:type="dxa"/>
            </w:tcMar>
            <w:vAlign w:val="center"/>
          </w:tcPr>
          <w:p w14:paraId="2D01C348" w14:textId="47E0192E"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left w:val="single" w:sz="18" w:space="0" w:color="auto"/>
            </w:tcBorders>
            <w:tcMar>
              <w:top w:w="8" w:type="dxa"/>
              <w:left w:w="28" w:type="dxa"/>
              <w:bottom w:w="8" w:type="dxa"/>
              <w:right w:w="28" w:type="dxa"/>
            </w:tcMar>
            <w:vAlign w:val="bottom"/>
          </w:tcPr>
          <w:p w14:paraId="37AD75FA" w14:textId="59702EA4" w:rsidR="003D0A0E" w:rsidRPr="00F5353D" w:rsidRDefault="003D0A0E" w:rsidP="003D0A0E">
            <w:pPr>
              <w:tabs>
                <w:tab w:val="decimal" w:pos="288"/>
              </w:tabs>
              <w:spacing w:line="200" w:lineRule="auto"/>
              <w:jc w:val="center"/>
              <w:rPr>
                <w:sz w:val="20"/>
                <w:szCs w:val="20"/>
              </w:rPr>
            </w:pPr>
            <w:r w:rsidRPr="00F5353D">
              <w:rPr>
                <w:color w:val="000000"/>
                <w:sz w:val="20"/>
                <w:szCs w:val="20"/>
              </w:rPr>
              <w:t>0.22</w:t>
            </w:r>
          </w:p>
        </w:tc>
        <w:tc>
          <w:tcPr>
            <w:tcW w:w="246" w:type="pct"/>
            <w:tcBorders>
              <w:top w:val="single" w:sz="8" w:space="0" w:color="auto"/>
              <w:right w:val="single" w:sz="18" w:space="0" w:color="auto"/>
            </w:tcBorders>
            <w:tcMar>
              <w:top w:w="8" w:type="dxa"/>
              <w:left w:w="28" w:type="dxa"/>
              <w:bottom w:w="8" w:type="dxa"/>
              <w:right w:w="28" w:type="dxa"/>
            </w:tcMar>
            <w:vAlign w:val="bottom"/>
          </w:tcPr>
          <w:p w14:paraId="1493C2FA" w14:textId="3FBA30AE" w:rsidR="003D0A0E" w:rsidRPr="00F5353D" w:rsidRDefault="003D0A0E" w:rsidP="003D0A0E">
            <w:pPr>
              <w:tabs>
                <w:tab w:val="decimal" w:pos="288"/>
              </w:tabs>
              <w:spacing w:line="200" w:lineRule="auto"/>
              <w:jc w:val="center"/>
              <w:rPr>
                <w:sz w:val="20"/>
                <w:szCs w:val="20"/>
              </w:rPr>
            </w:pPr>
            <w:r w:rsidRPr="00F5353D">
              <w:rPr>
                <w:color w:val="000000"/>
                <w:sz w:val="20"/>
                <w:szCs w:val="20"/>
              </w:rPr>
              <w:t>2.07</w:t>
            </w:r>
          </w:p>
        </w:tc>
        <w:tc>
          <w:tcPr>
            <w:tcW w:w="209" w:type="pct"/>
            <w:tcBorders>
              <w:top w:val="single" w:sz="8" w:space="0" w:color="auto"/>
              <w:left w:val="single" w:sz="18" w:space="0" w:color="auto"/>
            </w:tcBorders>
            <w:tcMar>
              <w:top w:w="8" w:type="dxa"/>
              <w:left w:w="28" w:type="dxa"/>
              <w:bottom w:w="8" w:type="dxa"/>
              <w:right w:w="28" w:type="dxa"/>
            </w:tcMar>
            <w:vAlign w:val="bottom"/>
          </w:tcPr>
          <w:p w14:paraId="03ABAB6B" w14:textId="7E76D823" w:rsidR="003D0A0E" w:rsidRPr="00F5353D" w:rsidRDefault="003D0A0E" w:rsidP="003D0A0E">
            <w:pPr>
              <w:tabs>
                <w:tab w:val="decimal" w:pos="288"/>
              </w:tabs>
              <w:spacing w:line="200" w:lineRule="auto"/>
              <w:jc w:val="center"/>
              <w:rPr>
                <w:sz w:val="20"/>
                <w:szCs w:val="20"/>
              </w:rPr>
            </w:pPr>
            <w:r w:rsidRPr="00F5353D">
              <w:rPr>
                <w:color w:val="000000"/>
                <w:sz w:val="20"/>
                <w:szCs w:val="20"/>
              </w:rPr>
              <w:t>0.26</w:t>
            </w:r>
          </w:p>
        </w:tc>
        <w:tc>
          <w:tcPr>
            <w:tcW w:w="209" w:type="pct"/>
            <w:tcBorders>
              <w:top w:val="single" w:sz="8" w:space="0" w:color="auto"/>
              <w:right w:val="single" w:sz="8" w:space="0" w:color="auto"/>
            </w:tcBorders>
            <w:tcMar>
              <w:top w:w="8" w:type="dxa"/>
              <w:left w:w="28" w:type="dxa"/>
              <w:bottom w:w="8" w:type="dxa"/>
              <w:right w:w="28" w:type="dxa"/>
            </w:tcMar>
            <w:vAlign w:val="bottom"/>
          </w:tcPr>
          <w:p w14:paraId="6BDBDCFE" w14:textId="304EC215" w:rsidR="003D0A0E" w:rsidRPr="00F5353D" w:rsidRDefault="003D0A0E" w:rsidP="003D0A0E">
            <w:pPr>
              <w:tabs>
                <w:tab w:val="decimal" w:pos="288"/>
              </w:tabs>
              <w:spacing w:line="200" w:lineRule="auto"/>
              <w:jc w:val="center"/>
              <w:rPr>
                <w:sz w:val="20"/>
                <w:szCs w:val="20"/>
              </w:rPr>
            </w:pPr>
            <w:r w:rsidRPr="00F5353D">
              <w:rPr>
                <w:color w:val="000000"/>
                <w:sz w:val="20"/>
                <w:szCs w:val="20"/>
              </w:rPr>
              <w:t>2.67</w:t>
            </w:r>
          </w:p>
        </w:tc>
        <w:tc>
          <w:tcPr>
            <w:tcW w:w="207" w:type="pct"/>
            <w:gridSpan w:val="2"/>
            <w:tcBorders>
              <w:top w:val="single" w:sz="8" w:space="0" w:color="auto"/>
              <w:left w:val="single" w:sz="8" w:space="0" w:color="auto"/>
            </w:tcBorders>
            <w:tcMar>
              <w:top w:w="8" w:type="dxa"/>
              <w:left w:w="28" w:type="dxa"/>
              <w:bottom w:w="8" w:type="dxa"/>
              <w:right w:w="28" w:type="dxa"/>
            </w:tcMar>
            <w:vAlign w:val="bottom"/>
          </w:tcPr>
          <w:p w14:paraId="6CB9F428" w14:textId="7ED14631" w:rsidR="003D0A0E" w:rsidRPr="00F5353D" w:rsidRDefault="003D0A0E" w:rsidP="003D0A0E">
            <w:pPr>
              <w:tabs>
                <w:tab w:val="decimal" w:pos="288"/>
              </w:tabs>
              <w:spacing w:line="200" w:lineRule="auto"/>
              <w:jc w:val="center"/>
              <w:rPr>
                <w:sz w:val="20"/>
                <w:szCs w:val="20"/>
              </w:rPr>
            </w:pPr>
            <w:r w:rsidRPr="00F5353D">
              <w:rPr>
                <w:color w:val="000000"/>
                <w:sz w:val="20"/>
                <w:szCs w:val="20"/>
              </w:rPr>
              <w:t>0.25</w:t>
            </w:r>
          </w:p>
        </w:tc>
        <w:tc>
          <w:tcPr>
            <w:tcW w:w="200" w:type="pct"/>
            <w:tcBorders>
              <w:top w:val="single" w:sz="8" w:space="0" w:color="auto"/>
            </w:tcBorders>
            <w:tcMar>
              <w:top w:w="8" w:type="dxa"/>
              <w:left w:w="28" w:type="dxa"/>
              <w:bottom w:w="8" w:type="dxa"/>
              <w:right w:w="28" w:type="dxa"/>
            </w:tcMar>
            <w:vAlign w:val="bottom"/>
          </w:tcPr>
          <w:p w14:paraId="34D89459" w14:textId="3D7EB239" w:rsidR="003D0A0E" w:rsidRPr="00F5353D" w:rsidRDefault="003D0A0E" w:rsidP="003D0A0E">
            <w:pPr>
              <w:tabs>
                <w:tab w:val="decimal" w:pos="288"/>
              </w:tabs>
              <w:spacing w:line="200" w:lineRule="auto"/>
              <w:jc w:val="center"/>
              <w:rPr>
                <w:sz w:val="20"/>
                <w:szCs w:val="20"/>
              </w:rPr>
            </w:pPr>
            <w:r w:rsidRPr="00F5353D">
              <w:rPr>
                <w:color w:val="000000"/>
                <w:sz w:val="20"/>
                <w:szCs w:val="20"/>
              </w:rPr>
              <w:t>3.12</w:t>
            </w:r>
          </w:p>
        </w:tc>
      </w:tr>
      <w:tr w:rsidR="003D0A0E" w:rsidRPr="00F5353D" w14:paraId="15AFA154" w14:textId="77777777" w:rsidTr="005D6432">
        <w:trPr>
          <w:cantSplit/>
          <w:trHeight w:val="187"/>
        </w:trPr>
        <w:tc>
          <w:tcPr>
            <w:tcW w:w="862" w:type="pct"/>
            <w:vMerge/>
            <w:tcBorders>
              <w:right w:val="single" w:sz="8" w:space="0" w:color="auto"/>
            </w:tcBorders>
            <w:tcMar>
              <w:top w:w="8" w:type="dxa"/>
              <w:left w:w="28" w:type="dxa"/>
              <w:bottom w:w="8" w:type="dxa"/>
              <w:right w:w="28" w:type="dxa"/>
            </w:tcMar>
            <w:vAlign w:val="center"/>
          </w:tcPr>
          <w:p w14:paraId="25889359" w14:textId="77777777" w:rsidR="003D0A0E" w:rsidRPr="00F5353D" w:rsidRDefault="003D0A0E" w:rsidP="003D0A0E">
            <w:pPr>
              <w:spacing w:line="200" w:lineRule="auto"/>
              <w:rPr>
                <w:sz w:val="20"/>
                <w:szCs w:val="20"/>
              </w:rPr>
            </w:pPr>
          </w:p>
        </w:tc>
        <w:tc>
          <w:tcPr>
            <w:tcW w:w="737" w:type="pct"/>
            <w:tcBorders>
              <w:left w:val="single" w:sz="8" w:space="0" w:color="auto"/>
              <w:right w:val="single" w:sz="18" w:space="0" w:color="auto"/>
            </w:tcBorders>
            <w:tcMar>
              <w:top w:w="8" w:type="dxa"/>
              <w:left w:w="28" w:type="dxa"/>
              <w:bottom w:w="8" w:type="dxa"/>
              <w:right w:w="28" w:type="dxa"/>
            </w:tcMar>
            <w:vAlign w:val="center"/>
          </w:tcPr>
          <w:p w14:paraId="03898C63" w14:textId="324D7075" w:rsidR="003D0A0E" w:rsidRPr="00F5353D" w:rsidRDefault="003D0A0E" w:rsidP="003D0A0E">
            <w:pPr>
              <w:spacing w:line="200" w:lineRule="auto"/>
              <w:rPr>
                <w:sz w:val="20"/>
                <w:szCs w:val="20"/>
              </w:rPr>
            </w:pPr>
            <w:r w:rsidRPr="00F5353D">
              <w:rPr>
                <w:sz w:val="20"/>
                <w:szCs w:val="20"/>
              </w:rPr>
              <w:t>Bachelor</w:t>
            </w:r>
            <w:r w:rsidR="000D7001">
              <w:rPr>
                <w:sz w:val="20"/>
                <w:szCs w:val="20"/>
              </w:rPr>
              <w:t>’</w:t>
            </w:r>
            <w:r w:rsidRPr="00F5353D">
              <w:rPr>
                <w:sz w:val="20"/>
                <w:szCs w:val="20"/>
              </w:rPr>
              <w:t>s degree(s)</w:t>
            </w:r>
          </w:p>
        </w:tc>
        <w:tc>
          <w:tcPr>
            <w:tcW w:w="209" w:type="pct"/>
            <w:tcBorders>
              <w:left w:val="single" w:sz="18" w:space="0" w:color="auto"/>
            </w:tcBorders>
            <w:tcMar>
              <w:top w:w="8" w:type="dxa"/>
              <w:left w:w="28" w:type="dxa"/>
              <w:bottom w:w="8" w:type="dxa"/>
              <w:right w:w="28" w:type="dxa"/>
            </w:tcMar>
            <w:vAlign w:val="bottom"/>
          </w:tcPr>
          <w:p w14:paraId="4EDB5747" w14:textId="35682FB1" w:rsidR="003D0A0E" w:rsidRPr="00F5353D" w:rsidRDefault="003D0A0E" w:rsidP="003D0A0E">
            <w:pPr>
              <w:tabs>
                <w:tab w:val="decimal" w:pos="288"/>
              </w:tabs>
              <w:spacing w:line="200" w:lineRule="auto"/>
              <w:jc w:val="center"/>
              <w:rPr>
                <w:sz w:val="20"/>
                <w:szCs w:val="20"/>
              </w:rPr>
            </w:pPr>
            <w:r w:rsidRPr="00F5353D">
              <w:rPr>
                <w:color w:val="000000"/>
                <w:sz w:val="20"/>
                <w:szCs w:val="20"/>
              </w:rPr>
              <w:t>-0.29</w:t>
            </w:r>
          </w:p>
        </w:tc>
        <w:tc>
          <w:tcPr>
            <w:tcW w:w="209" w:type="pct"/>
            <w:gridSpan w:val="2"/>
            <w:tcBorders>
              <w:right w:val="single" w:sz="18" w:space="0" w:color="auto"/>
            </w:tcBorders>
            <w:tcMar>
              <w:top w:w="8" w:type="dxa"/>
              <w:left w:w="28" w:type="dxa"/>
              <w:bottom w:w="8" w:type="dxa"/>
              <w:right w:w="28" w:type="dxa"/>
            </w:tcMar>
            <w:vAlign w:val="bottom"/>
          </w:tcPr>
          <w:p w14:paraId="4FB02A2A" w14:textId="78FA698C" w:rsidR="003D0A0E" w:rsidRPr="00F5353D" w:rsidRDefault="003D0A0E" w:rsidP="003D0A0E">
            <w:pPr>
              <w:tabs>
                <w:tab w:val="decimal" w:pos="288"/>
              </w:tabs>
              <w:spacing w:line="200" w:lineRule="auto"/>
              <w:jc w:val="center"/>
              <w:rPr>
                <w:sz w:val="20"/>
                <w:szCs w:val="20"/>
              </w:rPr>
            </w:pPr>
            <w:r w:rsidRPr="00F5353D">
              <w:rPr>
                <w:color w:val="000000"/>
                <w:sz w:val="20"/>
                <w:szCs w:val="20"/>
              </w:rPr>
              <w:t>-5.67</w:t>
            </w:r>
          </w:p>
        </w:tc>
        <w:tc>
          <w:tcPr>
            <w:tcW w:w="204" w:type="pct"/>
            <w:tcBorders>
              <w:left w:val="single" w:sz="18" w:space="0" w:color="auto"/>
            </w:tcBorders>
            <w:tcMar>
              <w:top w:w="8" w:type="dxa"/>
              <w:left w:w="28" w:type="dxa"/>
              <w:bottom w:w="8" w:type="dxa"/>
              <w:right w:w="28" w:type="dxa"/>
            </w:tcMar>
            <w:vAlign w:val="bottom"/>
          </w:tcPr>
          <w:p w14:paraId="344E7243" w14:textId="1CC2A98B" w:rsidR="003D0A0E" w:rsidRPr="00F5353D" w:rsidRDefault="003D0A0E" w:rsidP="003D0A0E">
            <w:pPr>
              <w:tabs>
                <w:tab w:val="decimal" w:pos="288"/>
              </w:tabs>
              <w:spacing w:line="200" w:lineRule="auto"/>
              <w:jc w:val="center"/>
              <w:rPr>
                <w:sz w:val="20"/>
                <w:szCs w:val="20"/>
              </w:rPr>
            </w:pPr>
            <w:r w:rsidRPr="00F5353D">
              <w:rPr>
                <w:color w:val="000000"/>
                <w:sz w:val="20"/>
                <w:szCs w:val="20"/>
              </w:rPr>
              <w:t>0.37</w:t>
            </w:r>
          </w:p>
        </w:tc>
        <w:tc>
          <w:tcPr>
            <w:tcW w:w="209" w:type="pct"/>
            <w:tcBorders>
              <w:right w:val="single" w:sz="8" w:space="0" w:color="auto"/>
            </w:tcBorders>
            <w:tcMar>
              <w:top w:w="8" w:type="dxa"/>
              <w:left w:w="28" w:type="dxa"/>
              <w:bottom w:w="8" w:type="dxa"/>
              <w:right w:w="28" w:type="dxa"/>
            </w:tcMar>
            <w:vAlign w:val="bottom"/>
          </w:tcPr>
          <w:p w14:paraId="4082487C" w14:textId="72EEEA7F" w:rsidR="003D0A0E" w:rsidRPr="00F5353D" w:rsidRDefault="003D0A0E" w:rsidP="003D0A0E">
            <w:pPr>
              <w:tabs>
                <w:tab w:val="decimal" w:pos="288"/>
              </w:tabs>
              <w:spacing w:line="200" w:lineRule="auto"/>
              <w:jc w:val="center"/>
              <w:rPr>
                <w:sz w:val="20"/>
                <w:szCs w:val="20"/>
              </w:rPr>
            </w:pPr>
            <w:r w:rsidRPr="00F5353D">
              <w:rPr>
                <w:color w:val="000000"/>
                <w:sz w:val="20"/>
                <w:szCs w:val="20"/>
              </w:rPr>
              <w:t>3.99</w:t>
            </w:r>
          </w:p>
        </w:tc>
        <w:tc>
          <w:tcPr>
            <w:tcW w:w="209" w:type="pct"/>
            <w:tcBorders>
              <w:left w:val="single" w:sz="8" w:space="0" w:color="auto"/>
            </w:tcBorders>
            <w:tcMar>
              <w:top w:w="8" w:type="dxa"/>
              <w:left w:w="28" w:type="dxa"/>
              <w:bottom w:w="8" w:type="dxa"/>
              <w:right w:w="28" w:type="dxa"/>
            </w:tcMar>
            <w:vAlign w:val="bottom"/>
          </w:tcPr>
          <w:p w14:paraId="61239636" w14:textId="17159F1E" w:rsidR="003D0A0E" w:rsidRPr="00F5353D" w:rsidRDefault="003D0A0E" w:rsidP="003D0A0E">
            <w:pPr>
              <w:tabs>
                <w:tab w:val="decimal" w:pos="288"/>
              </w:tabs>
              <w:spacing w:line="200" w:lineRule="auto"/>
              <w:jc w:val="center"/>
              <w:rPr>
                <w:sz w:val="20"/>
                <w:szCs w:val="20"/>
              </w:rPr>
            </w:pPr>
            <w:r w:rsidRPr="00F5353D">
              <w:rPr>
                <w:color w:val="000000"/>
                <w:sz w:val="20"/>
                <w:szCs w:val="20"/>
              </w:rPr>
              <w:t>0.30</w:t>
            </w:r>
          </w:p>
        </w:tc>
        <w:tc>
          <w:tcPr>
            <w:tcW w:w="214" w:type="pct"/>
            <w:gridSpan w:val="2"/>
            <w:tcBorders>
              <w:right w:val="single" w:sz="18" w:space="0" w:color="auto"/>
            </w:tcBorders>
            <w:tcMar>
              <w:top w:w="8" w:type="dxa"/>
              <w:left w:w="28" w:type="dxa"/>
              <w:bottom w:w="8" w:type="dxa"/>
              <w:right w:w="28" w:type="dxa"/>
            </w:tcMar>
            <w:vAlign w:val="bottom"/>
          </w:tcPr>
          <w:p w14:paraId="2D46754D" w14:textId="338603D6" w:rsidR="003D0A0E" w:rsidRPr="00F5353D" w:rsidRDefault="003D0A0E" w:rsidP="003D0A0E">
            <w:pPr>
              <w:tabs>
                <w:tab w:val="decimal" w:pos="288"/>
              </w:tabs>
              <w:spacing w:line="200" w:lineRule="auto"/>
              <w:jc w:val="center"/>
              <w:rPr>
                <w:sz w:val="20"/>
                <w:szCs w:val="20"/>
              </w:rPr>
            </w:pPr>
            <w:r w:rsidRPr="00F5353D">
              <w:rPr>
                <w:color w:val="000000"/>
                <w:sz w:val="20"/>
                <w:szCs w:val="20"/>
              </w:rPr>
              <w:t>1.91</w:t>
            </w:r>
          </w:p>
        </w:tc>
        <w:tc>
          <w:tcPr>
            <w:tcW w:w="204" w:type="pct"/>
            <w:tcBorders>
              <w:left w:val="single" w:sz="18" w:space="0" w:color="auto"/>
            </w:tcBorders>
            <w:tcMar>
              <w:top w:w="8" w:type="dxa"/>
              <w:left w:w="28" w:type="dxa"/>
              <w:bottom w:w="8" w:type="dxa"/>
              <w:right w:w="28" w:type="dxa"/>
            </w:tcMar>
            <w:vAlign w:val="center"/>
          </w:tcPr>
          <w:p w14:paraId="030EE318" w14:textId="609C8394"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6D2AB435" w14:textId="6F70A472"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8" w:space="0" w:color="auto"/>
            </w:tcBorders>
            <w:tcMar>
              <w:top w:w="8" w:type="dxa"/>
              <w:left w:w="28" w:type="dxa"/>
              <w:bottom w:w="8" w:type="dxa"/>
              <w:right w:w="28" w:type="dxa"/>
            </w:tcMar>
            <w:vAlign w:val="center"/>
          </w:tcPr>
          <w:p w14:paraId="1A5040B5" w14:textId="4F61A7E4"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5" w:type="pct"/>
            <w:tcBorders>
              <w:right w:val="single" w:sz="18" w:space="0" w:color="auto"/>
            </w:tcBorders>
            <w:tcMar>
              <w:top w:w="8" w:type="dxa"/>
              <w:left w:w="28" w:type="dxa"/>
              <w:bottom w:w="8" w:type="dxa"/>
              <w:right w:w="28" w:type="dxa"/>
            </w:tcMar>
            <w:vAlign w:val="center"/>
          </w:tcPr>
          <w:p w14:paraId="13CF1614" w14:textId="7072C70B"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18" w:space="0" w:color="auto"/>
            </w:tcBorders>
            <w:tcMar>
              <w:top w:w="8" w:type="dxa"/>
              <w:left w:w="28" w:type="dxa"/>
              <w:bottom w:w="8" w:type="dxa"/>
              <w:right w:w="28" w:type="dxa"/>
            </w:tcMar>
            <w:vAlign w:val="center"/>
          </w:tcPr>
          <w:p w14:paraId="0A8ECB32" w14:textId="7E4ADC71"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6" w:type="pct"/>
            <w:tcBorders>
              <w:right w:val="single" w:sz="18" w:space="0" w:color="auto"/>
            </w:tcBorders>
            <w:tcMar>
              <w:top w:w="8" w:type="dxa"/>
              <w:left w:w="28" w:type="dxa"/>
              <w:bottom w:w="8" w:type="dxa"/>
              <w:right w:w="28" w:type="dxa"/>
            </w:tcMar>
            <w:vAlign w:val="center"/>
          </w:tcPr>
          <w:p w14:paraId="2315ED0C" w14:textId="18F7C72D"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18" w:space="0" w:color="auto"/>
            </w:tcBorders>
            <w:tcMar>
              <w:top w:w="8" w:type="dxa"/>
              <w:left w:w="28" w:type="dxa"/>
              <w:bottom w:w="8" w:type="dxa"/>
              <w:right w:w="28" w:type="dxa"/>
            </w:tcMar>
            <w:vAlign w:val="bottom"/>
          </w:tcPr>
          <w:p w14:paraId="1B339B76" w14:textId="440B0B3F" w:rsidR="003D0A0E" w:rsidRPr="00F5353D" w:rsidRDefault="003D0A0E" w:rsidP="003D0A0E">
            <w:pPr>
              <w:tabs>
                <w:tab w:val="decimal" w:pos="288"/>
              </w:tabs>
              <w:spacing w:line="200" w:lineRule="auto"/>
              <w:jc w:val="center"/>
              <w:rPr>
                <w:sz w:val="20"/>
                <w:szCs w:val="20"/>
              </w:rPr>
            </w:pPr>
            <w:r w:rsidRPr="00F5353D">
              <w:rPr>
                <w:color w:val="000000"/>
                <w:sz w:val="20"/>
                <w:szCs w:val="20"/>
              </w:rPr>
              <w:t>0.46</w:t>
            </w:r>
          </w:p>
        </w:tc>
        <w:tc>
          <w:tcPr>
            <w:tcW w:w="209" w:type="pct"/>
            <w:tcBorders>
              <w:right w:val="single" w:sz="8" w:space="0" w:color="auto"/>
            </w:tcBorders>
            <w:tcMar>
              <w:top w:w="8" w:type="dxa"/>
              <w:left w:w="28" w:type="dxa"/>
              <w:bottom w:w="8" w:type="dxa"/>
              <w:right w:w="28" w:type="dxa"/>
            </w:tcMar>
            <w:vAlign w:val="bottom"/>
          </w:tcPr>
          <w:p w14:paraId="25DFB6E4" w14:textId="76BB3CAF" w:rsidR="003D0A0E" w:rsidRPr="00F5353D" w:rsidRDefault="003D0A0E" w:rsidP="003D0A0E">
            <w:pPr>
              <w:tabs>
                <w:tab w:val="decimal" w:pos="288"/>
              </w:tabs>
              <w:spacing w:line="200" w:lineRule="auto"/>
              <w:jc w:val="center"/>
              <w:rPr>
                <w:sz w:val="20"/>
                <w:szCs w:val="20"/>
              </w:rPr>
            </w:pPr>
            <w:r w:rsidRPr="00F5353D">
              <w:rPr>
                <w:color w:val="000000"/>
                <w:sz w:val="20"/>
                <w:szCs w:val="20"/>
              </w:rPr>
              <w:t>3.75</w:t>
            </w:r>
          </w:p>
        </w:tc>
        <w:tc>
          <w:tcPr>
            <w:tcW w:w="207" w:type="pct"/>
            <w:gridSpan w:val="2"/>
            <w:tcBorders>
              <w:left w:val="single" w:sz="8" w:space="0" w:color="auto"/>
            </w:tcBorders>
            <w:tcMar>
              <w:top w:w="8" w:type="dxa"/>
              <w:left w:w="28" w:type="dxa"/>
              <w:bottom w:w="8" w:type="dxa"/>
              <w:right w:w="28" w:type="dxa"/>
            </w:tcMar>
            <w:vAlign w:val="bottom"/>
          </w:tcPr>
          <w:p w14:paraId="12780513" w14:textId="32BB02C0" w:rsidR="003D0A0E" w:rsidRPr="00F5353D" w:rsidRDefault="003D0A0E" w:rsidP="003D0A0E">
            <w:pPr>
              <w:tabs>
                <w:tab w:val="decimal" w:pos="288"/>
              </w:tabs>
              <w:spacing w:line="200" w:lineRule="auto"/>
              <w:jc w:val="center"/>
              <w:rPr>
                <w:sz w:val="20"/>
                <w:szCs w:val="20"/>
              </w:rPr>
            </w:pPr>
            <w:r w:rsidRPr="00F5353D">
              <w:rPr>
                <w:color w:val="000000"/>
                <w:sz w:val="20"/>
                <w:szCs w:val="20"/>
              </w:rPr>
              <w:t>0.38</w:t>
            </w:r>
          </w:p>
        </w:tc>
        <w:tc>
          <w:tcPr>
            <w:tcW w:w="200" w:type="pct"/>
            <w:tcMar>
              <w:top w:w="8" w:type="dxa"/>
              <w:left w:w="28" w:type="dxa"/>
              <w:bottom w:w="8" w:type="dxa"/>
              <w:right w:w="28" w:type="dxa"/>
            </w:tcMar>
            <w:vAlign w:val="bottom"/>
          </w:tcPr>
          <w:p w14:paraId="21675EE1" w14:textId="4B654283" w:rsidR="003D0A0E" w:rsidRPr="00F5353D" w:rsidRDefault="003D0A0E" w:rsidP="003D0A0E">
            <w:pPr>
              <w:tabs>
                <w:tab w:val="decimal" w:pos="288"/>
              </w:tabs>
              <w:spacing w:line="200" w:lineRule="auto"/>
              <w:jc w:val="center"/>
              <w:rPr>
                <w:sz w:val="20"/>
                <w:szCs w:val="20"/>
              </w:rPr>
            </w:pPr>
            <w:r w:rsidRPr="00F5353D">
              <w:rPr>
                <w:color w:val="000000"/>
                <w:sz w:val="20"/>
                <w:szCs w:val="20"/>
              </w:rPr>
              <w:t>3.51</w:t>
            </w:r>
          </w:p>
        </w:tc>
      </w:tr>
      <w:tr w:rsidR="003D0A0E" w:rsidRPr="00F5353D" w14:paraId="1D941929" w14:textId="77777777" w:rsidTr="008C7AA0">
        <w:trPr>
          <w:cantSplit/>
          <w:trHeight w:val="187"/>
        </w:trPr>
        <w:tc>
          <w:tcPr>
            <w:tcW w:w="862" w:type="pct"/>
            <w:vMerge/>
            <w:tcBorders>
              <w:bottom w:val="single" w:sz="8" w:space="0" w:color="auto"/>
              <w:right w:val="single" w:sz="8" w:space="0" w:color="auto"/>
            </w:tcBorders>
            <w:tcMar>
              <w:top w:w="8" w:type="dxa"/>
              <w:left w:w="28" w:type="dxa"/>
              <w:bottom w:w="8" w:type="dxa"/>
              <w:right w:w="28" w:type="dxa"/>
            </w:tcMar>
            <w:vAlign w:val="center"/>
          </w:tcPr>
          <w:p w14:paraId="0DCCC0DA" w14:textId="77777777" w:rsidR="003D0A0E" w:rsidRPr="00F5353D" w:rsidRDefault="003D0A0E" w:rsidP="003D0A0E">
            <w:pPr>
              <w:spacing w:line="200" w:lineRule="auto"/>
              <w:rPr>
                <w:sz w:val="20"/>
                <w:szCs w:val="20"/>
              </w:rPr>
            </w:pPr>
          </w:p>
        </w:tc>
        <w:tc>
          <w:tcPr>
            <w:tcW w:w="737" w:type="pct"/>
            <w:tcBorders>
              <w:left w:val="single" w:sz="8" w:space="0" w:color="auto"/>
              <w:bottom w:val="single" w:sz="8" w:space="0" w:color="auto"/>
              <w:right w:val="single" w:sz="18" w:space="0" w:color="auto"/>
            </w:tcBorders>
            <w:tcMar>
              <w:top w:w="8" w:type="dxa"/>
              <w:left w:w="28" w:type="dxa"/>
              <w:bottom w:w="8" w:type="dxa"/>
              <w:right w:w="28" w:type="dxa"/>
            </w:tcMar>
            <w:vAlign w:val="center"/>
          </w:tcPr>
          <w:p w14:paraId="030F1A8E" w14:textId="5A18903F" w:rsidR="003D0A0E" w:rsidRPr="00F5353D" w:rsidRDefault="003D0A0E" w:rsidP="003D0A0E">
            <w:pPr>
              <w:spacing w:line="200" w:lineRule="auto"/>
              <w:rPr>
                <w:sz w:val="20"/>
                <w:szCs w:val="20"/>
              </w:rPr>
            </w:pPr>
            <w:r w:rsidRPr="00F5353D">
              <w:rPr>
                <w:sz w:val="20"/>
                <w:szCs w:val="20"/>
              </w:rPr>
              <w:t>Graduate degree(s)</w:t>
            </w:r>
          </w:p>
        </w:tc>
        <w:tc>
          <w:tcPr>
            <w:tcW w:w="209" w:type="pct"/>
            <w:tcBorders>
              <w:left w:val="single" w:sz="18" w:space="0" w:color="auto"/>
              <w:bottom w:val="single" w:sz="8" w:space="0" w:color="auto"/>
            </w:tcBorders>
            <w:tcMar>
              <w:top w:w="8" w:type="dxa"/>
              <w:left w:w="28" w:type="dxa"/>
              <w:bottom w:w="8" w:type="dxa"/>
              <w:right w:w="28" w:type="dxa"/>
            </w:tcMar>
            <w:vAlign w:val="bottom"/>
          </w:tcPr>
          <w:p w14:paraId="757A6544" w14:textId="39B00E4E" w:rsidR="003D0A0E" w:rsidRPr="00F5353D" w:rsidRDefault="003D0A0E" w:rsidP="003D0A0E">
            <w:pPr>
              <w:tabs>
                <w:tab w:val="decimal" w:pos="288"/>
              </w:tabs>
              <w:spacing w:line="200" w:lineRule="auto"/>
              <w:jc w:val="center"/>
              <w:rPr>
                <w:sz w:val="20"/>
                <w:szCs w:val="20"/>
              </w:rPr>
            </w:pPr>
            <w:r w:rsidRPr="00F5353D">
              <w:rPr>
                <w:color w:val="000000"/>
                <w:sz w:val="20"/>
                <w:szCs w:val="20"/>
              </w:rPr>
              <w:t>-0.29</w:t>
            </w:r>
          </w:p>
        </w:tc>
        <w:tc>
          <w:tcPr>
            <w:tcW w:w="209" w:type="pct"/>
            <w:gridSpan w:val="2"/>
            <w:tcBorders>
              <w:bottom w:val="single" w:sz="8" w:space="0" w:color="auto"/>
              <w:right w:val="single" w:sz="18" w:space="0" w:color="auto"/>
            </w:tcBorders>
            <w:tcMar>
              <w:top w:w="8" w:type="dxa"/>
              <w:left w:w="28" w:type="dxa"/>
              <w:bottom w:w="8" w:type="dxa"/>
              <w:right w:w="28" w:type="dxa"/>
            </w:tcMar>
            <w:vAlign w:val="bottom"/>
          </w:tcPr>
          <w:p w14:paraId="738BDDEF" w14:textId="32219649" w:rsidR="003D0A0E" w:rsidRPr="00F5353D" w:rsidRDefault="003D0A0E" w:rsidP="003D0A0E">
            <w:pPr>
              <w:tabs>
                <w:tab w:val="decimal" w:pos="288"/>
              </w:tabs>
              <w:spacing w:line="200" w:lineRule="auto"/>
              <w:jc w:val="center"/>
              <w:rPr>
                <w:sz w:val="20"/>
                <w:szCs w:val="20"/>
              </w:rPr>
            </w:pPr>
            <w:r w:rsidRPr="00F5353D">
              <w:rPr>
                <w:color w:val="000000"/>
                <w:sz w:val="20"/>
                <w:szCs w:val="20"/>
              </w:rPr>
              <w:t>-5.67</w:t>
            </w:r>
          </w:p>
        </w:tc>
        <w:tc>
          <w:tcPr>
            <w:tcW w:w="204" w:type="pct"/>
            <w:tcBorders>
              <w:left w:val="single" w:sz="18" w:space="0" w:color="auto"/>
              <w:bottom w:val="single" w:sz="8" w:space="0" w:color="auto"/>
            </w:tcBorders>
            <w:tcMar>
              <w:top w:w="8" w:type="dxa"/>
              <w:left w:w="28" w:type="dxa"/>
              <w:bottom w:w="8" w:type="dxa"/>
              <w:right w:w="28" w:type="dxa"/>
            </w:tcMar>
            <w:vAlign w:val="bottom"/>
          </w:tcPr>
          <w:p w14:paraId="57CE10E2" w14:textId="52A70265" w:rsidR="003D0A0E" w:rsidRPr="00F5353D" w:rsidRDefault="003D0A0E" w:rsidP="003D0A0E">
            <w:pPr>
              <w:tabs>
                <w:tab w:val="decimal" w:pos="288"/>
              </w:tabs>
              <w:spacing w:line="200" w:lineRule="auto"/>
              <w:jc w:val="center"/>
              <w:rPr>
                <w:sz w:val="20"/>
                <w:szCs w:val="20"/>
              </w:rPr>
            </w:pPr>
            <w:r w:rsidRPr="00F5353D">
              <w:rPr>
                <w:color w:val="000000"/>
                <w:sz w:val="20"/>
                <w:szCs w:val="20"/>
              </w:rPr>
              <w:t>0.37</w:t>
            </w:r>
          </w:p>
        </w:tc>
        <w:tc>
          <w:tcPr>
            <w:tcW w:w="209" w:type="pct"/>
            <w:tcBorders>
              <w:bottom w:val="single" w:sz="8" w:space="0" w:color="auto"/>
              <w:right w:val="single" w:sz="8" w:space="0" w:color="auto"/>
            </w:tcBorders>
            <w:tcMar>
              <w:top w:w="8" w:type="dxa"/>
              <w:left w:w="28" w:type="dxa"/>
              <w:bottom w:w="8" w:type="dxa"/>
              <w:right w:w="28" w:type="dxa"/>
            </w:tcMar>
            <w:vAlign w:val="bottom"/>
          </w:tcPr>
          <w:p w14:paraId="176AA012" w14:textId="6C13CB0F" w:rsidR="003D0A0E" w:rsidRPr="00F5353D" w:rsidRDefault="003D0A0E" w:rsidP="003D0A0E">
            <w:pPr>
              <w:tabs>
                <w:tab w:val="decimal" w:pos="288"/>
              </w:tabs>
              <w:spacing w:line="200" w:lineRule="auto"/>
              <w:jc w:val="center"/>
              <w:rPr>
                <w:sz w:val="20"/>
                <w:szCs w:val="20"/>
              </w:rPr>
            </w:pPr>
            <w:r w:rsidRPr="00F5353D">
              <w:rPr>
                <w:color w:val="000000"/>
                <w:sz w:val="20"/>
                <w:szCs w:val="20"/>
              </w:rPr>
              <w:t>3.99</w:t>
            </w:r>
          </w:p>
        </w:tc>
        <w:tc>
          <w:tcPr>
            <w:tcW w:w="209" w:type="pct"/>
            <w:tcBorders>
              <w:left w:val="single" w:sz="8" w:space="0" w:color="auto"/>
              <w:bottom w:val="single" w:sz="8" w:space="0" w:color="auto"/>
            </w:tcBorders>
            <w:tcMar>
              <w:top w:w="8" w:type="dxa"/>
              <w:left w:w="28" w:type="dxa"/>
              <w:bottom w:w="8" w:type="dxa"/>
              <w:right w:w="28" w:type="dxa"/>
            </w:tcMar>
            <w:vAlign w:val="center"/>
          </w:tcPr>
          <w:p w14:paraId="708B9094" w14:textId="06EA29CD"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14" w:type="pct"/>
            <w:gridSpan w:val="2"/>
            <w:tcBorders>
              <w:bottom w:val="single" w:sz="8" w:space="0" w:color="auto"/>
              <w:right w:val="single" w:sz="18" w:space="0" w:color="auto"/>
            </w:tcBorders>
            <w:tcMar>
              <w:top w:w="8" w:type="dxa"/>
              <w:left w:w="28" w:type="dxa"/>
              <w:bottom w:w="8" w:type="dxa"/>
              <w:right w:w="28" w:type="dxa"/>
            </w:tcMar>
            <w:vAlign w:val="center"/>
          </w:tcPr>
          <w:p w14:paraId="353666E4" w14:textId="60525C56"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4" w:type="pct"/>
            <w:tcBorders>
              <w:left w:val="single" w:sz="18" w:space="0" w:color="auto"/>
              <w:bottom w:val="single" w:sz="8" w:space="0" w:color="auto"/>
            </w:tcBorders>
            <w:tcMar>
              <w:top w:w="8" w:type="dxa"/>
              <w:left w:w="28" w:type="dxa"/>
              <w:bottom w:w="8" w:type="dxa"/>
              <w:right w:w="28" w:type="dxa"/>
            </w:tcMar>
            <w:vAlign w:val="bottom"/>
          </w:tcPr>
          <w:p w14:paraId="03160CAD" w14:textId="7F06985B" w:rsidR="003D0A0E" w:rsidRPr="00F5353D" w:rsidRDefault="003D0A0E" w:rsidP="003D0A0E">
            <w:pPr>
              <w:tabs>
                <w:tab w:val="decimal" w:pos="288"/>
              </w:tabs>
              <w:spacing w:line="200" w:lineRule="auto"/>
              <w:jc w:val="center"/>
              <w:rPr>
                <w:sz w:val="20"/>
                <w:szCs w:val="20"/>
              </w:rPr>
            </w:pPr>
            <w:r w:rsidRPr="00F5353D">
              <w:rPr>
                <w:color w:val="000000"/>
                <w:sz w:val="20"/>
                <w:szCs w:val="20"/>
              </w:rPr>
              <w:t>0.28</w:t>
            </w:r>
          </w:p>
        </w:tc>
        <w:tc>
          <w:tcPr>
            <w:tcW w:w="209" w:type="pct"/>
            <w:tcBorders>
              <w:bottom w:val="single" w:sz="8" w:space="0" w:color="auto"/>
              <w:right w:val="single" w:sz="8" w:space="0" w:color="auto"/>
            </w:tcBorders>
            <w:tcMar>
              <w:top w:w="8" w:type="dxa"/>
              <w:left w:w="28" w:type="dxa"/>
              <w:bottom w:w="8" w:type="dxa"/>
              <w:right w:w="28" w:type="dxa"/>
            </w:tcMar>
            <w:vAlign w:val="bottom"/>
          </w:tcPr>
          <w:p w14:paraId="7FF10623" w14:textId="3B0FC947" w:rsidR="003D0A0E" w:rsidRPr="00F5353D" w:rsidRDefault="003D0A0E" w:rsidP="003D0A0E">
            <w:pPr>
              <w:tabs>
                <w:tab w:val="decimal" w:pos="288"/>
              </w:tabs>
              <w:spacing w:line="200" w:lineRule="auto"/>
              <w:jc w:val="center"/>
              <w:rPr>
                <w:sz w:val="20"/>
                <w:szCs w:val="20"/>
              </w:rPr>
            </w:pPr>
            <w:r w:rsidRPr="00F5353D">
              <w:rPr>
                <w:color w:val="000000"/>
                <w:sz w:val="20"/>
                <w:szCs w:val="20"/>
              </w:rPr>
              <w:t>2.10</w:t>
            </w:r>
          </w:p>
        </w:tc>
        <w:tc>
          <w:tcPr>
            <w:tcW w:w="209" w:type="pct"/>
            <w:tcBorders>
              <w:left w:val="single" w:sz="8" w:space="0" w:color="auto"/>
              <w:bottom w:val="single" w:sz="8" w:space="0" w:color="auto"/>
            </w:tcBorders>
            <w:tcMar>
              <w:top w:w="8" w:type="dxa"/>
              <w:left w:w="28" w:type="dxa"/>
              <w:bottom w:w="8" w:type="dxa"/>
              <w:right w:w="28" w:type="dxa"/>
            </w:tcMar>
            <w:vAlign w:val="bottom"/>
          </w:tcPr>
          <w:p w14:paraId="5C855CE2" w14:textId="371450B0" w:rsidR="003D0A0E" w:rsidRPr="00F5353D" w:rsidRDefault="003D0A0E" w:rsidP="003D0A0E">
            <w:pPr>
              <w:tabs>
                <w:tab w:val="decimal" w:pos="288"/>
              </w:tabs>
              <w:spacing w:line="200" w:lineRule="auto"/>
              <w:jc w:val="center"/>
              <w:rPr>
                <w:sz w:val="20"/>
                <w:szCs w:val="20"/>
              </w:rPr>
            </w:pPr>
            <w:r w:rsidRPr="00F5353D">
              <w:rPr>
                <w:color w:val="000000"/>
                <w:sz w:val="20"/>
                <w:szCs w:val="20"/>
              </w:rPr>
              <w:t>0.33</w:t>
            </w:r>
          </w:p>
        </w:tc>
        <w:tc>
          <w:tcPr>
            <w:tcW w:w="245" w:type="pct"/>
            <w:tcBorders>
              <w:bottom w:val="single" w:sz="8" w:space="0" w:color="auto"/>
              <w:right w:val="single" w:sz="18" w:space="0" w:color="auto"/>
            </w:tcBorders>
            <w:tcMar>
              <w:top w:w="8" w:type="dxa"/>
              <w:left w:w="28" w:type="dxa"/>
              <w:bottom w:w="8" w:type="dxa"/>
              <w:right w:w="28" w:type="dxa"/>
            </w:tcMar>
            <w:vAlign w:val="bottom"/>
          </w:tcPr>
          <w:p w14:paraId="034937BA" w14:textId="216845CF" w:rsidR="003D0A0E" w:rsidRPr="00F5353D" w:rsidRDefault="003D0A0E" w:rsidP="003D0A0E">
            <w:pPr>
              <w:tabs>
                <w:tab w:val="decimal" w:pos="288"/>
              </w:tabs>
              <w:spacing w:line="200" w:lineRule="auto"/>
              <w:jc w:val="center"/>
              <w:rPr>
                <w:sz w:val="20"/>
                <w:szCs w:val="20"/>
              </w:rPr>
            </w:pPr>
            <w:r w:rsidRPr="00F5353D">
              <w:rPr>
                <w:color w:val="000000"/>
                <w:sz w:val="20"/>
                <w:szCs w:val="20"/>
              </w:rPr>
              <w:t>2.58</w:t>
            </w:r>
          </w:p>
        </w:tc>
        <w:tc>
          <w:tcPr>
            <w:tcW w:w="209" w:type="pct"/>
            <w:tcBorders>
              <w:left w:val="single" w:sz="18" w:space="0" w:color="auto"/>
              <w:bottom w:val="single" w:sz="8" w:space="0" w:color="auto"/>
            </w:tcBorders>
            <w:tcMar>
              <w:top w:w="8" w:type="dxa"/>
              <w:left w:w="28" w:type="dxa"/>
              <w:bottom w:w="8" w:type="dxa"/>
              <w:right w:w="28" w:type="dxa"/>
            </w:tcMar>
            <w:vAlign w:val="center"/>
          </w:tcPr>
          <w:p w14:paraId="2AEB8415" w14:textId="2D3D92C8"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6" w:type="pct"/>
            <w:tcBorders>
              <w:bottom w:val="single" w:sz="8" w:space="0" w:color="auto"/>
              <w:right w:val="single" w:sz="18" w:space="0" w:color="auto"/>
            </w:tcBorders>
            <w:tcMar>
              <w:top w:w="8" w:type="dxa"/>
              <w:left w:w="28" w:type="dxa"/>
              <w:bottom w:w="8" w:type="dxa"/>
              <w:right w:w="28" w:type="dxa"/>
            </w:tcMar>
            <w:vAlign w:val="center"/>
          </w:tcPr>
          <w:p w14:paraId="2836E53C" w14:textId="2E34D946"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18" w:space="0" w:color="auto"/>
              <w:bottom w:val="single" w:sz="8" w:space="0" w:color="auto"/>
            </w:tcBorders>
            <w:tcMar>
              <w:top w:w="8" w:type="dxa"/>
              <w:left w:w="28" w:type="dxa"/>
              <w:bottom w:w="8" w:type="dxa"/>
              <w:right w:w="28" w:type="dxa"/>
            </w:tcMar>
            <w:vAlign w:val="bottom"/>
          </w:tcPr>
          <w:p w14:paraId="5D0503D7" w14:textId="08140CC0" w:rsidR="003D0A0E" w:rsidRPr="00F5353D" w:rsidRDefault="003D0A0E" w:rsidP="003D0A0E">
            <w:pPr>
              <w:tabs>
                <w:tab w:val="decimal" w:pos="288"/>
              </w:tabs>
              <w:spacing w:line="200" w:lineRule="auto"/>
              <w:jc w:val="center"/>
              <w:rPr>
                <w:sz w:val="20"/>
                <w:szCs w:val="20"/>
              </w:rPr>
            </w:pPr>
            <w:r w:rsidRPr="00F5353D">
              <w:rPr>
                <w:color w:val="000000"/>
                <w:sz w:val="20"/>
                <w:szCs w:val="20"/>
              </w:rPr>
              <w:t>0.46</w:t>
            </w:r>
          </w:p>
        </w:tc>
        <w:tc>
          <w:tcPr>
            <w:tcW w:w="209" w:type="pct"/>
            <w:tcBorders>
              <w:bottom w:val="single" w:sz="8" w:space="0" w:color="auto"/>
              <w:right w:val="single" w:sz="8" w:space="0" w:color="auto"/>
            </w:tcBorders>
            <w:tcMar>
              <w:top w:w="8" w:type="dxa"/>
              <w:left w:w="28" w:type="dxa"/>
              <w:bottom w:w="8" w:type="dxa"/>
              <w:right w:w="28" w:type="dxa"/>
            </w:tcMar>
            <w:vAlign w:val="bottom"/>
          </w:tcPr>
          <w:p w14:paraId="24712F2A" w14:textId="0439C8F1" w:rsidR="003D0A0E" w:rsidRPr="00F5353D" w:rsidRDefault="003D0A0E" w:rsidP="003D0A0E">
            <w:pPr>
              <w:tabs>
                <w:tab w:val="decimal" w:pos="288"/>
              </w:tabs>
              <w:spacing w:line="200" w:lineRule="auto"/>
              <w:jc w:val="center"/>
              <w:rPr>
                <w:sz w:val="20"/>
                <w:szCs w:val="20"/>
              </w:rPr>
            </w:pPr>
            <w:r w:rsidRPr="00F5353D">
              <w:rPr>
                <w:color w:val="000000"/>
                <w:sz w:val="20"/>
                <w:szCs w:val="20"/>
              </w:rPr>
              <w:t>3.75</w:t>
            </w:r>
          </w:p>
        </w:tc>
        <w:tc>
          <w:tcPr>
            <w:tcW w:w="207" w:type="pct"/>
            <w:gridSpan w:val="2"/>
            <w:tcBorders>
              <w:left w:val="single" w:sz="8" w:space="0" w:color="auto"/>
              <w:bottom w:val="single" w:sz="8" w:space="0" w:color="auto"/>
            </w:tcBorders>
            <w:tcMar>
              <w:top w:w="8" w:type="dxa"/>
              <w:left w:w="28" w:type="dxa"/>
              <w:bottom w:w="8" w:type="dxa"/>
              <w:right w:w="28" w:type="dxa"/>
            </w:tcMar>
            <w:vAlign w:val="bottom"/>
          </w:tcPr>
          <w:p w14:paraId="252B32DB" w14:textId="06B56F5D" w:rsidR="003D0A0E" w:rsidRPr="00F5353D" w:rsidRDefault="003D0A0E" w:rsidP="003D0A0E">
            <w:pPr>
              <w:tabs>
                <w:tab w:val="decimal" w:pos="288"/>
              </w:tabs>
              <w:spacing w:line="200" w:lineRule="auto"/>
              <w:jc w:val="center"/>
              <w:rPr>
                <w:sz w:val="20"/>
                <w:szCs w:val="20"/>
              </w:rPr>
            </w:pPr>
            <w:r w:rsidRPr="00F5353D">
              <w:rPr>
                <w:color w:val="000000"/>
                <w:sz w:val="20"/>
                <w:szCs w:val="20"/>
              </w:rPr>
              <w:t>0.38</w:t>
            </w:r>
          </w:p>
        </w:tc>
        <w:tc>
          <w:tcPr>
            <w:tcW w:w="200" w:type="pct"/>
            <w:tcBorders>
              <w:bottom w:val="single" w:sz="8" w:space="0" w:color="auto"/>
            </w:tcBorders>
            <w:tcMar>
              <w:top w:w="8" w:type="dxa"/>
              <w:left w:w="28" w:type="dxa"/>
              <w:bottom w:w="8" w:type="dxa"/>
              <w:right w:w="28" w:type="dxa"/>
            </w:tcMar>
            <w:vAlign w:val="bottom"/>
          </w:tcPr>
          <w:p w14:paraId="054AB1D0" w14:textId="797DF91B" w:rsidR="003D0A0E" w:rsidRPr="00F5353D" w:rsidRDefault="003D0A0E" w:rsidP="003D0A0E">
            <w:pPr>
              <w:tabs>
                <w:tab w:val="decimal" w:pos="288"/>
              </w:tabs>
              <w:spacing w:line="200" w:lineRule="auto"/>
              <w:jc w:val="center"/>
              <w:rPr>
                <w:sz w:val="20"/>
                <w:szCs w:val="20"/>
              </w:rPr>
            </w:pPr>
            <w:r w:rsidRPr="00F5353D">
              <w:rPr>
                <w:color w:val="000000"/>
                <w:sz w:val="20"/>
                <w:szCs w:val="20"/>
              </w:rPr>
              <w:t>3.51</w:t>
            </w:r>
          </w:p>
        </w:tc>
      </w:tr>
      <w:tr w:rsidR="003D0A0E" w:rsidRPr="00F5353D" w14:paraId="7B277E66" w14:textId="77777777" w:rsidTr="008C7AA0">
        <w:trPr>
          <w:cantSplit/>
          <w:trHeight w:val="187"/>
        </w:trPr>
        <w:tc>
          <w:tcPr>
            <w:tcW w:w="862" w:type="pct"/>
            <w:vMerge w:val="restart"/>
            <w:tcBorders>
              <w:top w:val="single" w:sz="8" w:space="0" w:color="auto"/>
              <w:right w:val="single" w:sz="8" w:space="0" w:color="auto"/>
            </w:tcBorders>
            <w:tcMar>
              <w:top w:w="8" w:type="dxa"/>
              <w:left w:w="28" w:type="dxa"/>
              <w:bottom w:w="8" w:type="dxa"/>
              <w:right w:w="28" w:type="dxa"/>
            </w:tcMar>
            <w:vAlign w:val="center"/>
          </w:tcPr>
          <w:p w14:paraId="5595EDE5" w14:textId="77777777" w:rsidR="003D0A0E" w:rsidRPr="00F5353D" w:rsidRDefault="003D0A0E" w:rsidP="003D0A0E">
            <w:pPr>
              <w:spacing w:line="200" w:lineRule="auto"/>
              <w:rPr>
                <w:sz w:val="20"/>
                <w:szCs w:val="20"/>
              </w:rPr>
            </w:pPr>
            <w:r w:rsidRPr="00F5353D">
              <w:rPr>
                <w:sz w:val="20"/>
                <w:szCs w:val="20"/>
              </w:rPr>
              <w:t>Race (White)</w:t>
            </w:r>
          </w:p>
        </w:tc>
        <w:tc>
          <w:tcPr>
            <w:tcW w:w="737" w:type="pct"/>
            <w:tcBorders>
              <w:top w:val="single" w:sz="8" w:space="0" w:color="auto"/>
              <w:left w:val="single" w:sz="8" w:space="0" w:color="auto"/>
              <w:right w:val="single" w:sz="18" w:space="0" w:color="auto"/>
            </w:tcBorders>
            <w:tcMar>
              <w:top w:w="8" w:type="dxa"/>
              <w:left w:w="28" w:type="dxa"/>
              <w:bottom w:w="8" w:type="dxa"/>
              <w:right w:w="28" w:type="dxa"/>
            </w:tcMar>
            <w:vAlign w:val="center"/>
          </w:tcPr>
          <w:p w14:paraId="73D44647" w14:textId="77777777" w:rsidR="003D0A0E" w:rsidRPr="00F5353D" w:rsidRDefault="003D0A0E" w:rsidP="003D0A0E">
            <w:pPr>
              <w:spacing w:line="200" w:lineRule="auto"/>
              <w:rPr>
                <w:sz w:val="20"/>
                <w:szCs w:val="20"/>
              </w:rPr>
            </w:pPr>
            <w:r w:rsidRPr="00F5353D">
              <w:rPr>
                <w:sz w:val="20"/>
                <w:szCs w:val="20"/>
              </w:rPr>
              <w:t>Black</w:t>
            </w:r>
          </w:p>
        </w:tc>
        <w:tc>
          <w:tcPr>
            <w:tcW w:w="209" w:type="pct"/>
            <w:tcBorders>
              <w:top w:val="single" w:sz="8" w:space="0" w:color="auto"/>
              <w:left w:val="single" w:sz="18" w:space="0" w:color="auto"/>
            </w:tcBorders>
            <w:tcMar>
              <w:top w:w="8" w:type="dxa"/>
              <w:left w:w="28" w:type="dxa"/>
              <w:bottom w:w="8" w:type="dxa"/>
              <w:right w:w="28" w:type="dxa"/>
            </w:tcMar>
            <w:vAlign w:val="center"/>
          </w:tcPr>
          <w:p w14:paraId="3198F4B3" w14:textId="4451D90C"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gridSpan w:val="2"/>
            <w:tcBorders>
              <w:top w:val="single" w:sz="8" w:space="0" w:color="auto"/>
              <w:right w:val="single" w:sz="18" w:space="0" w:color="auto"/>
            </w:tcBorders>
            <w:tcMar>
              <w:top w:w="8" w:type="dxa"/>
              <w:left w:w="28" w:type="dxa"/>
              <w:bottom w:w="8" w:type="dxa"/>
              <w:right w:w="28" w:type="dxa"/>
            </w:tcMar>
            <w:vAlign w:val="center"/>
          </w:tcPr>
          <w:p w14:paraId="53F047E0" w14:textId="13008970"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4" w:type="pct"/>
            <w:tcBorders>
              <w:top w:val="single" w:sz="8" w:space="0" w:color="auto"/>
              <w:left w:val="single" w:sz="18" w:space="0" w:color="auto"/>
            </w:tcBorders>
            <w:tcMar>
              <w:top w:w="8" w:type="dxa"/>
              <w:left w:w="28" w:type="dxa"/>
              <w:bottom w:w="8" w:type="dxa"/>
              <w:right w:w="28" w:type="dxa"/>
            </w:tcMar>
            <w:vAlign w:val="center"/>
          </w:tcPr>
          <w:p w14:paraId="440235D7" w14:textId="16A54CA1"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right w:val="single" w:sz="8" w:space="0" w:color="auto"/>
            </w:tcBorders>
            <w:tcMar>
              <w:top w:w="8" w:type="dxa"/>
              <w:left w:w="28" w:type="dxa"/>
              <w:bottom w:w="8" w:type="dxa"/>
              <w:right w:w="28" w:type="dxa"/>
            </w:tcMar>
            <w:vAlign w:val="center"/>
          </w:tcPr>
          <w:p w14:paraId="23D84E4D" w14:textId="5E798624"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left w:val="single" w:sz="8" w:space="0" w:color="auto"/>
            </w:tcBorders>
            <w:tcMar>
              <w:top w:w="8" w:type="dxa"/>
              <w:left w:w="28" w:type="dxa"/>
              <w:bottom w:w="8" w:type="dxa"/>
              <w:right w:w="28" w:type="dxa"/>
            </w:tcMar>
            <w:vAlign w:val="bottom"/>
          </w:tcPr>
          <w:p w14:paraId="3C40A79B" w14:textId="28686916" w:rsidR="003D0A0E" w:rsidRPr="00F5353D" w:rsidRDefault="003D0A0E" w:rsidP="003D0A0E">
            <w:pPr>
              <w:tabs>
                <w:tab w:val="decimal" w:pos="288"/>
              </w:tabs>
              <w:spacing w:line="200" w:lineRule="auto"/>
              <w:jc w:val="center"/>
              <w:rPr>
                <w:sz w:val="20"/>
                <w:szCs w:val="20"/>
              </w:rPr>
            </w:pPr>
            <w:r w:rsidRPr="00F5353D">
              <w:rPr>
                <w:color w:val="000000"/>
                <w:sz w:val="20"/>
                <w:szCs w:val="20"/>
              </w:rPr>
              <w:t>-0.22</w:t>
            </w:r>
          </w:p>
        </w:tc>
        <w:tc>
          <w:tcPr>
            <w:tcW w:w="214" w:type="pct"/>
            <w:gridSpan w:val="2"/>
            <w:tcBorders>
              <w:top w:val="single" w:sz="8" w:space="0" w:color="auto"/>
              <w:right w:val="single" w:sz="18" w:space="0" w:color="auto"/>
            </w:tcBorders>
            <w:tcMar>
              <w:top w:w="8" w:type="dxa"/>
              <w:left w:w="28" w:type="dxa"/>
              <w:bottom w:w="8" w:type="dxa"/>
              <w:right w:w="28" w:type="dxa"/>
            </w:tcMar>
            <w:vAlign w:val="bottom"/>
          </w:tcPr>
          <w:p w14:paraId="176AB1AA" w14:textId="489444D6" w:rsidR="003D0A0E" w:rsidRPr="00F5353D" w:rsidRDefault="003D0A0E" w:rsidP="003D0A0E">
            <w:pPr>
              <w:tabs>
                <w:tab w:val="decimal" w:pos="288"/>
              </w:tabs>
              <w:spacing w:line="200" w:lineRule="auto"/>
              <w:jc w:val="center"/>
              <w:rPr>
                <w:sz w:val="20"/>
                <w:szCs w:val="20"/>
              </w:rPr>
            </w:pPr>
            <w:r w:rsidRPr="00F5353D">
              <w:rPr>
                <w:color w:val="000000"/>
                <w:sz w:val="20"/>
                <w:szCs w:val="20"/>
              </w:rPr>
              <w:t>-1.11</w:t>
            </w:r>
          </w:p>
        </w:tc>
        <w:tc>
          <w:tcPr>
            <w:tcW w:w="204" w:type="pct"/>
            <w:tcBorders>
              <w:top w:val="single" w:sz="8" w:space="0" w:color="auto"/>
              <w:left w:val="single" w:sz="18" w:space="0" w:color="auto"/>
            </w:tcBorders>
            <w:tcMar>
              <w:top w:w="8" w:type="dxa"/>
              <w:left w:w="28" w:type="dxa"/>
              <w:bottom w:w="8" w:type="dxa"/>
              <w:right w:w="28" w:type="dxa"/>
            </w:tcMar>
            <w:vAlign w:val="bottom"/>
          </w:tcPr>
          <w:p w14:paraId="732E7DC1" w14:textId="7EA80B43" w:rsidR="003D0A0E" w:rsidRPr="00F5353D" w:rsidRDefault="003D0A0E" w:rsidP="003D0A0E">
            <w:pPr>
              <w:tabs>
                <w:tab w:val="decimal" w:pos="288"/>
              </w:tabs>
              <w:spacing w:line="200" w:lineRule="auto"/>
              <w:jc w:val="center"/>
              <w:rPr>
                <w:sz w:val="20"/>
                <w:szCs w:val="20"/>
              </w:rPr>
            </w:pPr>
            <w:r w:rsidRPr="00F5353D">
              <w:rPr>
                <w:color w:val="000000"/>
                <w:sz w:val="20"/>
                <w:szCs w:val="20"/>
              </w:rPr>
              <w:t>0.10</w:t>
            </w:r>
          </w:p>
        </w:tc>
        <w:tc>
          <w:tcPr>
            <w:tcW w:w="209" w:type="pct"/>
            <w:tcBorders>
              <w:top w:val="single" w:sz="8" w:space="0" w:color="auto"/>
              <w:right w:val="single" w:sz="8" w:space="0" w:color="auto"/>
            </w:tcBorders>
            <w:tcMar>
              <w:top w:w="8" w:type="dxa"/>
              <w:left w:w="28" w:type="dxa"/>
              <w:bottom w:w="8" w:type="dxa"/>
              <w:right w:w="28" w:type="dxa"/>
            </w:tcMar>
            <w:vAlign w:val="bottom"/>
          </w:tcPr>
          <w:p w14:paraId="599B3B64" w14:textId="0FC4F28B" w:rsidR="003D0A0E" w:rsidRPr="00F5353D" w:rsidRDefault="003D0A0E" w:rsidP="003D0A0E">
            <w:pPr>
              <w:tabs>
                <w:tab w:val="decimal" w:pos="288"/>
              </w:tabs>
              <w:spacing w:line="200" w:lineRule="auto"/>
              <w:jc w:val="center"/>
              <w:rPr>
                <w:sz w:val="20"/>
                <w:szCs w:val="20"/>
              </w:rPr>
            </w:pPr>
            <w:r w:rsidRPr="00F5353D">
              <w:rPr>
                <w:color w:val="000000"/>
                <w:sz w:val="20"/>
                <w:szCs w:val="20"/>
              </w:rPr>
              <w:t>1.20</w:t>
            </w:r>
          </w:p>
        </w:tc>
        <w:tc>
          <w:tcPr>
            <w:tcW w:w="209" w:type="pct"/>
            <w:tcBorders>
              <w:top w:val="single" w:sz="8" w:space="0" w:color="auto"/>
              <w:left w:val="single" w:sz="8" w:space="0" w:color="auto"/>
            </w:tcBorders>
            <w:tcMar>
              <w:top w:w="8" w:type="dxa"/>
              <w:left w:w="28" w:type="dxa"/>
              <w:bottom w:w="8" w:type="dxa"/>
              <w:right w:w="28" w:type="dxa"/>
            </w:tcMar>
            <w:vAlign w:val="center"/>
          </w:tcPr>
          <w:p w14:paraId="334242EC" w14:textId="53BD483E"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5" w:type="pct"/>
            <w:tcBorders>
              <w:top w:val="single" w:sz="8" w:space="0" w:color="auto"/>
              <w:right w:val="single" w:sz="18" w:space="0" w:color="auto"/>
            </w:tcBorders>
            <w:tcMar>
              <w:top w:w="8" w:type="dxa"/>
              <w:left w:w="28" w:type="dxa"/>
              <w:bottom w:w="8" w:type="dxa"/>
              <w:right w:w="28" w:type="dxa"/>
            </w:tcMar>
            <w:vAlign w:val="center"/>
          </w:tcPr>
          <w:p w14:paraId="100E182D" w14:textId="1F895655"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left w:val="single" w:sz="18" w:space="0" w:color="auto"/>
            </w:tcBorders>
            <w:tcMar>
              <w:top w:w="8" w:type="dxa"/>
              <w:left w:w="28" w:type="dxa"/>
              <w:bottom w:w="8" w:type="dxa"/>
              <w:right w:w="28" w:type="dxa"/>
            </w:tcMar>
            <w:vAlign w:val="center"/>
          </w:tcPr>
          <w:p w14:paraId="07C231EB" w14:textId="72C1AC41"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6" w:type="pct"/>
            <w:tcBorders>
              <w:top w:val="single" w:sz="8" w:space="0" w:color="auto"/>
              <w:right w:val="single" w:sz="18" w:space="0" w:color="auto"/>
            </w:tcBorders>
            <w:tcMar>
              <w:top w:w="8" w:type="dxa"/>
              <w:left w:w="28" w:type="dxa"/>
              <w:bottom w:w="8" w:type="dxa"/>
              <w:right w:w="28" w:type="dxa"/>
            </w:tcMar>
            <w:vAlign w:val="center"/>
          </w:tcPr>
          <w:p w14:paraId="4001C75B" w14:textId="0AFA2E5B"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left w:val="single" w:sz="18" w:space="0" w:color="auto"/>
            </w:tcBorders>
            <w:tcMar>
              <w:top w:w="8" w:type="dxa"/>
              <w:left w:w="28" w:type="dxa"/>
              <w:bottom w:w="8" w:type="dxa"/>
              <w:right w:w="28" w:type="dxa"/>
            </w:tcMar>
            <w:vAlign w:val="center"/>
          </w:tcPr>
          <w:p w14:paraId="1F49D6BC" w14:textId="3AD10C89"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right w:val="single" w:sz="8" w:space="0" w:color="auto"/>
            </w:tcBorders>
            <w:tcMar>
              <w:top w:w="8" w:type="dxa"/>
              <w:left w:w="28" w:type="dxa"/>
              <w:bottom w:w="8" w:type="dxa"/>
              <w:right w:w="28" w:type="dxa"/>
            </w:tcMar>
            <w:vAlign w:val="center"/>
          </w:tcPr>
          <w:p w14:paraId="6EBFBA9E" w14:textId="00DAB572"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7" w:type="pct"/>
            <w:gridSpan w:val="2"/>
            <w:tcBorders>
              <w:top w:val="single" w:sz="8" w:space="0" w:color="auto"/>
              <w:left w:val="single" w:sz="8" w:space="0" w:color="auto"/>
            </w:tcBorders>
            <w:tcMar>
              <w:top w:w="8" w:type="dxa"/>
              <w:left w:w="28" w:type="dxa"/>
              <w:bottom w:w="8" w:type="dxa"/>
              <w:right w:w="28" w:type="dxa"/>
            </w:tcMar>
            <w:vAlign w:val="bottom"/>
          </w:tcPr>
          <w:p w14:paraId="4C6734D0" w14:textId="42EF5AAB" w:rsidR="003D0A0E" w:rsidRPr="00F5353D" w:rsidRDefault="003D0A0E" w:rsidP="003D0A0E">
            <w:pPr>
              <w:tabs>
                <w:tab w:val="decimal" w:pos="288"/>
              </w:tabs>
              <w:spacing w:line="200" w:lineRule="auto"/>
              <w:jc w:val="center"/>
              <w:rPr>
                <w:sz w:val="20"/>
                <w:szCs w:val="20"/>
              </w:rPr>
            </w:pPr>
            <w:r w:rsidRPr="00F5353D">
              <w:rPr>
                <w:color w:val="000000"/>
                <w:sz w:val="20"/>
                <w:szCs w:val="20"/>
              </w:rPr>
              <w:t>-0.34</w:t>
            </w:r>
          </w:p>
        </w:tc>
        <w:tc>
          <w:tcPr>
            <w:tcW w:w="200" w:type="pct"/>
            <w:tcBorders>
              <w:top w:val="single" w:sz="8" w:space="0" w:color="auto"/>
            </w:tcBorders>
            <w:tcMar>
              <w:top w:w="8" w:type="dxa"/>
              <w:left w:w="28" w:type="dxa"/>
              <w:bottom w:w="8" w:type="dxa"/>
              <w:right w:w="28" w:type="dxa"/>
            </w:tcMar>
            <w:vAlign w:val="bottom"/>
          </w:tcPr>
          <w:p w14:paraId="2E61DB51" w14:textId="73762A02" w:rsidR="003D0A0E" w:rsidRPr="00F5353D" w:rsidRDefault="003D0A0E" w:rsidP="003D0A0E">
            <w:pPr>
              <w:tabs>
                <w:tab w:val="decimal" w:pos="288"/>
              </w:tabs>
              <w:spacing w:line="200" w:lineRule="auto"/>
              <w:jc w:val="center"/>
              <w:rPr>
                <w:sz w:val="20"/>
                <w:szCs w:val="20"/>
              </w:rPr>
            </w:pPr>
            <w:r w:rsidRPr="00F5353D">
              <w:rPr>
                <w:color w:val="000000"/>
                <w:sz w:val="20"/>
                <w:szCs w:val="20"/>
              </w:rPr>
              <w:t>-2.77</w:t>
            </w:r>
          </w:p>
        </w:tc>
      </w:tr>
      <w:tr w:rsidR="003D0A0E" w:rsidRPr="00F5353D" w14:paraId="2E699DF7" w14:textId="77777777" w:rsidTr="005D6432">
        <w:trPr>
          <w:cantSplit/>
          <w:trHeight w:val="187"/>
        </w:trPr>
        <w:tc>
          <w:tcPr>
            <w:tcW w:w="862" w:type="pct"/>
            <w:vMerge/>
            <w:tcBorders>
              <w:right w:val="single" w:sz="8" w:space="0" w:color="auto"/>
            </w:tcBorders>
            <w:tcMar>
              <w:top w:w="8" w:type="dxa"/>
              <w:left w:w="28" w:type="dxa"/>
              <w:bottom w:w="8" w:type="dxa"/>
              <w:right w:w="28" w:type="dxa"/>
            </w:tcMar>
            <w:vAlign w:val="center"/>
          </w:tcPr>
          <w:p w14:paraId="3529164D" w14:textId="77777777" w:rsidR="003D0A0E" w:rsidRPr="00F5353D" w:rsidRDefault="003D0A0E" w:rsidP="003D0A0E">
            <w:pPr>
              <w:spacing w:line="200" w:lineRule="auto"/>
              <w:rPr>
                <w:sz w:val="20"/>
                <w:szCs w:val="20"/>
              </w:rPr>
            </w:pPr>
          </w:p>
        </w:tc>
        <w:tc>
          <w:tcPr>
            <w:tcW w:w="737" w:type="pct"/>
            <w:tcBorders>
              <w:left w:val="single" w:sz="8" w:space="0" w:color="auto"/>
              <w:right w:val="single" w:sz="18" w:space="0" w:color="auto"/>
            </w:tcBorders>
            <w:tcMar>
              <w:top w:w="8" w:type="dxa"/>
              <w:left w:w="28" w:type="dxa"/>
              <w:bottom w:w="8" w:type="dxa"/>
              <w:right w:w="28" w:type="dxa"/>
            </w:tcMar>
            <w:vAlign w:val="center"/>
          </w:tcPr>
          <w:p w14:paraId="04495C92" w14:textId="4D230B75" w:rsidR="003D0A0E" w:rsidRPr="00F5353D" w:rsidRDefault="003D0A0E" w:rsidP="003D0A0E">
            <w:pPr>
              <w:spacing w:line="200" w:lineRule="auto"/>
              <w:rPr>
                <w:sz w:val="20"/>
                <w:szCs w:val="20"/>
              </w:rPr>
            </w:pPr>
            <w:r w:rsidRPr="00F5353D">
              <w:rPr>
                <w:sz w:val="20"/>
                <w:szCs w:val="20"/>
              </w:rPr>
              <w:t>Asian/Pacific Islander</w:t>
            </w:r>
          </w:p>
        </w:tc>
        <w:tc>
          <w:tcPr>
            <w:tcW w:w="209" w:type="pct"/>
            <w:tcBorders>
              <w:left w:val="single" w:sz="18" w:space="0" w:color="auto"/>
            </w:tcBorders>
            <w:tcMar>
              <w:top w:w="8" w:type="dxa"/>
              <w:left w:w="28" w:type="dxa"/>
              <w:bottom w:w="8" w:type="dxa"/>
              <w:right w:w="28" w:type="dxa"/>
            </w:tcMar>
            <w:vAlign w:val="bottom"/>
          </w:tcPr>
          <w:p w14:paraId="0D71034A" w14:textId="02E3D573" w:rsidR="003D0A0E" w:rsidRPr="00F5353D" w:rsidRDefault="003D0A0E" w:rsidP="003D0A0E">
            <w:pPr>
              <w:tabs>
                <w:tab w:val="decimal" w:pos="288"/>
              </w:tabs>
              <w:spacing w:line="200" w:lineRule="auto"/>
              <w:jc w:val="center"/>
              <w:rPr>
                <w:sz w:val="20"/>
                <w:szCs w:val="20"/>
              </w:rPr>
            </w:pPr>
            <w:r w:rsidRPr="00F5353D">
              <w:rPr>
                <w:color w:val="000000"/>
                <w:sz w:val="20"/>
                <w:szCs w:val="20"/>
              </w:rPr>
              <w:t>0.12</w:t>
            </w:r>
          </w:p>
        </w:tc>
        <w:tc>
          <w:tcPr>
            <w:tcW w:w="209" w:type="pct"/>
            <w:gridSpan w:val="2"/>
            <w:tcBorders>
              <w:right w:val="single" w:sz="18" w:space="0" w:color="auto"/>
            </w:tcBorders>
            <w:tcMar>
              <w:top w:w="8" w:type="dxa"/>
              <w:left w:w="28" w:type="dxa"/>
              <w:bottom w:w="8" w:type="dxa"/>
              <w:right w:w="28" w:type="dxa"/>
            </w:tcMar>
            <w:vAlign w:val="bottom"/>
          </w:tcPr>
          <w:p w14:paraId="4397F4D7" w14:textId="79803C78" w:rsidR="003D0A0E" w:rsidRPr="00F5353D" w:rsidRDefault="003D0A0E" w:rsidP="003D0A0E">
            <w:pPr>
              <w:tabs>
                <w:tab w:val="decimal" w:pos="288"/>
              </w:tabs>
              <w:spacing w:line="200" w:lineRule="auto"/>
              <w:jc w:val="center"/>
              <w:rPr>
                <w:sz w:val="20"/>
                <w:szCs w:val="20"/>
              </w:rPr>
            </w:pPr>
            <w:r w:rsidRPr="00F5353D">
              <w:rPr>
                <w:color w:val="000000"/>
                <w:sz w:val="20"/>
                <w:szCs w:val="20"/>
              </w:rPr>
              <w:t>1.87</w:t>
            </w:r>
          </w:p>
        </w:tc>
        <w:tc>
          <w:tcPr>
            <w:tcW w:w="204" w:type="pct"/>
            <w:tcBorders>
              <w:left w:val="single" w:sz="18" w:space="0" w:color="auto"/>
            </w:tcBorders>
            <w:tcMar>
              <w:top w:w="8" w:type="dxa"/>
              <w:left w:w="28" w:type="dxa"/>
              <w:bottom w:w="8" w:type="dxa"/>
              <w:right w:w="28" w:type="dxa"/>
            </w:tcMar>
            <w:vAlign w:val="center"/>
          </w:tcPr>
          <w:p w14:paraId="3798B678" w14:textId="1BCE0212"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789CF5AD" w14:textId="49322BDA"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8" w:space="0" w:color="auto"/>
            </w:tcBorders>
            <w:tcMar>
              <w:top w:w="8" w:type="dxa"/>
              <w:left w:w="28" w:type="dxa"/>
              <w:bottom w:w="8" w:type="dxa"/>
              <w:right w:w="28" w:type="dxa"/>
            </w:tcMar>
            <w:vAlign w:val="center"/>
          </w:tcPr>
          <w:p w14:paraId="3889F71E" w14:textId="24C936B2"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14" w:type="pct"/>
            <w:gridSpan w:val="2"/>
            <w:tcBorders>
              <w:right w:val="single" w:sz="18" w:space="0" w:color="auto"/>
            </w:tcBorders>
            <w:tcMar>
              <w:top w:w="8" w:type="dxa"/>
              <w:left w:w="28" w:type="dxa"/>
              <w:bottom w:w="8" w:type="dxa"/>
              <w:right w:w="28" w:type="dxa"/>
            </w:tcMar>
            <w:vAlign w:val="center"/>
          </w:tcPr>
          <w:p w14:paraId="1FDA0AC0" w14:textId="5643FEBD"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4" w:type="pct"/>
            <w:tcBorders>
              <w:left w:val="single" w:sz="18" w:space="0" w:color="auto"/>
            </w:tcBorders>
            <w:tcMar>
              <w:top w:w="8" w:type="dxa"/>
              <w:left w:w="28" w:type="dxa"/>
              <w:bottom w:w="8" w:type="dxa"/>
              <w:right w:w="28" w:type="dxa"/>
            </w:tcMar>
            <w:vAlign w:val="center"/>
          </w:tcPr>
          <w:p w14:paraId="0ADB1ADB" w14:textId="09907BB8"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12A1F264" w14:textId="06E6FA45"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8" w:space="0" w:color="auto"/>
            </w:tcBorders>
            <w:tcMar>
              <w:top w:w="8" w:type="dxa"/>
              <w:left w:w="28" w:type="dxa"/>
              <w:bottom w:w="8" w:type="dxa"/>
              <w:right w:w="28" w:type="dxa"/>
            </w:tcMar>
            <w:vAlign w:val="center"/>
          </w:tcPr>
          <w:p w14:paraId="69DCADF5" w14:textId="661BD3EC"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5" w:type="pct"/>
            <w:tcBorders>
              <w:right w:val="single" w:sz="18" w:space="0" w:color="auto"/>
            </w:tcBorders>
            <w:tcMar>
              <w:top w:w="8" w:type="dxa"/>
              <w:left w:w="28" w:type="dxa"/>
              <w:bottom w:w="8" w:type="dxa"/>
              <w:right w:w="28" w:type="dxa"/>
            </w:tcMar>
            <w:vAlign w:val="center"/>
          </w:tcPr>
          <w:p w14:paraId="520A82B8" w14:textId="549E010A"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18" w:space="0" w:color="auto"/>
            </w:tcBorders>
            <w:tcMar>
              <w:top w:w="8" w:type="dxa"/>
              <w:left w:w="28" w:type="dxa"/>
              <w:bottom w:w="8" w:type="dxa"/>
              <w:right w:w="28" w:type="dxa"/>
            </w:tcMar>
            <w:vAlign w:val="center"/>
          </w:tcPr>
          <w:p w14:paraId="7845AA34" w14:textId="4C9AC395"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6" w:type="pct"/>
            <w:tcBorders>
              <w:right w:val="single" w:sz="18" w:space="0" w:color="auto"/>
            </w:tcBorders>
            <w:tcMar>
              <w:top w:w="8" w:type="dxa"/>
              <w:left w:w="28" w:type="dxa"/>
              <w:bottom w:w="8" w:type="dxa"/>
              <w:right w:w="28" w:type="dxa"/>
            </w:tcMar>
            <w:vAlign w:val="center"/>
          </w:tcPr>
          <w:p w14:paraId="239F732B" w14:textId="684E1AFF"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18" w:space="0" w:color="auto"/>
            </w:tcBorders>
            <w:tcMar>
              <w:top w:w="8" w:type="dxa"/>
              <w:left w:w="28" w:type="dxa"/>
              <w:bottom w:w="8" w:type="dxa"/>
              <w:right w:w="28" w:type="dxa"/>
            </w:tcMar>
            <w:vAlign w:val="center"/>
          </w:tcPr>
          <w:p w14:paraId="37121037" w14:textId="176E89BF"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4B04CE6B" w14:textId="06A72774"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7" w:type="pct"/>
            <w:gridSpan w:val="2"/>
            <w:tcBorders>
              <w:left w:val="single" w:sz="8" w:space="0" w:color="auto"/>
            </w:tcBorders>
            <w:tcMar>
              <w:top w:w="8" w:type="dxa"/>
              <w:left w:w="28" w:type="dxa"/>
              <w:bottom w:w="8" w:type="dxa"/>
              <w:right w:w="28" w:type="dxa"/>
            </w:tcMar>
            <w:vAlign w:val="bottom"/>
          </w:tcPr>
          <w:p w14:paraId="126FC0CE" w14:textId="2B5CF2CA" w:rsidR="003D0A0E" w:rsidRPr="00F5353D" w:rsidRDefault="003D0A0E" w:rsidP="003D0A0E">
            <w:pPr>
              <w:tabs>
                <w:tab w:val="decimal" w:pos="288"/>
              </w:tabs>
              <w:spacing w:line="200" w:lineRule="auto"/>
              <w:jc w:val="center"/>
              <w:rPr>
                <w:sz w:val="20"/>
                <w:szCs w:val="20"/>
              </w:rPr>
            </w:pPr>
            <w:r w:rsidRPr="00F5353D">
              <w:rPr>
                <w:color w:val="000000"/>
                <w:sz w:val="20"/>
                <w:szCs w:val="20"/>
              </w:rPr>
              <w:t>0.34</w:t>
            </w:r>
          </w:p>
        </w:tc>
        <w:tc>
          <w:tcPr>
            <w:tcW w:w="200" w:type="pct"/>
            <w:tcMar>
              <w:top w:w="8" w:type="dxa"/>
              <w:left w:w="28" w:type="dxa"/>
              <w:bottom w:w="8" w:type="dxa"/>
              <w:right w:w="28" w:type="dxa"/>
            </w:tcMar>
            <w:vAlign w:val="bottom"/>
          </w:tcPr>
          <w:p w14:paraId="644461D2" w14:textId="27DB0148" w:rsidR="003D0A0E" w:rsidRPr="00F5353D" w:rsidRDefault="003D0A0E" w:rsidP="003D0A0E">
            <w:pPr>
              <w:tabs>
                <w:tab w:val="decimal" w:pos="288"/>
              </w:tabs>
              <w:spacing w:line="200" w:lineRule="auto"/>
              <w:jc w:val="center"/>
              <w:rPr>
                <w:sz w:val="20"/>
                <w:szCs w:val="20"/>
              </w:rPr>
            </w:pPr>
            <w:r w:rsidRPr="00F5353D">
              <w:rPr>
                <w:color w:val="000000"/>
                <w:sz w:val="20"/>
                <w:szCs w:val="20"/>
              </w:rPr>
              <w:t>2.61</w:t>
            </w:r>
          </w:p>
        </w:tc>
      </w:tr>
      <w:tr w:rsidR="003D0A0E" w:rsidRPr="00F5353D" w14:paraId="30F6C726" w14:textId="77777777" w:rsidTr="008C7AA0">
        <w:trPr>
          <w:cantSplit/>
          <w:trHeight w:val="187"/>
        </w:trPr>
        <w:tc>
          <w:tcPr>
            <w:tcW w:w="862" w:type="pct"/>
            <w:vMerge/>
            <w:tcBorders>
              <w:bottom w:val="single" w:sz="8" w:space="0" w:color="auto"/>
              <w:right w:val="single" w:sz="8" w:space="0" w:color="auto"/>
            </w:tcBorders>
            <w:tcMar>
              <w:top w:w="8" w:type="dxa"/>
              <w:left w:w="28" w:type="dxa"/>
              <w:bottom w:w="8" w:type="dxa"/>
              <w:right w:w="28" w:type="dxa"/>
            </w:tcMar>
            <w:vAlign w:val="center"/>
          </w:tcPr>
          <w:p w14:paraId="24DDDD0E" w14:textId="77777777" w:rsidR="003D0A0E" w:rsidRPr="00F5353D" w:rsidRDefault="003D0A0E" w:rsidP="003D0A0E">
            <w:pPr>
              <w:spacing w:line="200" w:lineRule="auto"/>
              <w:rPr>
                <w:sz w:val="20"/>
                <w:szCs w:val="20"/>
              </w:rPr>
            </w:pPr>
          </w:p>
        </w:tc>
        <w:tc>
          <w:tcPr>
            <w:tcW w:w="737" w:type="pct"/>
            <w:tcBorders>
              <w:left w:val="single" w:sz="8" w:space="0" w:color="auto"/>
              <w:bottom w:val="single" w:sz="8" w:space="0" w:color="auto"/>
              <w:right w:val="single" w:sz="18" w:space="0" w:color="auto"/>
            </w:tcBorders>
            <w:tcMar>
              <w:top w:w="8" w:type="dxa"/>
              <w:left w:w="28" w:type="dxa"/>
              <w:bottom w:w="8" w:type="dxa"/>
              <w:right w:w="28" w:type="dxa"/>
            </w:tcMar>
            <w:vAlign w:val="center"/>
          </w:tcPr>
          <w:p w14:paraId="6E763122" w14:textId="77777777" w:rsidR="003D0A0E" w:rsidRPr="00F5353D" w:rsidRDefault="003D0A0E" w:rsidP="003D0A0E">
            <w:pPr>
              <w:spacing w:line="200" w:lineRule="auto"/>
              <w:rPr>
                <w:sz w:val="20"/>
                <w:szCs w:val="20"/>
              </w:rPr>
            </w:pPr>
            <w:r w:rsidRPr="00F5353D">
              <w:rPr>
                <w:sz w:val="20"/>
                <w:szCs w:val="20"/>
              </w:rPr>
              <w:t>Other</w:t>
            </w:r>
          </w:p>
        </w:tc>
        <w:tc>
          <w:tcPr>
            <w:tcW w:w="209" w:type="pct"/>
            <w:tcBorders>
              <w:left w:val="single" w:sz="18" w:space="0" w:color="auto"/>
              <w:bottom w:val="single" w:sz="8" w:space="0" w:color="auto"/>
            </w:tcBorders>
            <w:tcMar>
              <w:top w:w="8" w:type="dxa"/>
              <w:left w:w="28" w:type="dxa"/>
              <w:bottom w:w="8" w:type="dxa"/>
              <w:right w:w="28" w:type="dxa"/>
            </w:tcMar>
            <w:vAlign w:val="center"/>
          </w:tcPr>
          <w:p w14:paraId="4747D764" w14:textId="0EBE5960"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gridSpan w:val="2"/>
            <w:tcBorders>
              <w:bottom w:val="single" w:sz="8" w:space="0" w:color="auto"/>
              <w:right w:val="single" w:sz="18" w:space="0" w:color="auto"/>
            </w:tcBorders>
            <w:tcMar>
              <w:top w:w="8" w:type="dxa"/>
              <w:left w:w="28" w:type="dxa"/>
              <w:bottom w:w="8" w:type="dxa"/>
              <w:right w:w="28" w:type="dxa"/>
            </w:tcMar>
            <w:vAlign w:val="center"/>
          </w:tcPr>
          <w:p w14:paraId="2A1F02DA" w14:textId="377778B0"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4" w:type="pct"/>
            <w:tcBorders>
              <w:left w:val="single" w:sz="18" w:space="0" w:color="auto"/>
              <w:bottom w:val="single" w:sz="8" w:space="0" w:color="auto"/>
            </w:tcBorders>
            <w:tcMar>
              <w:top w:w="8" w:type="dxa"/>
              <w:left w:w="28" w:type="dxa"/>
              <w:bottom w:w="8" w:type="dxa"/>
              <w:right w:w="28" w:type="dxa"/>
            </w:tcMar>
            <w:vAlign w:val="center"/>
          </w:tcPr>
          <w:p w14:paraId="02BD31C7" w14:textId="1DEF5E59"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bottom w:val="single" w:sz="8" w:space="0" w:color="auto"/>
              <w:right w:val="single" w:sz="8" w:space="0" w:color="auto"/>
            </w:tcBorders>
            <w:tcMar>
              <w:top w:w="8" w:type="dxa"/>
              <w:left w:w="28" w:type="dxa"/>
              <w:bottom w:w="8" w:type="dxa"/>
              <w:right w:w="28" w:type="dxa"/>
            </w:tcMar>
            <w:vAlign w:val="center"/>
          </w:tcPr>
          <w:p w14:paraId="2F2B44D5" w14:textId="03034A69"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8" w:space="0" w:color="auto"/>
              <w:bottom w:val="single" w:sz="8" w:space="0" w:color="auto"/>
            </w:tcBorders>
            <w:tcMar>
              <w:top w:w="8" w:type="dxa"/>
              <w:left w:w="28" w:type="dxa"/>
              <w:bottom w:w="8" w:type="dxa"/>
              <w:right w:w="28" w:type="dxa"/>
            </w:tcMar>
            <w:vAlign w:val="bottom"/>
          </w:tcPr>
          <w:p w14:paraId="29FC794C" w14:textId="60F4F7CB" w:rsidR="003D0A0E" w:rsidRPr="00F5353D" w:rsidRDefault="003D0A0E" w:rsidP="003D0A0E">
            <w:pPr>
              <w:tabs>
                <w:tab w:val="decimal" w:pos="288"/>
              </w:tabs>
              <w:spacing w:line="200" w:lineRule="auto"/>
              <w:jc w:val="center"/>
              <w:rPr>
                <w:sz w:val="20"/>
                <w:szCs w:val="20"/>
              </w:rPr>
            </w:pPr>
            <w:r w:rsidRPr="00F5353D">
              <w:rPr>
                <w:color w:val="000000"/>
                <w:sz w:val="20"/>
                <w:szCs w:val="20"/>
              </w:rPr>
              <w:t>0.17</w:t>
            </w:r>
          </w:p>
        </w:tc>
        <w:tc>
          <w:tcPr>
            <w:tcW w:w="214" w:type="pct"/>
            <w:gridSpan w:val="2"/>
            <w:tcBorders>
              <w:bottom w:val="single" w:sz="8" w:space="0" w:color="auto"/>
              <w:right w:val="single" w:sz="18" w:space="0" w:color="auto"/>
            </w:tcBorders>
            <w:tcMar>
              <w:top w:w="8" w:type="dxa"/>
              <w:left w:w="28" w:type="dxa"/>
              <w:bottom w:w="8" w:type="dxa"/>
              <w:right w:w="28" w:type="dxa"/>
            </w:tcMar>
            <w:vAlign w:val="bottom"/>
          </w:tcPr>
          <w:p w14:paraId="55C621E3" w14:textId="30D3181D" w:rsidR="003D0A0E" w:rsidRPr="00F5353D" w:rsidRDefault="003D0A0E" w:rsidP="003D0A0E">
            <w:pPr>
              <w:tabs>
                <w:tab w:val="decimal" w:pos="288"/>
              </w:tabs>
              <w:spacing w:line="200" w:lineRule="auto"/>
              <w:jc w:val="center"/>
              <w:rPr>
                <w:sz w:val="20"/>
                <w:szCs w:val="20"/>
              </w:rPr>
            </w:pPr>
            <w:r w:rsidRPr="00F5353D">
              <w:rPr>
                <w:color w:val="000000"/>
                <w:sz w:val="20"/>
                <w:szCs w:val="20"/>
              </w:rPr>
              <w:t>1.15</w:t>
            </w:r>
          </w:p>
        </w:tc>
        <w:tc>
          <w:tcPr>
            <w:tcW w:w="204" w:type="pct"/>
            <w:tcBorders>
              <w:left w:val="single" w:sz="18" w:space="0" w:color="auto"/>
              <w:bottom w:val="single" w:sz="8" w:space="0" w:color="auto"/>
            </w:tcBorders>
            <w:tcMar>
              <w:top w:w="8" w:type="dxa"/>
              <w:left w:w="28" w:type="dxa"/>
              <w:bottom w:w="8" w:type="dxa"/>
              <w:right w:w="28" w:type="dxa"/>
            </w:tcMar>
            <w:vAlign w:val="bottom"/>
          </w:tcPr>
          <w:p w14:paraId="2D0EF408" w14:textId="4E32C2B7" w:rsidR="003D0A0E" w:rsidRPr="00F5353D" w:rsidRDefault="003D0A0E" w:rsidP="003D0A0E">
            <w:pPr>
              <w:tabs>
                <w:tab w:val="decimal" w:pos="288"/>
              </w:tabs>
              <w:spacing w:line="200" w:lineRule="auto"/>
              <w:jc w:val="center"/>
              <w:rPr>
                <w:sz w:val="20"/>
                <w:szCs w:val="20"/>
              </w:rPr>
            </w:pPr>
            <w:r w:rsidRPr="00F5353D">
              <w:rPr>
                <w:color w:val="000000"/>
                <w:sz w:val="20"/>
                <w:szCs w:val="20"/>
              </w:rPr>
              <w:t>0.10</w:t>
            </w:r>
          </w:p>
        </w:tc>
        <w:tc>
          <w:tcPr>
            <w:tcW w:w="209" w:type="pct"/>
            <w:tcBorders>
              <w:bottom w:val="single" w:sz="8" w:space="0" w:color="auto"/>
              <w:right w:val="single" w:sz="8" w:space="0" w:color="auto"/>
            </w:tcBorders>
            <w:tcMar>
              <w:top w:w="8" w:type="dxa"/>
              <w:left w:w="28" w:type="dxa"/>
              <w:bottom w:w="8" w:type="dxa"/>
              <w:right w:w="28" w:type="dxa"/>
            </w:tcMar>
            <w:vAlign w:val="bottom"/>
          </w:tcPr>
          <w:p w14:paraId="31B4A655" w14:textId="0C64CB1D" w:rsidR="003D0A0E" w:rsidRPr="00F5353D" w:rsidRDefault="003D0A0E" w:rsidP="003D0A0E">
            <w:pPr>
              <w:tabs>
                <w:tab w:val="decimal" w:pos="288"/>
              </w:tabs>
              <w:spacing w:line="200" w:lineRule="auto"/>
              <w:jc w:val="center"/>
              <w:rPr>
                <w:sz w:val="20"/>
                <w:szCs w:val="20"/>
              </w:rPr>
            </w:pPr>
            <w:r w:rsidRPr="00F5353D">
              <w:rPr>
                <w:color w:val="000000"/>
                <w:sz w:val="20"/>
                <w:szCs w:val="20"/>
              </w:rPr>
              <w:t>1.02</w:t>
            </w:r>
          </w:p>
        </w:tc>
        <w:tc>
          <w:tcPr>
            <w:tcW w:w="209" w:type="pct"/>
            <w:tcBorders>
              <w:left w:val="single" w:sz="8" w:space="0" w:color="auto"/>
              <w:bottom w:val="single" w:sz="8" w:space="0" w:color="auto"/>
            </w:tcBorders>
            <w:tcMar>
              <w:top w:w="8" w:type="dxa"/>
              <w:left w:w="28" w:type="dxa"/>
              <w:bottom w:w="8" w:type="dxa"/>
              <w:right w:w="28" w:type="dxa"/>
            </w:tcMar>
            <w:vAlign w:val="bottom"/>
          </w:tcPr>
          <w:p w14:paraId="7A5DD308" w14:textId="2C8DBCA2" w:rsidR="003D0A0E" w:rsidRPr="00F5353D" w:rsidRDefault="003D0A0E" w:rsidP="003D0A0E">
            <w:pPr>
              <w:tabs>
                <w:tab w:val="decimal" w:pos="288"/>
              </w:tabs>
              <w:spacing w:line="200" w:lineRule="auto"/>
              <w:jc w:val="center"/>
              <w:rPr>
                <w:sz w:val="20"/>
                <w:szCs w:val="20"/>
              </w:rPr>
            </w:pPr>
            <w:r w:rsidRPr="00F5353D">
              <w:rPr>
                <w:color w:val="000000"/>
                <w:sz w:val="20"/>
                <w:szCs w:val="20"/>
              </w:rPr>
              <w:t>0.14</w:t>
            </w:r>
          </w:p>
        </w:tc>
        <w:tc>
          <w:tcPr>
            <w:tcW w:w="245" w:type="pct"/>
            <w:tcBorders>
              <w:bottom w:val="single" w:sz="8" w:space="0" w:color="auto"/>
              <w:right w:val="single" w:sz="18" w:space="0" w:color="auto"/>
            </w:tcBorders>
            <w:tcMar>
              <w:top w:w="8" w:type="dxa"/>
              <w:left w:w="28" w:type="dxa"/>
              <w:bottom w:w="8" w:type="dxa"/>
              <w:right w:w="28" w:type="dxa"/>
            </w:tcMar>
            <w:vAlign w:val="bottom"/>
          </w:tcPr>
          <w:p w14:paraId="7C75D708" w14:textId="548A6409" w:rsidR="003D0A0E" w:rsidRPr="00F5353D" w:rsidRDefault="003D0A0E" w:rsidP="003D0A0E">
            <w:pPr>
              <w:tabs>
                <w:tab w:val="decimal" w:pos="288"/>
              </w:tabs>
              <w:spacing w:line="200" w:lineRule="auto"/>
              <w:jc w:val="center"/>
              <w:rPr>
                <w:sz w:val="20"/>
                <w:szCs w:val="20"/>
              </w:rPr>
            </w:pPr>
            <w:r w:rsidRPr="00F5353D">
              <w:rPr>
                <w:color w:val="000000"/>
                <w:sz w:val="20"/>
                <w:szCs w:val="20"/>
              </w:rPr>
              <w:t>1.35</w:t>
            </w:r>
          </w:p>
        </w:tc>
        <w:tc>
          <w:tcPr>
            <w:tcW w:w="209" w:type="pct"/>
            <w:tcBorders>
              <w:left w:val="single" w:sz="18" w:space="0" w:color="auto"/>
              <w:bottom w:val="single" w:sz="8" w:space="0" w:color="auto"/>
            </w:tcBorders>
            <w:tcMar>
              <w:top w:w="8" w:type="dxa"/>
              <w:left w:w="28" w:type="dxa"/>
              <w:bottom w:w="8" w:type="dxa"/>
              <w:right w:w="28" w:type="dxa"/>
            </w:tcMar>
            <w:vAlign w:val="center"/>
          </w:tcPr>
          <w:p w14:paraId="4FC75B4C" w14:textId="064CC99F"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6" w:type="pct"/>
            <w:tcBorders>
              <w:bottom w:val="single" w:sz="8" w:space="0" w:color="auto"/>
              <w:right w:val="single" w:sz="18" w:space="0" w:color="auto"/>
            </w:tcBorders>
            <w:tcMar>
              <w:top w:w="8" w:type="dxa"/>
              <w:left w:w="28" w:type="dxa"/>
              <w:bottom w:w="8" w:type="dxa"/>
              <w:right w:w="28" w:type="dxa"/>
            </w:tcMar>
            <w:vAlign w:val="center"/>
          </w:tcPr>
          <w:p w14:paraId="2E064329" w14:textId="4ADF93F4"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18" w:space="0" w:color="auto"/>
              <w:bottom w:val="single" w:sz="8" w:space="0" w:color="auto"/>
            </w:tcBorders>
            <w:tcMar>
              <w:top w:w="8" w:type="dxa"/>
              <w:left w:w="28" w:type="dxa"/>
              <w:bottom w:w="8" w:type="dxa"/>
              <w:right w:w="28" w:type="dxa"/>
            </w:tcMar>
            <w:vAlign w:val="bottom"/>
          </w:tcPr>
          <w:p w14:paraId="414B397C" w14:textId="510E64AA" w:rsidR="003D0A0E" w:rsidRPr="00F5353D" w:rsidRDefault="003D0A0E" w:rsidP="003D0A0E">
            <w:pPr>
              <w:tabs>
                <w:tab w:val="decimal" w:pos="288"/>
              </w:tabs>
              <w:spacing w:line="200" w:lineRule="auto"/>
              <w:jc w:val="center"/>
              <w:rPr>
                <w:sz w:val="20"/>
                <w:szCs w:val="20"/>
              </w:rPr>
            </w:pPr>
            <w:r w:rsidRPr="00F5353D">
              <w:rPr>
                <w:color w:val="000000"/>
                <w:sz w:val="20"/>
                <w:szCs w:val="20"/>
              </w:rPr>
              <w:t>0.24</w:t>
            </w:r>
          </w:p>
        </w:tc>
        <w:tc>
          <w:tcPr>
            <w:tcW w:w="209" w:type="pct"/>
            <w:tcBorders>
              <w:bottom w:val="single" w:sz="8" w:space="0" w:color="auto"/>
              <w:right w:val="single" w:sz="8" w:space="0" w:color="auto"/>
            </w:tcBorders>
            <w:tcMar>
              <w:top w:w="8" w:type="dxa"/>
              <w:left w:w="28" w:type="dxa"/>
              <w:bottom w:w="8" w:type="dxa"/>
              <w:right w:w="28" w:type="dxa"/>
            </w:tcMar>
            <w:vAlign w:val="bottom"/>
          </w:tcPr>
          <w:p w14:paraId="7DE92FB9" w14:textId="3038A4AD" w:rsidR="003D0A0E" w:rsidRPr="00F5353D" w:rsidRDefault="003D0A0E" w:rsidP="003D0A0E">
            <w:pPr>
              <w:tabs>
                <w:tab w:val="decimal" w:pos="288"/>
              </w:tabs>
              <w:spacing w:line="200" w:lineRule="auto"/>
              <w:jc w:val="center"/>
              <w:rPr>
                <w:sz w:val="20"/>
                <w:szCs w:val="20"/>
              </w:rPr>
            </w:pPr>
            <w:r w:rsidRPr="00F5353D">
              <w:rPr>
                <w:color w:val="000000"/>
                <w:sz w:val="20"/>
                <w:szCs w:val="20"/>
              </w:rPr>
              <w:t>2.08</w:t>
            </w:r>
          </w:p>
        </w:tc>
        <w:tc>
          <w:tcPr>
            <w:tcW w:w="207" w:type="pct"/>
            <w:gridSpan w:val="2"/>
            <w:tcBorders>
              <w:left w:val="single" w:sz="8" w:space="0" w:color="auto"/>
              <w:bottom w:val="single" w:sz="8" w:space="0" w:color="auto"/>
            </w:tcBorders>
            <w:tcMar>
              <w:top w:w="8" w:type="dxa"/>
              <w:left w:w="28" w:type="dxa"/>
              <w:bottom w:w="8" w:type="dxa"/>
              <w:right w:w="28" w:type="dxa"/>
            </w:tcMar>
            <w:vAlign w:val="center"/>
          </w:tcPr>
          <w:p w14:paraId="75D8B8B3" w14:textId="1A82EE9B"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0" w:type="pct"/>
            <w:tcBorders>
              <w:bottom w:val="single" w:sz="8" w:space="0" w:color="auto"/>
            </w:tcBorders>
            <w:tcMar>
              <w:top w:w="8" w:type="dxa"/>
              <w:left w:w="28" w:type="dxa"/>
              <w:bottom w:w="8" w:type="dxa"/>
              <w:right w:w="28" w:type="dxa"/>
            </w:tcMar>
            <w:vAlign w:val="center"/>
          </w:tcPr>
          <w:p w14:paraId="1632ABD5" w14:textId="2C0875EB" w:rsidR="003D0A0E" w:rsidRPr="00F5353D" w:rsidRDefault="003D0A0E" w:rsidP="003D0A0E">
            <w:pPr>
              <w:tabs>
                <w:tab w:val="decimal" w:pos="288"/>
              </w:tabs>
              <w:spacing w:line="200" w:lineRule="auto"/>
              <w:jc w:val="center"/>
              <w:rPr>
                <w:sz w:val="20"/>
                <w:szCs w:val="20"/>
              </w:rPr>
            </w:pPr>
            <w:r w:rsidRPr="00F5353D">
              <w:rPr>
                <w:sz w:val="20"/>
                <w:szCs w:val="20"/>
              </w:rPr>
              <w:t>—</w:t>
            </w:r>
          </w:p>
        </w:tc>
      </w:tr>
      <w:tr w:rsidR="003D0A0E" w:rsidRPr="00F5353D" w14:paraId="0F1BB6DA" w14:textId="77777777" w:rsidTr="008C7AA0">
        <w:trPr>
          <w:cantSplit/>
          <w:trHeight w:val="187"/>
        </w:trPr>
        <w:tc>
          <w:tcPr>
            <w:tcW w:w="862" w:type="pct"/>
            <w:tcBorders>
              <w:top w:val="single" w:sz="8" w:space="0" w:color="auto"/>
              <w:bottom w:val="single" w:sz="18" w:space="0" w:color="auto"/>
              <w:right w:val="single" w:sz="8" w:space="0" w:color="auto"/>
            </w:tcBorders>
            <w:tcMar>
              <w:top w:w="8" w:type="dxa"/>
              <w:left w:w="28" w:type="dxa"/>
              <w:bottom w:w="8" w:type="dxa"/>
              <w:right w:w="28" w:type="dxa"/>
            </w:tcMar>
            <w:vAlign w:val="center"/>
          </w:tcPr>
          <w:p w14:paraId="0642BC33" w14:textId="77777777" w:rsidR="003D0A0E" w:rsidRPr="00F5353D" w:rsidRDefault="003D0A0E" w:rsidP="003D0A0E">
            <w:pPr>
              <w:spacing w:line="200" w:lineRule="auto"/>
              <w:rPr>
                <w:sz w:val="20"/>
                <w:szCs w:val="20"/>
              </w:rPr>
            </w:pPr>
            <w:r w:rsidRPr="00F5353D">
              <w:rPr>
                <w:sz w:val="20"/>
                <w:szCs w:val="20"/>
              </w:rPr>
              <w:t>Ethnicity (non-Hispanic)</w:t>
            </w:r>
          </w:p>
        </w:tc>
        <w:tc>
          <w:tcPr>
            <w:tcW w:w="737" w:type="pct"/>
            <w:tcBorders>
              <w:top w:val="single" w:sz="8" w:space="0" w:color="auto"/>
              <w:left w:val="single" w:sz="8" w:space="0" w:color="auto"/>
              <w:bottom w:val="single" w:sz="18" w:space="0" w:color="auto"/>
              <w:right w:val="single" w:sz="18" w:space="0" w:color="auto"/>
            </w:tcBorders>
            <w:tcMar>
              <w:top w:w="8" w:type="dxa"/>
              <w:left w:w="28" w:type="dxa"/>
              <w:bottom w:w="8" w:type="dxa"/>
              <w:right w:w="28" w:type="dxa"/>
            </w:tcMar>
            <w:vAlign w:val="center"/>
          </w:tcPr>
          <w:p w14:paraId="493A9744" w14:textId="77777777" w:rsidR="003D0A0E" w:rsidRPr="00F5353D" w:rsidRDefault="003D0A0E" w:rsidP="003D0A0E">
            <w:pPr>
              <w:spacing w:line="200" w:lineRule="auto"/>
              <w:rPr>
                <w:sz w:val="20"/>
                <w:szCs w:val="20"/>
              </w:rPr>
            </w:pPr>
            <w:r w:rsidRPr="00F5353D">
              <w:rPr>
                <w:sz w:val="20"/>
                <w:szCs w:val="20"/>
              </w:rPr>
              <w:t>Hispanic</w:t>
            </w:r>
          </w:p>
        </w:tc>
        <w:tc>
          <w:tcPr>
            <w:tcW w:w="209" w:type="pct"/>
            <w:tcBorders>
              <w:top w:val="single" w:sz="8" w:space="0" w:color="auto"/>
              <w:left w:val="single" w:sz="18" w:space="0" w:color="auto"/>
              <w:bottom w:val="single" w:sz="18" w:space="0" w:color="auto"/>
            </w:tcBorders>
            <w:tcMar>
              <w:top w:w="8" w:type="dxa"/>
              <w:left w:w="28" w:type="dxa"/>
              <w:bottom w:w="8" w:type="dxa"/>
              <w:right w:w="28" w:type="dxa"/>
            </w:tcMar>
            <w:vAlign w:val="bottom"/>
          </w:tcPr>
          <w:p w14:paraId="67C9E205" w14:textId="6CE1CDA2" w:rsidR="003D0A0E" w:rsidRPr="00F5353D" w:rsidRDefault="003D0A0E" w:rsidP="003D0A0E">
            <w:pPr>
              <w:tabs>
                <w:tab w:val="decimal" w:pos="288"/>
              </w:tabs>
              <w:spacing w:line="200" w:lineRule="auto"/>
              <w:jc w:val="center"/>
              <w:rPr>
                <w:sz w:val="20"/>
                <w:szCs w:val="20"/>
              </w:rPr>
            </w:pPr>
            <w:r w:rsidRPr="00F5353D">
              <w:rPr>
                <w:color w:val="000000"/>
                <w:sz w:val="20"/>
                <w:szCs w:val="20"/>
              </w:rPr>
              <w:t>-0.11</w:t>
            </w:r>
          </w:p>
        </w:tc>
        <w:tc>
          <w:tcPr>
            <w:tcW w:w="209" w:type="pct"/>
            <w:gridSpan w:val="2"/>
            <w:tcBorders>
              <w:top w:val="single" w:sz="8" w:space="0" w:color="auto"/>
              <w:bottom w:val="single" w:sz="18" w:space="0" w:color="auto"/>
              <w:right w:val="single" w:sz="18" w:space="0" w:color="auto"/>
            </w:tcBorders>
            <w:tcMar>
              <w:top w:w="8" w:type="dxa"/>
              <w:left w:w="28" w:type="dxa"/>
              <w:bottom w:w="8" w:type="dxa"/>
              <w:right w:w="28" w:type="dxa"/>
            </w:tcMar>
            <w:vAlign w:val="bottom"/>
          </w:tcPr>
          <w:p w14:paraId="46F0BD3F" w14:textId="2D9AAD40" w:rsidR="003D0A0E" w:rsidRPr="00F5353D" w:rsidRDefault="003D0A0E" w:rsidP="003D0A0E">
            <w:pPr>
              <w:tabs>
                <w:tab w:val="decimal" w:pos="288"/>
              </w:tabs>
              <w:spacing w:line="200" w:lineRule="auto"/>
              <w:jc w:val="center"/>
              <w:rPr>
                <w:sz w:val="20"/>
                <w:szCs w:val="20"/>
              </w:rPr>
            </w:pPr>
            <w:r w:rsidRPr="00F5353D">
              <w:rPr>
                <w:color w:val="000000"/>
                <w:sz w:val="20"/>
                <w:szCs w:val="20"/>
              </w:rPr>
              <w:t>-2.12</w:t>
            </w:r>
          </w:p>
        </w:tc>
        <w:tc>
          <w:tcPr>
            <w:tcW w:w="204" w:type="pct"/>
            <w:tcBorders>
              <w:top w:val="single" w:sz="8" w:space="0" w:color="auto"/>
              <w:left w:val="single" w:sz="18" w:space="0" w:color="auto"/>
              <w:bottom w:val="single" w:sz="18" w:space="0" w:color="auto"/>
            </w:tcBorders>
            <w:tcMar>
              <w:top w:w="8" w:type="dxa"/>
              <w:left w:w="28" w:type="dxa"/>
              <w:bottom w:w="8" w:type="dxa"/>
              <w:right w:w="28" w:type="dxa"/>
            </w:tcMar>
            <w:vAlign w:val="center"/>
          </w:tcPr>
          <w:p w14:paraId="1C98F527" w14:textId="304A5BF6"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bottom w:val="single" w:sz="18" w:space="0" w:color="auto"/>
              <w:right w:val="single" w:sz="8" w:space="0" w:color="auto"/>
            </w:tcBorders>
            <w:tcMar>
              <w:top w:w="8" w:type="dxa"/>
              <w:left w:w="28" w:type="dxa"/>
              <w:bottom w:w="8" w:type="dxa"/>
              <w:right w:w="28" w:type="dxa"/>
            </w:tcMar>
            <w:vAlign w:val="center"/>
          </w:tcPr>
          <w:p w14:paraId="330195C9" w14:textId="2FB6C097"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left w:val="single" w:sz="8" w:space="0" w:color="auto"/>
              <w:bottom w:val="single" w:sz="18" w:space="0" w:color="auto"/>
            </w:tcBorders>
            <w:tcMar>
              <w:top w:w="8" w:type="dxa"/>
              <w:left w:w="28" w:type="dxa"/>
              <w:bottom w:w="8" w:type="dxa"/>
              <w:right w:w="28" w:type="dxa"/>
            </w:tcMar>
            <w:vAlign w:val="bottom"/>
          </w:tcPr>
          <w:p w14:paraId="5EDC17D5" w14:textId="6261CF46" w:rsidR="003D0A0E" w:rsidRPr="00F5353D" w:rsidRDefault="003D0A0E" w:rsidP="003D0A0E">
            <w:pPr>
              <w:tabs>
                <w:tab w:val="decimal" w:pos="288"/>
              </w:tabs>
              <w:spacing w:line="200" w:lineRule="auto"/>
              <w:jc w:val="center"/>
              <w:rPr>
                <w:sz w:val="20"/>
                <w:szCs w:val="20"/>
              </w:rPr>
            </w:pPr>
            <w:r w:rsidRPr="00F5353D">
              <w:rPr>
                <w:color w:val="000000"/>
                <w:sz w:val="20"/>
                <w:szCs w:val="20"/>
              </w:rPr>
              <w:t>0.29</w:t>
            </w:r>
          </w:p>
        </w:tc>
        <w:tc>
          <w:tcPr>
            <w:tcW w:w="214" w:type="pct"/>
            <w:gridSpan w:val="2"/>
            <w:tcBorders>
              <w:top w:val="single" w:sz="8" w:space="0" w:color="auto"/>
              <w:bottom w:val="single" w:sz="18" w:space="0" w:color="auto"/>
              <w:right w:val="single" w:sz="18" w:space="0" w:color="auto"/>
            </w:tcBorders>
            <w:tcMar>
              <w:top w:w="8" w:type="dxa"/>
              <w:left w:w="28" w:type="dxa"/>
              <w:bottom w:w="8" w:type="dxa"/>
              <w:right w:w="28" w:type="dxa"/>
            </w:tcMar>
            <w:vAlign w:val="bottom"/>
          </w:tcPr>
          <w:p w14:paraId="3C8B4216" w14:textId="5D599A14" w:rsidR="003D0A0E" w:rsidRPr="00F5353D" w:rsidRDefault="003D0A0E" w:rsidP="003D0A0E">
            <w:pPr>
              <w:tabs>
                <w:tab w:val="decimal" w:pos="288"/>
              </w:tabs>
              <w:spacing w:line="200" w:lineRule="auto"/>
              <w:jc w:val="center"/>
              <w:rPr>
                <w:sz w:val="20"/>
                <w:szCs w:val="20"/>
              </w:rPr>
            </w:pPr>
            <w:r w:rsidRPr="00F5353D">
              <w:rPr>
                <w:color w:val="000000"/>
                <w:sz w:val="20"/>
                <w:szCs w:val="20"/>
              </w:rPr>
              <w:t>1.83</w:t>
            </w:r>
          </w:p>
        </w:tc>
        <w:tc>
          <w:tcPr>
            <w:tcW w:w="204" w:type="pct"/>
            <w:tcBorders>
              <w:top w:val="single" w:sz="8" w:space="0" w:color="auto"/>
              <w:left w:val="single" w:sz="18" w:space="0" w:color="auto"/>
              <w:bottom w:val="single" w:sz="18" w:space="0" w:color="auto"/>
            </w:tcBorders>
            <w:tcMar>
              <w:top w:w="8" w:type="dxa"/>
              <w:left w:w="28" w:type="dxa"/>
              <w:bottom w:w="8" w:type="dxa"/>
              <w:right w:w="28" w:type="dxa"/>
            </w:tcMar>
            <w:vAlign w:val="bottom"/>
          </w:tcPr>
          <w:p w14:paraId="45731B8F" w14:textId="486E366A" w:rsidR="003D0A0E" w:rsidRPr="00F5353D" w:rsidRDefault="003D0A0E" w:rsidP="003D0A0E">
            <w:pPr>
              <w:tabs>
                <w:tab w:val="decimal" w:pos="288"/>
              </w:tabs>
              <w:spacing w:line="200" w:lineRule="auto"/>
              <w:jc w:val="center"/>
              <w:rPr>
                <w:sz w:val="20"/>
                <w:szCs w:val="20"/>
              </w:rPr>
            </w:pPr>
            <w:r w:rsidRPr="00F5353D">
              <w:rPr>
                <w:color w:val="000000"/>
                <w:sz w:val="20"/>
                <w:szCs w:val="20"/>
              </w:rPr>
              <w:t>0.33</w:t>
            </w:r>
          </w:p>
        </w:tc>
        <w:tc>
          <w:tcPr>
            <w:tcW w:w="209" w:type="pct"/>
            <w:tcBorders>
              <w:top w:val="single" w:sz="8" w:space="0" w:color="auto"/>
              <w:bottom w:val="single" w:sz="18" w:space="0" w:color="auto"/>
              <w:right w:val="single" w:sz="8" w:space="0" w:color="auto"/>
            </w:tcBorders>
            <w:tcMar>
              <w:top w:w="8" w:type="dxa"/>
              <w:left w:w="28" w:type="dxa"/>
              <w:bottom w:w="8" w:type="dxa"/>
              <w:right w:w="28" w:type="dxa"/>
            </w:tcMar>
            <w:vAlign w:val="bottom"/>
          </w:tcPr>
          <w:p w14:paraId="6BF5276C" w14:textId="472A5301" w:rsidR="003D0A0E" w:rsidRPr="00F5353D" w:rsidRDefault="003D0A0E" w:rsidP="003D0A0E">
            <w:pPr>
              <w:tabs>
                <w:tab w:val="decimal" w:pos="288"/>
              </w:tabs>
              <w:spacing w:line="200" w:lineRule="auto"/>
              <w:jc w:val="center"/>
              <w:rPr>
                <w:sz w:val="20"/>
                <w:szCs w:val="20"/>
              </w:rPr>
            </w:pPr>
            <w:r w:rsidRPr="00F5353D">
              <w:rPr>
                <w:color w:val="000000"/>
                <w:sz w:val="20"/>
                <w:szCs w:val="20"/>
              </w:rPr>
              <w:t>3.20</w:t>
            </w:r>
          </w:p>
        </w:tc>
        <w:tc>
          <w:tcPr>
            <w:tcW w:w="209" w:type="pct"/>
            <w:tcBorders>
              <w:top w:val="single" w:sz="8" w:space="0" w:color="auto"/>
              <w:left w:val="single" w:sz="8" w:space="0" w:color="auto"/>
              <w:bottom w:val="single" w:sz="18" w:space="0" w:color="auto"/>
            </w:tcBorders>
            <w:tcMar>
              <w:top w:w="8" w:type="dxa"/>
              <w:left w:w="28" w:type="dxa"/>
              <w:bottom w:w="8" w:type="dxa"/>
              <w:right w:w="28" w:type="dxa"/>
            </w:tcMar>
            <w:vAlign w:val="bottom"/>
          </w:tcPr>
          <w:p w14:paraId="36F63858" w14:textId="7F07A4CE" w:rsidR="003D0A0E" w:rsidRPr="00F5353D" w:rsidRDefault="003D0A0E" w:rsidP="003D0A0E">
            <w:pPr>
              <w:tabs>
                <w:tab w:val="decimal" w:pos="288"/>
              </w:tabs>
              <w:spacing w:line="200" w:lineRule="auto"/>
              <w:jc w:val="center"/>
              <w:rPr>
                <w:sz w:val="20"/>
                <w:szCs w:val="20"/>
              </w:rPr>
            </w:pPr>
            <w:r w:rsidRPr="00F5353D">
              <w:rPr>
                <w:color w:val="000000"/>
                <w:sz w:val="20"/>
                <w:szCs w:val="20"/>
              </w:rPr>
              <w:t>0.16</w:t>
            </w:r>
          </w:p>
        </w:tc>
        <w:tc>
          <w:tcPr>
            <w:tcW w:w="245" w:type="pct"/>
            <w:tcBorders>
              <w:top w:val="single" w:sz="8" w:space="0" w:color="auto"/>
              <w:bottom w:val="single" w:sz="18" w:space="0" w:color="auto"/>
              <w:right w:val="single" w:sz="18" w:space="0" w:color="auto"/>
            </w:tcBorders>
            <w:tcMar>
              <w:top w:w="8" w:type="dxa"/>
              <w:left w:w="28" w:type="dxa"/>
              <w:bottom w:w="8" w:type="dxa"/>
              <w:right w:w="28" w:type="dxa"/>
            </w:tcMar>
            <w:vAlign w:val="bottom"/>
          </w:tcPr>
          <w:p w14:paraId="1EDC6734" w14:textId="634A664C" w:rsidR="003D0A0E" w:rsidRPr="00F5353D" w:rsidRDefault="003D0A0E" w:rsidP="003D0A0E">
            <w:pPr>
              <w:tabs>
                <w:tab w:val="decimal" w:pos="288"/>
              </w:tabs>
              <w:spacing w:line="200" w:lineRule="auto"/>
              <w:jc w:val="center"/>
              <w:rPr>
                <w:sz w:val="20"/>
                <w:szCs w:val="20"/>
              </w:rPr>
            </w:pPr>
            <w:r w:rsidRPr="00F5353D">
              <w:rPr>
                <w:color w:val="000000"/>
                <w:sz w:val="20"/>
                <w:szCs w:val="20"/>
              </w:rPr>
              <w:t>1.23</w:t>
            </w:r>
          </w:p>
        </w:tc>
        <w:tc>
          <w:tcPr>
            <w:tcW w:w="209" w:type="pct"/>
            <w:tcBorders>
              <w:top w:val="single" w:sz="8" w:space="0" w:color="auto"/>
              <w:left w:val="single" w:sz="18" w:space="0" w:color="auto"/>
              <w:bottom w:val="single" w:sz="18" w:space="0" w:color="auto"/>
            </w:tcBorders>
            <w:tcMar>
              <w:top w:w="8" w:type="dxa"/>
              <w:left w:w="28" w:type="dxa"/>
              <w:bottom w:w="8" w:type="dxa"/>
              <w:right w:w="28" w:type="dxa"/>
            </w:tcMar>
            <w:vAlign w:val="bottom"/>
          </w:tcPr>
          <w:p w14:paraId="08700A90" w14:textId="43907602" w:rsidR="003D0A0E" w:rsidRPr="00F5353D" w:rsidRDefault="003D0A0E" w:rsidP="003D0A0E">
            <w:pPr>
              <w:tabs>
                <w:tab w:val="decimal" w:pos="288"/>
              </w:tabs>
              <w:spacing w:line="200" w:lineRule="auto"/>
              <w:jc w:val="center"/>
              <w:rPr>
                <w:sz w:val="20"/>
                <w:szCs w:val="20"/>
              </w:rPr>
            </w:pPr>
            <w:r w:rsidRPr="00F5353D">
              <w:rPr>
                <w:color w:val="000000"/>
                <w:sz w:val="20"/>
                <w:szCs w:val="20"/>
              </w:rPr>
              <w:t>0.22</w:t>
            </w:r>
          </w:p>
        </w:tc>
        <w:tc>
          <w:tcPr>
            <w:tcW w:w="246" w:type="pct"/>
            <w:tcBorders>
              <w:top w:val="single" w:sz="8" w:space="0" w:color="auto"/>
              <w:bottom w:val="single" w:sz="18" w:space="0" w:color="auto"/>
              <w:right w:val="single" w:sz="18" w:space="0" w:color="auto"/>
            </w:tcBorders>
            <w:tcMar>
              <w:top w:w="8" w:type="dxa"/>
              <w:left w:w="28" w:type="dxa"/>
              <w:bottom w:w="8" w:type="dxa"/>
              <w:right w:w="28" w:type="dxa"/>
            </w:tcMar>
            <w:vAlign w:val="bottom"/>
          </w:tcPr>
          <w:p w14:paraId="4D51F387" w14:textId="180BF68F" w:rsidR="003D0A0E" w:rsidRPr="00F5353D" w:rsidRDefault="003D0A0E" w:rsidP="003D0A0E">
            <w:pPr>
              <w:tabs>
                <w:tab w:val="decimal" w:pos="288"/>
              </w:tabs>
              <w:spacing w:line="200" w:lineRule="auto"/>
              <w:jc w:val="center"/>
              <w:rPr>
                <w:sz w:val="20"/>
                <w:szCs w:val="20"/>
              </w:rPr>
            </w:pPr>
            <w:r w:rsidRPr="00F5353D">
              <w:rPr>
                <w:color w:val="000000"/>
                <w:sz w:val="20"/>
                <w:szCs w:val="20"/>
              </w:rPr>
              <w:t>1.34</w:t>
            </w:r>
          </w:p>
        </w:tc>
        <w:tc>
          <w:tcPr>
            <w:tcW w:w="209" w:type="pct"/>
            <w:tcBorders>
              <w:top w:val="single" w:sz="8" w:space="0" w:color="auto"/>
              <w:left w:val="single" w:sz="18" w:space="0" w:color="auto"/>
              <w:bottom w:val="single" w:sz="18" w:space="0" w:color="auto"/>
            </w:tcBorders>
            <w:tcMar>
              <w:top w:w="8" w:type="dxa"/>
              <w:left w:w="28" w:type="dxa"/>
              <w:bottom w:w="8" w:type="dxa"/>
              <w:right w:w="28" w:type="dxa"/>
            </w:tcMar>
            <w:vAlign w:val="center"/>
          </w:tcPr>
          <w:p w14:paraId="5BF86B3E" w14:textId="51263F08"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bottom w:val="single" w:sz="18" w:space="0" w:color="auto"/>
              <w:right w:val="single" w:sz="8" w:space="0" w:color="auto"/>
            </w:tcBorders>
            <w:tcMar>
              <w:top w:w="8" w:type="dxa"/>
              <w:left w:w="28" w:type="dxa"/>
              <w:bottom w:w="8" w:type="dxa"/>
              <w:right w:w="28" w:type="dxa"/>
            </w:tcMar>
            <w:vAlign w:val="center"/>
          </w:tcPr>
          <w:p w14:paraId="64370442" w14:textId="434CFD4F"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7" w:type="pct"/>
            <w:gridSpan w:val="2"/>
            <w:tcBorders>
              <w:top w:val="single" w:sz="8" w:space="0" w:color="auto"/>
              <w:left w:val="single" w:sz="8" w:space="0" w:color="auto"/>
              <w:bottom w:val="single" w:sz="18" w:space="0" w:color="auto"/>
            </w:tcBorders>
            <w:tcMar>
              <w:top w:w="8" w:type="dxa"/>
              <w:left w:w="28" w:type="dxa"/>
              <w:bottom w:w="8" w:type="dxa"/>
              <w:right w:w="28" w:type="dxa"/>
            </w:tcMar>
            <w:vAlign w:val="center"/>
          </w:tcPr>
          <w:p w14:paraId="2DAB56E8" w14:textId="7B9E8CA6"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0" w:type="pct"/>
            <w:tcBorders>
              <w:top w:val="single" w:sz="8" w:space="0" w:color="auto"/>
            </w:tcBorders>
            <w:tcMar>
              <w:top w:w="8" w:type="dxa"/>
              <w:left w:w="28" w:type="dxa"/>
              <w:bottom w:w="8" w:type="dxa"/>
              <w:right w:w="28" w:type="dxa"/>
            </w:tcMar>
            <w:vAlign w:val="center"/>
          </w:tcPr>
          <w:p w14:paraId="2131D095" w14:textId="0C86AB0D" w:rsidR="003D0A0E" w:rsidRPr="00F5353D" w:rsidRDefault="003D0A0E" w:rsidP="003D0A0E">
            <w:pPr>
              <w:tabs>
                <w:tab w:val="decimal" w:pos="288"/>
              </w:tabs>
              <w:spacing w:line="200" w:lineRule="auto"/>
              <w:jc w:val="center"/>
              <w:rPr>
                <w:sz w:val="20"/>
                <w:szCs w:val="20"/>
              </w:rPr>
            </w:pPr>
            <w:r w:rsidRPr="00F5353D">
              <w:rPr>
                <w:sz w:val="20"/>
                <w:szCs w:val="20"/>
              </w:rPr>
              <w:t>—</w:t>
            </w:r>
          </w:p>
        </w:tc>
      </w:tr>
      <w:tr w:rsidR="00752A00" w:rsidRPr="00F5353D" w14:paraId="55C380FB" w14:textId="77777777" w:rsidTr="00582E1F">
        <w:trPr>
          <w:cantSplit/>
          <w:trHeight w:val="187"/>
        </w:trPr>
        <w:tc>
          <w:tcPr>
            <w:tcW w:w="5000" w:type="pct"/>
            <w:gridSpan w:val="21"/>
            <w:tcBorders>
              <w:top w:val="single" w:sz="18" w:space="0" w:color="auto"/>
            </w:tcBorders>
            <w:tcMar>
              <w:top w:w="8" w:type="dxa"/>
              <w:left w:w="28" w:type="dxa"/>
              <w:bottom w:w="8" w:type="dxa"/>
              <w:right w:w="28" w:type="dxa"/>
            </w:tcMar>
            <w:vAlign w:val="center"/>
          </w:tcPr>
          <w:p w14:paraId="3542910D" w14:textId="77777777" w:rsidR="00752A00" w:rsidRPr="00F5353D" w:rsidRDefault="00752A00" w:rsidP="00DF679C">
            <w:pPr>
              <w:tabs>
                <w:tab w:val="decimal" w:pos="288"/>
              </w:tabs>
              <w:spacing w:line="200" w:lineRule="auto"/>
              <w:rPr>
                <w:sz w:val="20"/>
                <w:szCs w:val="20"/>
              </w:rPr>
            </w:pPr>
            <w:r w:rsidRPr="00F5353D">
              <w:rPr>
                <w:b/>
                <w:bCs/>
                <w:i/>
                <w:iCs/>
                <w:sz w:val="20"/>
                <w:szCs w:val="20"/>
              </w:rPr>
              <w:t>Household-level attributes</w:t>
            </w:r>
          </w:p>
        </w:tc>
      </w:tr>
      <w:tr w:rsidR="003D0A0E" w:rsidRPr="00F5353D" w14:paraId="2032EDA1" w14:textId="77777777" w:rsidTr="005D6432">
        <w:trPr>
          <w:cantSplit/>
          <w:trHeight w:val="187"/>
        </w:trPr>
        <w:tc>
          <w:tcPr>
            <w:tcW w:w="862" w:type="pct"/>
            <w:vMerge w:val="restart"/>
            <w:tcBorders>
              <w:top w:val="single" w:sz="8" w:space="0" w:color="auto"/>
              <w:right w:val="single" w:sz="8" w:space="0" w:color="auto"/>
            </w:tcBorders>
            <w:tcMar>
              <w:top w:w="8" w:type="dxa"/>
              <w:left w:w="28" w:type="dxa"/>
              <w:bottom w:w="8" w:type="dxa"/>
              <w:right w:w="28" w:type="dxa"/>
            </w:tcMar>
            <w:vAlign w:val="center"/>
          </w:tcPr>
          <w:p w14:paraId="1B20B790" w14:textId="5F57346D" w:rsidR="003D0A0E" w:rsidRPr="00F5353D" w:rsidRDefault="003D0A0E" w:rsidP="003D0A0E">
            <w:pPr>
              <w:spacing w:line="200" w:lineRule="auto"/>
              <w:rPr>
                <w:sz w:val="20"/>
                <w:szCs w:val="20"/>
              </w:rPr>
            </w:pPr>
            <w:r w:rsidRPr="00F5353D">
              <w:rPr>
                <w:sz w:val="20"/>
                <w:szCs w:val="20"/>
              </w:rPr>
              <w:t>Annual household income</w:t>
            </w:r>
          </w:p>
          <w:p w14:paraId="4837EE2E" w14:textId="7B12CBC8" w:rsidR="003D0A0E" w:rsidRPr="00F5353D" w:rsidRDefault="003D0A0E" w:rsidP="003D0A0E">
            <w:pPr>
              <w:spacing w:line="200" w:lineRule="auto"/>
              <w:rPr>
                <w:sz w:val="20"/>
                <w:szCs w:val="20"/>
              </w:rPr>
            </w:pPr>
            <w:r w:rsidRPr="00F5353D">
              <w:rPr>
                <w:sz w:val="20"/>
                <w:szCs w:val="20"/>
              </w:rPr>
              <w:t>(less than $25,000)</w:t>
            </w:r>
          </w:p>
        </w:tc>
        <w:tc>
          <w:tcPr>
            <w:tcW w:w="737" w:type="pct"/>
            <w:tcBorders>
              <w:top w:val="single" w:sz="8" w:space="0" w:color="auto"/>
              <w:left w:val="single" w:sz="8" w:space="0" w:color="auto"/>
              <w:right w:val="single" w:sz="18" w:space="0" w:color="auto"/>
            </w:tcBorders>
            <w:tcMar>
              <w:top w:w="8" w:type="dxa"/>
              <w:left w:w="28" w:type="dxa"/>
              <w:bottom w:w="8" w:type="dxa"/>
              <w:right w:w="28" w:type="dxa"/>
            </w:tcMar>
            <w:vAlign w:val="center"/>
          </w:tcPr>
          <w:p w14:paraId="24B9421D" w14:textId="72368D38" w:rsidR="003D0A0E" w:rsidRPr="00F5353D" w:rsidRDefault="003D0A0E" w:rsidP="003D0A0E">
            <w:pPr>
              <w:spacing w:line="200" w:lineRule="auto"/>
              <w:rPr>
                <w:sz w:val="20"/>
                <w:szCs w:val="20"/>
              </w:rPr>
            </w:pPr>
            <w:r w:rsidRPr="00F5353D">
              <w:rPr>
                <w:sz w:val="20"/>
                <w:szCs w:val="20"/>
              </w:rPr>
              <w:t>$25,000-$49,999</w:t>
            </w:r>
          </w:p>
        </w:tc>
        <w:tc>
          <w:tcPr>
            <w:tcW w:w="209" w:type="pct"/>
            <w:tcBorders>
              <w:top w:val="single" w:sz="8" w:space="0" w:color="auto"/>
              <w:left w:val="single" w:sz="18" w:space="0" w:color="auto"/>
            </w:tcBorders>
            <w:tcMar>
              <w:top w:w="8" w:type="dxa"/>
              <w:left w:w="28" w:type="dxa"/>
              <w:bottom w:w="8" w:type="dxa"/>
              <w:right w:w="28" w:type="dxa"/>
            </w:tcMar>
            <w:vAlign w:val="center"/>
          </w:tcPr>
          <w:p w14:paraId="722A1F7C" w14:textId="511DFFEE"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gridSpan w:val="2"/>
            <w:tcBorders>
              <w:top w:val="single" w:sz="8" w:space="0" w:color="auto"/>
              <w:right w:val="single" w:sz="18" w:space="0" w:color="auto"/>
            </w:tcBorders>
            <w:tcMar>
              <w:top w:w="8" w:type="dxa"/>
              <w:left w:w="28" w:type="dxa"/>
              <w:bottom w:w="8" w:type="dxa"/>
              <w:right w:w="28" w:type="dxa"/>
            </w:tcMar>
            <w:vAlign w:val="center"/>
          </w:tcPr>
          <w:p w14:paraId="5506C6CA" w14:textId="06F0395D"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4" w:type="pct"/>
            <w:tcBorders>
              <w:top w:val="single" w:sz="8" w:space="0" w:color="auto"/>
              <w:left w:val="single" w:sz="18" w:space="0" w:color="auto"/>
            </w:tcBorders>
            <w:tcMar>
              <w:top w:w="8" w:type="dxa"/>
              <w:left w:w="28" w:type="dxa"/>
              <w:bottom w:w="8" w:type="dxa"/>
              <w:right w:w="28" w:type="dxa"/>
            </w:tcMar>
            <w:vAlign w:val="center"/>
          </w:tcPr>
          <w:p w14:paraId="00051F35" w14:textId="48D5477A"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right w:val="single" w:sz="8" w:space="0" w:color="auto"/>
            </w:tcBorders>
            <w:tcMar>
              <w:top w:w="8" w:type="dxa"/>
              <w:left w:w="28" w:type="dxa"/>
              <w:bottom w:w="8" w:type="dxa"/>
              <w:right w:w="28" w:type="dxa"/>
            </w:tcMar>
            <w:vAlign w:val="center"/>
          </w:tcPr>
          <w:p w14:paraId="5F8AF657" w14:textId="3923F0FB"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left w:val="single" w:sz="8" w:space="0" w:color="auto"/>
            </w:tcBorders>
            <w:tcMar>
              <w:top w:w="8" w:type="dxa"/>
              <w:left w:w="28" w:type="dxa"/>
              <w:bottom w:w="8" w:type="dxa"/>
              <w:right w:w="28" w:type="dxa"/>
            </w:tcMar>
            <w:vAlign w:val="center"/>
          </w:tcPr>
          <w:p w14:paraId="71194963" w14:textId="32E0A8F9"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14" w:type="pct"/>
            <w:gridSpan w:val="2"/>
            <w:tcBorders>
              <w:top w:val="single" w:sz="8" w:space="0" w:color="auto"/>
              <w:right w:val="single" w:sz="18" w:space="0" w:color="auto"/>
            </w:tcBorders>
            <w:tcMar>
              <w:top w:w="8" w:type="dxa"/>
              <w:left w:w="28" w:type="dxa"/>
              <w:bottom w:w="8" w:type="dxa"/>
              <w:right w:w="28" w:type="dxa"/>
            </w:tcMar>
            <w:vAlign w:val="center"/>
          </w:tcPr>
          <w:p w14:paraId="7221443D" w14:textId="6FBF1F7D"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4" w:type="pct"/>
            <w:tcBorders>
              <w:top w:val="single" w:sz="8" w:space="0" w:color="auto"/>
              <w:left w:val="single" w:sz="18" w:space="0" w:color="auto"/>
            </w:tcBorders>
            <w:tcMar>
              <w:top w:w="8" w:type="dxa"/>
              <w:left w:w="28" w:type="dxa"/>
              <w:bottom w:w="8" w:type="dxa"/>
              <w:right w:w="28" w:type="dxa"/>
            </w:tcMar>
            <w:vAlign w:val="center"/>
          </w:tcPr>
          <w:p w14:paraId="0143B9F2" w14:textId="1227DFBF"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right w:val="single" w:sz="8" w:space="0" w:color="auto"/>
            </w:tcBorders>
            <w:tcMar>
              <w:top w:w="8" w:type="dxa"/>
              <w:left w:w="28" w:type="dxa"/>
              <w:bottom w:w="8" w:type="dxa"/>
              <w:right w:w="28" w:type="dxa"/>
            </w:tcMar>
            <w:vAlign w:val="center"/>
          </w:tcPr>
          <w:p w14:paraId="1E412E0A" w14:textId="1EBF5411"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left w:val="single" w:sz="8" w:space="0" w:color="auto"/>
            </w:tcBorders>
            <w:tcMar>
              <w:top w:w="8" w:type="dxa"/>
              <w:left w:w="28" w:type="dxa"/>
              <w:bottom w:w="8" w:type="dxa"/>
              <w:right w:w="28" w:type="dxa"/>
            </w:tcMar>
            <w:vAlign w:val="center"/>
          </w:tcPr>
          <w:p w14:paraId="45900728" w14:textId="2D08D410"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5" w:type="pct"/>
            <w:tcBorders>
              <w:top w:val="single" w:sz="8" w:space="0" w:color="auto"/>
              <w:right w:val="single" w:sz="18" w:space="0" w:color="auto"/>
            </w:tcBorders>
            <w:tcMar>
              <w:top w:w="8" w:type="dxa"/>
              <w:left w:w="28" w:type="dxa"/>
              <w:bottom w:w="8" w:type="dxa"/>
              <w:right w:w="28" w:type="dxa"/>
            </w:tcMar>
            <w:vAlign w:val="center"/>
          </w:tcPr>
          <w:p w14:paraId="416F607C" w14:textId="46BC3304"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left w:val="single" w:sz="18" w:space="0" w:color="auto"/>
            </w:tcBorders>
            <w:tcMar>
              <w:top w:w="8" w:type="dxa"/>
              <w:left w:w="28" w:type="dxa"/>
              <w:bottom w:w="8" w:type="dxa"/>
              <w:right w:w="28" w:type="dxa"/>
            </w:tcMar>
            <w:vAlign w:val="center"/>
          </w:tcPr>
          <w:p w14:paraId="68D55A33" w14:textId="3CFE0C0D"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6" w:type="pct"/>
            <w:tcBorders>
              <w:top w:val="single" w:sz="8" w:space="0" w:color="auto"/>
              <w:right w:val="single" w:sz="18" w:space="0" w:color="auto"/>
            </w:tcBorders>
            <w:tcMar>
              <w:top w:w="8" w:type="dxa"/>
              <w:left w:w="28" w:type="dxa"/>
              <w:bottom w:w="8" w:type="dxa"/>
              <w:right w:w="28" w:type="dxa"/>
            </w:tcMar>
            <w:vAlign w:val="center"/>
          </w:tcPr>
          <w:p w14:paraId="5BF2389B" w14:textId="79212244"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left w:val="single" w:sz="18" w:space="0" w:color="auto"/>
            </w:tcBorders>
            <w:tcMar>
              <w:top w:w="8" w:type="dxa"/>
              <w:left w:w="28" w:type="dxa"/>
              <w:bottom w:w="8" w:type="dxa"/>
              <w:right w:w="28" w:type="dxa"/>
            </w:tcMar>
            <w:vAlign w:val="bottom"/>
          </w:tcPr>
          <w:p w14:paraId="76728997" w14:textId="146A16CB" w:rsidR="003D0A0E" w:rsidRPr="00F5353D" w:rsidRDefault="003D0A0E" w:rsidP="003D0A0E">
            <w:pPr>
              <w:tabs>
                <w:tab w:val="decimal" w:pos="288"/>
              </w:tabs>
              <w:spacing w:line="200" w:lineRule="auto"/>
              <w:jc w:val="center"/>
              <w:rPr>
                <w:sz w:val="20"/>
                <w:szCs w:val="20"/>
              </w:rPr>
            </w:pPr>
            <w:r w:rsidRPr="00F5353D">
              <w:rPr>
                <w:color w:val="000000"/>
                <w:sz w:val="20"/>
                <w:szCs w:val="20"/>
              </w:rPr>
              <w:t>-0.14</w:t>
            </w:r>
          </w:p>
        </w:tc>
        <w:tc>
          <w:tcPr>
            <w:tcW w:w="209" w:type="pct"/>
            <w:tcBorders>
              <w:top w:val="single" w:sz="8" w:space="0" w:color="auto"/>
              <w:right w:val="single" w:sz="8" w:space="0" w:color="auto"/>
            </w:tcBorders>
            <w:tcMar>
              <w:top w:w="8" w:type="dxa"/>
              <w:left w:w="28" w:type="dxa"/>
              <w:bottom w:w="8" w:type="dxa"/>
              <w:right w:w="28" w:type="dxa"/>
            </w:tcMar>
            <w:vAlign w:val="bottom"/>
          </w:tcPr>
          <w:p w14:paraId="23156CA7" w14:textId="44F926E3" w:rsidR="003D0A0E" w:rsidRPr="00F5353D" w:rsidRDefault="003D0A0E" w:rsidP="003D0A0E">
            <w:pPr>
              <w:tabs>
                <w:tab w:val="decimal" w:pos="288"/>
              </w:tabs>
              <w:spacing w:line="200" w:lineRule="auto"/>
              <w:jc w:val="center"/>
              <w:rPr>
                <w:sz w:val="20"/>
                <w:szCs w:val="20"/>
              </w:rPr>
            </w:pPr>
            <w:r w:rsidRPr="00F5353D">
              <w:rPr>
                <w:color w:val="000000"/>
                <w:sz w:val="20"/>
                <w:szCs w:val="20"/>
              </w:rPr>
              <w:t>-1.50</w:t>
            </w:r>
          </w:p>
        </w:tc>
        <w:tc>
          <w:tcPr>
            <w:tcW w:w="207" w:type="pct"/>
            <w:gridSpan w:val="2"/>
            <w:tcBorders>
              <w:top w:val="single" w:sz="8" w:space="0" w:color="auto"/>
              <w:left w:val="single" w:sz="8" w:space="0" w:color="auto"/>
            </w:tcBorders>
            <w:tcMar>
              <w:top w:w="8" w:type="dxa"/>
              <w:left w:w="28" w:type="dxa"/>
              <w:bottom w:w="8" w:type="dxa"/>
              <w:right w:w="28" w:type="dxa"/>
            </w:tcMar>
            <w:vAlign w:val="center"/>
          </w:tcPr>
          <w:p w14:paraId="07F613D2" w14:textId="119B9855"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0" w:type="pct"/>
            <w:tcBorders>
              <w:top w:val="single" w:sz="8" w:space="0" w:color="auto"/>
            </w:tcBorders>
            <w:tcMar>
              <w:top w:w="8" w:type="dxa"/>
              <w:left w:w="28" w:type="dxa"/>
              <w:bottom w:w="8" w:type="dxa"/>
              <w:right w:w="28" w:type="dxa"/>
            </w:tcMar>
            <w:vAlign w:val="center"/>
          </w:tcPr>
          <w:p w14:paraId="066307E7" w14:textId="192FA9C8" w:rsidR="003D0A0E" w:rsidRPr="00F5353D" w:rsidRDefault="003D0A0E" w:rsidP="003D0A0E">
            <w:pPr>
              <w:tabs>
                <w:tab w:val="decimal" w:pos="288"/>
              </w:tabs>
              <w:spacing w:line="200" w:lineRule="auto"/>
              <w:jc w:val="center"/>
              <w:rPr>
                <w:sz w:val="20"/>
                <w:szCs w:val="20"/>
              </w:rPr>
            </w:pPr>
            <w:r w:rsidRPr="00F5353D">
              <w:rPr>
                <w:sz w:val="20"/>
                <w:szCs w:val="20"/>
              </w:rPr>
              <w:t>—</w:t>
            </w:r>
          </w:p>
        </w:tc>
      </w:tr>
      <w:tr w:rsidR="003D0A0E" w:rsidRPr="00F5353D" w14:paraId="4E77CD8E" w14:textId="77777777" w:rsidTr="005D6432">
        <w:trPr>
          <w:cantSplit/>
          <w:trHeight w:val="187"/>
        </w:trPr>
        <w:tc>
          <w:tcPr>
            <w:tcW w:w="862" w:type="pct"/>
            <w:vMerge/>
            <w:tcBorders>
              <w:right w:val="single" w:sz="8" w:space="0" w:color="auto"/>
            </w:tcBorders>
            <w:tcMar>
              <w:top w:w="8" w:type="dxa"/>
              <w:left w:w="28" w:type="dxa"/>
              <w:bottom w:w="8" w:type="dxa"/>
              <w:right w:w="28" w:type="dxa"/>
            </w:tcMar>
            <w:vAlign w:val="center"/>
          </w:tcPr>
          <w:p w14:paraId="5CD3029E" w14:textId="77777777" w:rsidR="003D0A0E" w:rsidRPr="00F5353D" w:rsidRDefault="003D0A0E" w:rsidP="003D0A0E">
            <w:pPr>
              <w:spacing w:line="200" w:lineRule="auto"/>
              <w:rPr>
                <w:sz w:val="20"/>
                <w:szCs w:val="20"/>
              </w:rPr>
            </w:pPr>
          </w:p>
        </w:tc>
        <w:tc>
          <w:tcPr>
            <w:tcW w:w="737" w:type="pct"/>
            <w:tcBorders>
              <w:left w:val="single" w:sz="8" w:space="0" w:color="auto"/>
              <w:right w:val="single" w:sz="18" w:space="0" w:color="auto"/>
            </w:tcBorders>
            <w:tcMar>
              <w:top w:w="8" w:type="dxa"/>
              <w:left w:w="28" w:type="dxa"/>
              <w:bottom w:w="8" w:type="dxa"/>
              <w:right w:w="28" w:type="dxa"/>
            </w:tcMar>
            <w:vAlign w:val="center"/>
          </w:tcPr>
          <w:p w14:paraId="26184C07" w14:textId="42B2F1A2" w:rsidR="003D0A0E" w:rsidRPr="00F5353D" w:rsidRDefault="003D0A0E" w:rsidP="003D0A0E">
            <w:pPr>
              <w:spacing w:line="200" w:lineRule="auto"/>
              <w:rPr>
                <w:sz w:val="20"/>
                <w:szCs w:val="20"/>
              </w:rPr>
            </w:pPr>
            <w:r w:rsidRPr="00F5353D">
              <w:rPr>
                <w:sz w:val="20"/>
                <w:szCs w:val="20"/>
              </w:rPr>
              <w:t>$50,000-$149,999</w:t>
            </w:r>
          </w:p>
        </w:tc>
        <w:tc>
          <w:tcPr>
            <w:tcW w:w="209" w:type="pct"/>
            <w:tcBorders>
              <w:left w:val="single" w:sz="18" w:space="0" w:color="auto"/>
            </w:tcBorders>
            <w:tcMar>
              <w:top w:w="8" w:type="dxa"/>
              <w:left w:w="28" w:type="dxa"/>
              <w:bottom w:w="8" w:type="dxa"/>
              <w:right w:w="28" w:type="dxa"/>
            </w:tcMar>
            <w:vAlign w:val="bottom"/>
          </w:tcPr>
          <w:p w14:paraId="0D298036" w14:textId="601A2380" w:rsidR="003D0A0E" w:rsidRPr="00F5353D" w:rsidRDefault="003D0A0E" w:rsidP="003D0A0E">
            <w:pPr>
              <w:tabs>
                <w:tab w:val="decimal" w:pos="288"/>
              </w:tabs>
              <w:spacing w:line="200" w:lineRule="auto"/>
              <w:jc w:val="center"/>
              <w:rPr>
                <w:sz w:val="20"/>
                <w:szCs w:val="20"/>
              </w:rPr>
            </w:pPr>
            <w:r w:rsidRPr="00F5353D">
              <w:rPr>
                <w:color w:val="000000"/>
                <w:sz w:val="20"/>
                <w:szCs w:val="20"/>
              </w:rPr>
              <w:t>-0.14</w:t>
            </w:r>
          </w:p>
        </w:tc>
        <w:tc>
          <w:tcPr>
            <w:tcW w:w="209" w:type="pct"/>
            <w:gridSpan w:val="2"/>
            <w:tcBorders>
              <w:right w:val="single" w:sz="18" w:space="0" w:color="auto"/>
            </w:tcBorders>
            <w:tcMar>
              <w:top w:w="8" w:type="dxa"/>
              <w:left w:w="28" w:type="dxa"/>
              <w:bottom w:w="8" w:type="dxa"/>
              <w:right w:w="28" w:type="dxa"/>
            </w:tcMar>
            <w:vAlign w:val="bottom"/>
          </w:tcPr>
          <w:p w14:paraId="0C285F07" w14:textId="65D0DBF6" w:rsidR="003D0A0E" w:rsidRPr="00F5353D" w:rsidRDefault="003D0A0E" w:rsidP="003D0A0E">
            <w:pPr>
              <w:tabs>
                <w:tab w:val="decimal" w:pos="288"/>
              </w:tabs>
              <w:spacing w:line="200" w:lineRule="auto"/>
              <w:jc w:val="center"/>
              <w:rPr>
                <w:sz w:val="20"/>
                <w:szCs w:val="20"/>
              </w:rPr>
            </w:pPr>
            <w:r w:rsidRPr="00F5353D">
              <w:rPr>
                <w:color w:val="000000"/>
                <w:sz w:val="20"/>
                <w:szCs w:val="20"/>
              </w:rPr>
              <w:t>-3.23</w:t>
            </w:r>
          </w:p>
        </w:tc>
        <w:tc>
          <w:tcPr>
            <w:tcW w:w="204" w:type="pct"/>
            <w:tcBorders>
              <w:left w:val="single" w:sz="18" w:space="0" w:color="auto"/>
            </w:tcBorders>
            <w:tcMar>
              <w:top w:w="8" w:type="dxa"/>
              <w:left w:w="28" w:type="dxa"/>
              <w:bottom w:w="8" w:type="dxa"/>
              <w:right w:w="28" w:type="dxa"/>
            </w:tcMar>
            <w:vAlign w:val="center"/>
          </w:tcPr>
          <w:p w14:paraId="03D246FE" w14:textId="192EE1C4"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34FA41A3" w14:textId="3697D3CD"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8" w:space="0" w:color="auto"/>
            </w:tcBorders>
            <w:tcMar>
              <w:top w:w="8" w:type="dxa"/>
              <w:left w:w="28" w:type="dxa"/>
              <w:bottom w:w="8" w:type="dxa"/>
              <w:right w:w="28" w:type="dxa"/>
            </w:tcMar>
            <w:vAlign w:val="center"/>
          </w:tcPr>
          <w:p w14:paraId="7FB4C900" w14:textId="79A530C4"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14" w:type="pct"/>
            <w:gridSpan w:val="2"/>
            <w:tcBorders>
              <w:right w:val="single" w:sz="18" w:space="0" w:color="auto"/>
            </w:tcBorders>
            <w:tcMar>
              <w:top w:w="8" w:type="dxa"/>
              <w:left w:w="28" w:type="dxa"/>
              <w:bottom w:w="8" w:type="dxa"/>
              <w:right w:w="28" w:type="dxa"/>
            </w:tcMar>
            <w:vAlign w:val="center"/>
          </w:tcPr>
          <w:p w14:paraId="55900D72" w14:textId="514CD27A"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4" w:type="pct"/>
            <w:tcBorders>
              <w:left w:val="single" w:sz="18" w:space="0" w:color="auto"/>
            </w:tcBorders>
            <w:tcMar>
              <w:top w:w="8" w:type="dxa"/>
              <w:left w:w="28" w:type="dxa"/>
              <w:bottom w:w="8" w:type="dxa"/>
              <w:right w:w="28" w:type="dxa"/>
            </w:tcMar>
            <w:vAlign w:val="center"/>
          </w:tcPr>
          <w:p w14:paraId="12609F6A" w14:textId="0B337527"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1FD0668C" w14:textId="5022230C"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8" w:space="0" w:color="auto"/>
            </w:tcBorders>
            <w:tcMar>
              <w:top w:w="8" w:type="dxa"/>
              <w:left w:w="28" w:type="dxa"/>
              <w:bottom w:w="8" w:type="dxa"/>
              <w:right w:w="28" w:type="dxa"/>
            </w:tcMar>
            <w:vAlign w:val="center"/>
          </w:tcPr>
          <w:p w14:paraId="18FAD5D0" w14:textId="48A760F2"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5" w:type="pct"/>
            <w:tcBorders>
              <w:right w:val="single" w:sz="18" w:space="0" w:color="auto"/>
            </w:tcBorders>
            <w:tcMar>
              <w:top w:w="8" w:type="dxa"/>
              <w:left w:w="28" w:type="dxa"/>
              <w:bottom w:w="8" w:type="dxa"/>
              <w:right w:w="28" w:type="dxa"/>
            </w:tcMar>
            <w:vAlign w:val="center"/>
          </w:tcPr>
          <w:p w14:paraId="69E954F1" w14:textId="583EF8BB"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18" w:space="0" w:color="auto"/>
            </w:tcBorders>
            <w:tcMar>
              <w:top w:w="8" w:type="dxa"/>
              <w:left w:w="28" w:type="dxa"/>
              <w:bottom w:w="8" w:type="dxa"/>
              <w:right w:w="28" w:type="dxa"/>
            </w:tcMar>
            <w:vAlign w:val="center"/>
          </w:tcPr>
          <w:p w14:paraId="376C8D39" w14:textId="1CC9E26A"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6" w:type="pct"/>
            <w:tcBorders>
              <w:right w:val="single" w:sz="18" w:space="0" w:color="auto"/>
            </w:tcBorders>
            <w:tcMar>
              <w:top w:w="8" w:type="dxa"/>
              <w:left w:w="28" w:type="dxa"/>
              <w:bottom w:w="8" w:type="dxa"/>
              <w:right w:w="28" w:type="dxa"/>
            </w:tcMar>
            <w:vAlign w:val="center"/>
          </w:tcPr>
          <w:p w14:paraId="5A729E38" w14:textId="07FFBEF9"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18" w:space="0" w:color="auto"/>
            </w:tcBorders>
            <w:tcMar>
              <w:top w:w="8" w:type="dxa"/>
              <w:left w:w="28" w:type="dxa"/>
              <w:bottom w:w="8" w:type="dxa"/>
              <w:right w:w="28" w:type="dxa"/>
            </w:tcMar>
            <w:vAlign w:val="center"/>
          </w:tcPr>
          <w:p w14:paraId="7A2CB45D" w14:textId="2FFB3427"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201054D0" w14:textId="530C811A"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7" w:type="pct"/>
            <w:gridSpan w:val="2"/>
            <w:tcBorders>
              <w:left w:val="single" w:sz="8" w:space="0" w:color="auto"/>
            </w:tcBorders>
            <w:tcMar>
              <w:top w:w="8" w:type="dxa"/>
              <w:left w:w="28" w:type="dxa"/>
              <w:bottom w:w="8" w:type="dxa"/>
              <w:right w:w="28" w:type="dxa"/>
            </w:tcMar>
            <w:vAlign w:val="center"/>
          </w:tcPr>
          <w:p w14:paraId="2D928150" w14:textId="6E185111"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0" w:type="pct"/>
            <w:tcMar>
              <w:top w:w="8" w:type="dxa"/>
              <w:left w:w="28" w:type="dxa"/>
              <w:bottom w:w="8" w:type="dxa"/>
              <w:right w:w="28" w:type="dxa"/>
            </w:tcMar>
            <w:vAlign w:val="center"/>
          </w:tcPr>
          <w:p w14:paraId="6877940E" w14:textId="35EADC62" w:rsidR="003D0A0E" w:rsidRPr="00F5353D" w:rsidRDefault="003D0A0E" w:rsidP="003D0A0E">
            <w:pPr>
              <w:tabs>
                <w:tab w:val="decimal" w:pos="288"/>
              </w:tabs>
              <w:spacing w:line="200" w:lineRule="auto"/>
              <w:jc w:val="center"/>
              <w:rPr>
                <w:sz w:val="20"/>
                <w:szCs w:val="20"/>
              </w:rPr>
            </w:pPr>
            <w:r w:rsidRPr="00F5353D">
              <w:rPr>
                <w:sz w:val="20"/>
                <w:szCs w:val="20"/>
              </w:rPr>
              <w:t>—</w:t>
            </w:r>
          </w:p>
        </w:tc>
      </w:tr>
      <w:tr w:rsidR="003D0A0E" w:rsidRPr="00F5353D" w14:paraId="48ED528C" w14:textId="77777777" w:rsidTr="005D6432">
        <w:trPr>
          <w:cantSplit/>
          <w:trHeight w:val="187"/>
        </w:trPr>
        <w:tc>
          <w:tcPr>
            <w:tcW w:w="862" w:type="pct"/>
            <w:vMerge/>
            <w:tcBorders>
              <w:right w:val="single" w:sz="8" w:space="0" w:color="auto"/>
            </w:tcBorders>
            <w:tcMar>
              <w:top w:w="8" w:type="dxa"/>
              <w:left w:w="28" w:type="dxa"/>
              <w:bottom w:w="8" w:type="dxa"/>
              <w:right w:w="28" w:type="dxa"/>
            </w:tcMar>
            <w:vAlign w:val="center"/>
          </w:tcPr>
          <w:p w14:paraId="22CCFC69" w14:textId="77777777" w:rsidR="003D0A0E" w:rsidRPr="00F5353D" w:rsidRDefault="003D0A0E" w:rsidP="003D0A0E">
            <w:pPr>
              <w:spacing w:line="200" w:lineRule="auto"/>
              <w:rPr>
                <w:sz w:val="20"/>
                <w:szCs w:val="20"/>
              </w:rPr>
            </w:pPr>
          </w:p>
        </w:tc>
        <w:tc>
          <w:tcPr>
            <w:tcW w:w="737" w:type="pct"/>
            <w:tcBorders>
              <w:left w:val="single" w:sz="8" w:space="0" w:color="auto"/>
              <w:right w:val="single" w:sz="18" w:space="0" w:color="auto"/>
            </w:tcBorders>
            <w:tcMar>
              <w:top w:w="8" w:type="dxa"/>
              <w:left w:w="28" w:type="dxa"/>
              <w:bottom w:w="8" w:type="dxa"/>
              <w:right w:w="28" w:type="dxa"/>
            </w:tcMar>
            <w:vAlign w:val="center"/>
          </w:tcPr>
          <w:p w14:paraId="2CFC0823" w14:textId="5149AFCA" w:rsidR="003D0A0E" w:rsidRPr="00F5353D" w:rsidRDefault="003D0A0E" w:rsidP="003D0A0E">
            <w:pPr>
              <w:spacing w:line="200" w:lineRule="auto"/>
              <w:rPr>
                <w:sz w:val="20"/>
                <w:szCs w:val="20"/>
              </w:rPr>
            </w:pPr>
            <w:r w:rsidRPr="00F5353D">
              <w:rPr>
                <w:sz w:val="20"/>
                <w:szCs w:val="20"/>
              </w:rPr>
              <w:t>$150,000-$199,999</w:t>
            </w:r>
          </w:p>
        </w:tc>
        <w:tc>
          <w:tcPr>
            <w:tcW w:w="209" w:type="pct"/>
            <w:tcBorders>
              <w:left w:val="single" w:sz="18" w:space="0" w:color="auto"/>
            </w:tcBorders>
            <w:tcMar>
              <w:top w:w="8" w:type="dxa"/>
              <w:left w:w="28" w:type="dxa"/>
              <w:bottom w:w="8" w:type="dxa"/>
              <w:right w:w="28" w:type="dxa"/>
            </w:tcMar>
            <w:vAlign w:val="bottom"/>
          </w:tcPr>
          <w:p w14:paraId="5BD0DED6" w14:textId="18934CE1" w:rsidR="003D0A0E" w:rsidRPr="00F5353D" w:rsidRDefault="003D0A0E" w:rsidP="003D0A0E">
            <w:pPr>
              <w:tabs>
                <w:tab w:val="decimal" w:pos="288"/>
              </w:tabs>
              <w:spacing w:line="200" w:lineRule="auto"/>
              <w:jc w:val="center"/>
              <w:rPr>
                <w:sz w:val="20"/>
                <w:szCs w:val="20"/>
              </w:rPr>
            </w:pPr>
            <w:r w:rsidRPr="00F5353D">
              <w:rPr>
                <w:color w:val="000000"/>
                <w:sz w:val="20"/>
                <w:szCs w:val="20"/>
              </w:rPr>
              <w:t>-0.14</w:t>
            </w:r>
          </w:p>
        </w:tc>
        <w:tc>
          <w:tcPr>
            <w:tcW w:w="209" w:type="pct"/>
            <w:gridSpan w:val="2"/>
            <w:tcBorders>
              <w:right w:val="single" w:sz="18" w:space="0" w:color="auto"/>
            </w:tcBorders>
            <w:tcMar>
              <w:top w:w="8" w:type="dxa"/>
              <w:left w:w="28" w:type="dxa"/>
              <w:bottom w:w="8" w:type="dxa"/>
              <w:right w:w="28" w:type="dxa"/>
            </w:tcMar>
            <w:vAlign w:val="bottom"/>
          </w:tcPr>
          <w:p w14:paraId="77019374" w14:textId="65F9056A" w:rsidR="003D0A0E" w:rsidRPr="00F5353D" w:rsidRDefault="003D0A0E" w:rsidP="003D0A0E">
            <w:pPr>
              <w:tabs>
                <w:tab w:val="decimal" w:pos="288"/>
              </w:tabs>
              <w:spacing w:line="200" w:lineRule="auto"/>
              <w:jc w:val="center"/>
              <w:rPr>
                <w:sz w:val="20"/>
                <w:szCs w:val="20"/>
              </w:rPr>
            </w:pPr>
            <w:r w:rsidRPr="00F5353D">
              <w:rPr>
                <w:color w:val="000000"/>
                <w:sz w:val="20"/>
                <w:szCs w:val="20"/>
              </w:rPr>
              <w:t>-3.23</w:t>
            </w:r>
          </w:p>
        </w:tc>
        <w:tc>
          <w:tcPr>
            <w:tcW w:w="204" w:type="pct"/>
            <w:tcBorders>
              <w:left w:val="single" w:sz="18" w:space="0" w:color="auto"/>
            </w:tcBorders>
            <w:tcMar>
              <w:top w:w="8" w:type="dxa"/>
              <w:left w:w="28" w:type="dxa"/>
              <w:bottom w:w="8" w:type="dxa"/>
              <w:right w:w="28" w:type="dxa"/>
            </w:tcMar>
            <w:vAlign w:val="center"/>
          </w:tcPr>
          <w:p w14:paraId="1282AF92" w14:textId="28CB6E26"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3A963334" w14:textId="1F4D6B2B"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8" w:space="0" w:color="auto"/>
            </w:tcBorders>
            <w:tcMar>
              <w:top w:w="8" w:type="dxa"/>
              <w:left w:w="28" w:type="dxa"/>
              <w:bottom w:w="8" w:type="dxa"/>
              <w:right w:w="28" w:type="dxa"/>
            </w:tcMar>
            <w:vAlign w:val="center"/>
          </w:tcPr>
          <w:p w14:paraId="2F373074" w14:textId="78150F68"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14" w:type="pct"/>
            <w:gridSpan w:val="2"/>
            <w:tcBorders>
              <w:right w:val="single" w:sz="18" w:space="0" w:color="auto"/>
            </w:tcBorders>
            <w:tcMar>
              <w:top w:w="8" w:type="dxa"/>
              <w:left w:w="28" w:type="dxa"/>
              <w:bottom w:w="8" w:type="dxa"/>
              <w:right w:w="28" w:type="dxa"/>
            </w:tcMar>
            <w:vAlign w:val="center"/>
          </w:tcPr>
          <w:p w14:paraId="734A8E75" w14:textId="5AFD1139"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4" w:type="pct"/>
            <w:tcBorders>
              <w:left w:val="single" w:sz="18" w:space="0" w:color="auto"/>
            </w:tcBorders>
            <w:tcMar>
              <w:top w:w="8" w:type="dxa"/>
              <w:left w:w="28" w:type="dxa"/>
              <w:bottom w:w="8" w:type="dxa"/>
              <w:right w:w="28" w:type="dxa"/>
            </w:tcMar>
            <w:vAlign w:val="center"/>
          </w:tcPr>
          <w:p w14:paraId="0E4800D0" w14:textId="398AAF12"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7B53EB06" w14:textId="186B0694"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8" w:space="0" w:color="auto"/>
            </w:tcBorders>
            <w:tcMar>
              <w:top w:w="8" w:type="dxa"/>
              <w:left w:w="28" w:type="dxa"/>
              <w:bottom w:w="8" w:type="dxa"/>
              <w:right w:w="28" w:type="dxa"/>
            </w:tcMar>
            <w:vAlign w:val="bottom"/>
          </w:tcPr>
          <w:p w14:paraId="5D6C3F9C" w14:textId="0724E6D6" w:rsidR="003D0A0E" w:rsidRPr="00F5353D" w:rsidRDefault="003D0A0E" w:rsidP="003D0A0E">
            <w:pPr>
              <w:tabs>
                <w:tab w:val="decimal" w:pos="288"/>
              </w:tabs>
              <w:spacing w:line="200" w:lineRule="auto"/>
              <w:jc w:val="center"/>
              <w:rPr>
                <w:sz w:val="20"/>
                <w:szCs w:val="20"/>
              </w:rPr>
            </w:pPr>
            <w:r w:rsidRPr="00F5353D">
              <w:rPr>
                <w:color w:val="000000"/>
                <w:sz w:val="20"/>
                <w:szCs w:val="20"/>
              </w:rPr>
              <w:t>-0.32</w:t>
            </w:r>
          </w:p>
        </w:tc>
        <w:tc>
          <w:tcPr>
            <w:tcW w:w="245" w:type="pct"/>
            <w:tcBorders>
              <w:right w:val="single" w:sz="18" w:space="0" w:color="auto"/>
            </w:tcBorders>
            <w:tcMar>
              <w:top w:w="8" w:type="dxa"/>
              <w:left w:w="28" w:type="dxa"/>
              <w:bottom w:w="8" w:type="dxa"/>
              <w:right w:w="28" w:type="dxa"/>
            </w:tcMar>
            <w:vAlign w:val="bottom"/>
          </w:tcPr>
          <w:p w14:paraId="1CD13C62" w14:textId="2DB8674D" w:rsidR="003D0A0E" w:rsidRPr="00F5353D" w:rsidRDefault="003D0A0E" w:rsidP="003D0A0E">
            <w:pPr>
              <w:tabs>
                <w:tab w:val="decimal" w:pos="288"/>
              </w:tabs>
              <w:spacing w:line="200" w:lineRule="auto"/>
              <w:jc w:val="center"/>
              <w:rPr>
                <w:sz w:val="20"/>
                <w:szCs w:val="20"/>
              </w:rPr>
            </w:pPr>
            <w:r w:rsidRPr="00F5353D">
              <w:rPr>
                <w:color w:val="000000"/>
                <w:sz w:val="20"/>
                <w:szCs w:val="20"/>
              </w:rPr>
              <w:t>-2.12</w:t>
            </w:r>
          </w:p>
        </w:tc>
        <w:tc>
          <w:tcPr>
            <w:tcW w:w="209" w:type="pct"/>
            <w:tcBorders>
              <w:left w:val="single" w:sz="18" w:space="0" w:color="auto"/>
            </w:tcBorders>
            <w:tcMar>
              <w:top w:w="8" w:type="dxa"/>
              <w:left w:w="28" w:type="dxa"/>
              <w:bottom w:w="8" w:type="dxa"/>
              <w:right w:w="28" w:type="dxa"/>
            </w:tcMar>
            <w:vAlign w:val="center"/>
          </w:tcPr>
          <w:p w14:paraId="220646FB" w14:textId="794E0E5A"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6" w:type="pct"/>
            <w:tcBorders>
              <w:right w:val="single" w:sz="18" w:space="0" w:color="auto"/>
            </w:tcBorders>
            <w:tcMar>
              <w:top w:w="8" w:type="dxa"/>
              <w:left w:w="28" w:type="dxa"/>
              <w:bottom w:w="8" w:type="dxa"/>
              <w:right w:w="28" w:type="dxa"/>
            </w:tcMar>
            <w:vAlign w:val="center"/>
          </w:tcPr>
          <w:p w14:paraId="65DDDAAE" w14:textId="42897FDE"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18" w:space="0" w:color="auto"/>
            </w:tcBorders>
            <w:tcMar>
              <w:top w:w="8" w:type="dxa"/>
              <w:left w:w="28" w:type="dxa"/>
              <w:bottom w:w="8" w:type="dxa"/>
              <w:right w:w="28" w:type="dxa"/>
            </w:tcMar>
            <w:vAlign w:val="center"/>
          </w:tcPr>
          <w:p w14:paraId="0B1B3AB4" w14:textId="21C1A07C"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2EA7B7AD" w14:textId="1C3666F4"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7" w:type="pct"/>
            <w:gridSpan w:val="2"/>
            <w:tcBorders>
              <w:left w:val="single" w:sz="8" w:space="0" w:color="auto"/>
            </w:tcBorders>
            <w:tcMar>
              <w:top w:w="8" w:type="dxa"/>
              <w:left w:w="28" w:type="dxa"/>
              <w:bottom w:w="8" w:type="dxa"/>
              <w:right w:w="28" w:type="dxa"/>
            </w:tcMar>
            <w:vAlign w:val="center"/>
          </w:tcPr>
          <w:p w14:paraId="733E28BC" w14:textId="0E1561F6"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0" w:type="pct"/>
            <w:tcMar>
              <w:top w:w="8" w:type="dxa"/>
              <w:left w:w="28" w:type="dxa"/>
              <w:bottom w:w="8" w:type="dxa"/>
              <w:right w:w="28" w:type="dxa"/>
            </w:tcMar>
            <w:vAlign w:val="center"/>
          </w:tcPr>
          <w:p w14:paraId="32AD99AD" w14:textId="655BE358" w:rsidR="003D0A0E" w:rsidRPr="00F5353D" w:rsidRDefault="003D0A0E" w:rsidP="003D0A0E">
            <w:pPr>
              <w:tabs>
                <w:tab w:val="decimal" w:pos="288"/>
              </w:tabs>
              <w:spacing w:line="200" w:lineRule="auto"/>
              <w:jc w:val="center"/>
              <w:rPr>
                <w:sz w:val="20"/>
                <w:szCs w:val="20"/>
              </w:rPr>
            </w:pPr>
            <w:r w:rsidRPr="00F5353D">
              <w:rPr>
                <w:sz w:val="20"/>
                <w:szCs w:val="20"/>
              </w:rPr>
              <w:t>—</w:t>
            </w:r>
          </w:p>
        </w:tc>
      </w:tr>
      <w:tr w:rsidR="003D0A0E" w:rsidRPr="00F5353D" w14:paraId="78EF857D" w14:textId="77777777" w:rsidTr="008C7AA0">
        <w:trPr>
          <w:cantSplit/>
          <w:trHeight w:val="187"/>
        </w:trPr>
        <w:tc>
          <w:tcPr>
            <w:tcW w:w="862" w:type="pct"/>
            <w:vMerge/>
            <w:tcBorders>
              <w:bottom w:val="single" w:sz="8" w:space="0" w:color="auto"/>
              <w:right w:val="single" w:sz="8" w:space="0" w:color="auto"/>
            </w:tcBorders>
            <w:tcMar>
              <w:top w:w="8" w:type="dxa"/>
              <w:left w:w="28" w:type="dxa"/>
              <w:bottom w:w="8" w:type="dxa"/>
              <w:right w:w="28" w:type="dxa"/>
            </w:tcMar>
            <w:vAlign w:val="center"/>
          </w:tcPr>
          <w:p w14:paraId="53849063" w14:textId="77777777" w:rsidR="003D0A0E" w:rsidRPr="00F5353D" w:rsidRDefault="003D0A0E" w:rsidP="003D0A0E">
            <w:pPr>
              <w:spacing w:line="200" w:lineRule="auto"/>
              <w:rPr>
                <w:sz w:val="20"/>
                <w:szCs w:val="20"/>
              </w:rPr>
            </w:pPr>
          </w:p>
        </w:tc>
        <w:tc>
          <w:tcPr>
            <w:tcW w:w="737" w:type="pct"/>
            <w:tcBorders>
              <w:left w:val="single" w:sz="8" w:space="0" w:color="auto"/>
              <w:bottom w:val="single" w:sz="8" w:space="0" w:color="auto"/>
              <w:right w:val="single" w:sz="18" w:space="0" w:color="auto"/>
            </w:tcBorders>
            <w:tcMar>
              <w:top w:w="8" w:type="dxa"/>
              <w:left w:w="28" w:type="dxa"/>
              <w:bottom w:w="8" w:type="dxa"/>
              <w:right w:w="28" w:type="dxa"/>
            </w:tcMar>
            <w:vAlign w:val="center"/>
          </w:tcPr>
          <w:p w14:paraId="1FA40367" w14:textId="77777777" w:rsidR="003D0A0E" w:rsidRPr="00F5353D" w:rsidRDefault="003D0A0E" w:rsidP="003D0A0E">
            <w:pPr>
              <w:spacing w:line="200" w:lineRule="auto"/>
              <w:rPr>
                <w:sz w:val="20"/>
                <w:szCs w:val="20"/>
              </w:rPr>
            </w:pPr>
            <w:r w:rsidRPr="00F5353D">
              <w:rPr>
                <w:sz w:val="20"/>
                <w:szCs w:val="20"/>
              </w:rPr>
              <w:t>$200,000 or more</w:t>
            </w:r>
          </w:p>
        </w:tc>
        <w:tc>
          <w:tcPr>
            <w:tcW w:w="209" w:type="pct"/>
            <w:tcBorders>
              <w:left w:val="single" w:sz="18" w:space="0" w:color="auto"/>
              <w:bottom w:val="single" w:sz="8" w:space="0" w:color="auto"/>
            </w:tcBorders>
            <w:tcMar>
              <w:top w:w="8" w:type="dxa"/>
              <w:left w:w="28" w:type="dxa"/>
              <w:bottom w:w="8" w:type="dxa"/>
              <w:right w:w="28" w:type="dxa"/>
            </w:tcMar>
            <w:vAlign w:val="bottom"/>
          </w:tcPr>
          <w:p w14:paraId="72234D4C" w14:textId="1D519DC2" w:rsidR="003D0A0E" w:rsidRPr="00F5353D" w:rsidRDefault="003D0A0E" w:rsidP="003D0A0E">
            <w:pPr>
              <w:tabs>
                <w:tab w:val="decimal" w:pos="288"/>
              </w:tabs>
              <w:spacing w:line="200" w:lineRule="auto"/>
              <w:jc w:val="center"/>
              <w:rPr>
                <w:sz w:val="20"/>
                <w:szCs w:val="20"/>
              </w:rPr>
            </w:pPr>
            <w:r w:rsidRPr="00F5353D">
              <w:rPr>
                <w:color w:val="000000"/>
                <w:sz w:val="20"/>
                <w:szCs w:val="20"/>
              </w:rPr>
              <w:t>-0.14</w:t>
            </w:r>
          </w:p>
        </w:tc>
        <w:tc>
          <w:tcPr>
            <w:tcW w:w="209" w:type="pct"/>
            <w:gridSpan w:val="2"/>
            <w:tcBorders>
              <w:bottom w:val="single" w:sz="8" w:space="0" w:color="auto"/>
              <w:right w:val="single" w:sz="18" w:space="0" w:color="auto"/>
            </w:tcBorders>
            <w:tcMar>
              <w:top w:w="8" w:type="dxa"/>
              <w:left w:w="28" w:type="dxa"/>
              <w:bottom w:w="8" w:type="dxa"/>
              <w:right w:w="28" w:type="dxa"/>
            </w:tcMar>
            <w:vAlign w:val="bottom"/>
          </w:tcPr>
          <w:p w14:paraId="4F59565E" w14:textId="5F1DE4AE" w:rsidR="003D0A0E" w:rsidRPr="00F5353D" w:rsidRDefault="003D0A0E" w:rsidP="003D0A0E">
            <w:pPr>
              <w:tabs>
                <w:tab w:val="decimal" w:pos="288"/>
              </w:tabs>
              <w:spacing w:line="200" w:lineRule="auto"/>
              <w:jc w:val="center"/>
              <w:rPr>
                <w:sz w:val="20"/>
                <w:szCs w:val="20"/>
              </w:rPr>
            </w:pPr>
            <w:r w:rsidRPr="00F5353D">
              <w:rPr>
                <w:color w:val="000000"/>
                <w:sz w:val="20"/>
                <w:szCs w:val="20"/>
              </w:rPr>
              <w:t>-3.23</w:t>
            </w:r>
          </w:p>
        </w:tc>
        <w:tc>
          <w:tcPr>
            <w:tcW w:w="204" w:type="pct"/>
            <w:tcBorders>
              <w:left w:val="single" w:sz="18" w:space="0" w:color="auto"/>
              <w:bottom w:val="single" w:sz="8" w:space="0" w:color="auto"/>
            </w:tcBorders>
            <w:tcMar>
              <w:top w:w="8" w:type="dxa"/>
              <w:left w:w="28" w:type="dxa"/>
              <w:bottom w:w="8" w:type="dxa"/>
              <w:right w:w="28" w:type="dxa"/>
            </w:tcMar>
            <w:vAlign w:val="center"/>
          </w:tcPr>
          <w:p w14:paraId="3153346F" w14:textId="52A2EC25"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bottom w:val="single" w:sz="8" w:space="0" w:color="auto"/>
              <w:right w:val="single" w:sz="8" w:space="0" w:color="auto"/>
            </w:tcBorders>
            <w:tcMar>
              <w:top w:w="8" w:type="dxa"/>
              <w:left w:w="28" w:type="dxa"/>
              <w:bottom w:w="8" w:type="dxa"/>
              <w:right w:w="28" w:type="dxa"/>
            </w:tcMar>
            <w:vAlign w:val="center"/>
          </w:tcPr>
          <w:p w14:paraId="600F4975" w14:textId="4F4A3B34"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8" w:space="0" w:color="auto"/>
              <w:bottom w:val="single" w:sz="8" w:space="0" w:color="auto"/>
            </w:tcBorders>
            <w:tcMar>
              <w:top w:w="8" w:type="dxa"/>
              <w:left w:w="28" w:type="dxa"/>
              <w:bottom w:w="8" w:type="dxa"/>
              <w:right w:w="28" w:type="dxa"/>
            </w:tcMar>
            <w:vAlign w:val="center"/>
          </w:tcPr>
          <w:p w14:paraId="4582041E" w14:textId="6DCE2C14"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14" w:type="pct"/>
            <w:gridSpan w:val="2"/>
            <w:tcBorders>
              <w:bottom w:val="single" w:sz="8" w:space="0" w:color="auto"/>
              <w:right w:val="single" w:sz="18" w:space="0" w:color="auto"/>
            </w:tcBorders>
            <w:tcMar>
              <w:top w:w="8" w:type="dxa"/>
              <w:left w:w="28" w:type="dxa"/>
              <w:bottom w:w="8" w:type="dxa"/>
              <w:right w:w="28" w:type="dxa"/>
            </w:tcMar>
            <w:vAlign w:val="center"/>
          </w:tcPr>
          <w:p w14:paraId="27E4BAFB" w14:textId="197DF494"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4" w:type="pct"/>
            <w:tcBorders>
              <w:left w:val="single" w:sz="18" w:space="0" w:color="auto"/>
              <w:bottom w:val="single" w:sz="8" w:space="0" w:color="auto"/>
            </w:tcBorders>
            <w:tcMar>
              <w:top w:w="8" w:type="dxa"/>
              <w:left w:w="28" w:type="dxa"/>
              <w:bottom w:w="8" w:type="dxa"/>
              <w:right w:w="28" w:type="dxa"/>
            </w:tcMar>
            <w:vAlign w:val="center"/>
          </w:tcPr>
          <w:p w14:paraId="0CE5FEFC" w14:textId="101C883E"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bottom w:val="single" w:sz="8" w:space="0" w:color="auto"/>
              <w:right w:val="single" w:sz="8" w:space="0" w:color="auto"/>
            </w:tcBorders>
            <w:tcMar>
              <w:top w:w="8" w:type="dxa"/>
              <w:left w:w="28" w:type="dxa"/>
              <w:bottom w:w="8" w:type="dxa"/>
              <w:right w:w="28" w:type="dxa"/>
            </w:tcMar>
            <w:vAlign w:val="center"/>
          </w:tcPr>
          <w:p w14:paraId="6E73CE2E" w14:textId="31A36806"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8" w:space="0" w:color="auto"/>
              <w:bottom w:val="single" w:sz="8" w:space="0" w:color="auto"/>
            </w:tcBorders>
            <w:tcMar>
              <w:top w:w="8" w:type="dxa"/>
              <w:left w:w="28" w:type="dxa"/>
              <w:bottom w:w="8" w:type="dxa"/>
              <w:right w:w="28" w:type="dxa"/>
            </w:tcMar>
            <w:vAlign w:val="bottom"/>
          </w:tcPr>
          <w:p w14:paraId="6BB9A33C" w14:textId="165FBA5C" w:rsidR="003D0A0E" w:rsidRPr="00F5353D" w:rsidRDefault="003D0A0E" w:rsidP="003D0A0E">
            <w:pPr>
              <w:tabs>
                <w:tab w:val="decimal" w:pos="288"/>
              </w:tabs>
              <w:spacing w:line="200" w:lineRule="auto"/>
              <w:jc w:val="center"/>
              <w:rPr>
                <w:sz w:val="20"/>
                <w:szCs w:val="20"/>
              </w:rPr>
            </w:pPr>
            <w:r w:rsidRPr="00F5353D">
              <w:rPr>
                <w:color w:val="000000"/>
                <w:sz w:val="20"/>
                <w:szCs w:val="20"/>
              </w:rPr>
              <w:t>-0.32</w:t>
            </w:r>
          </w:p>
        </w:tc>
        <w:tc>
          <w:tcPr>
            <w:tcW w:w="245" w:type="pct"/>
            <w:tcBorders>
              <w:bottom w:val="single" w:sz="8" w:space="0" w:color="auto"/>
              <w:right w:val="single" w:sz="18" w:space="0" w:color="auto"/>
            </w:tcBorders>
            <w:tcMar>
              <w:top w:w="8" w:type="dxa"/>
              <w:left w:w="28" w:type="dxa"/>
              <w:bottom w:w="8" w:type="dxa"/>
              <w:right w:w="28" w:type="dxa"/>
            </w:tcMar>
            <w:vAlign w:val="bottom"/>
          </w:tcPr>
          <w:p w14:paraId="4BB81D9F" w14:textId="717D168A" w:rsidR="003D0A0E" w:rsidRPr="00F5353D" w:rsidRDefault="003D0A0E" w:rsidP="003D0A0E">
            <w:pPr>
              <w:tabs>
                <w:tab w:val="decimal" w:pos="288"/>
              </w:tabs>
              <w:spacing w:line="200" w:lineRule="auto"/>
              <w:jc w:val="center"/>
              <w:rPr>
                <w:sz w:val="20"/>
                <w:szCs w:val="20"/>
              </w:rPr>
            </w:pPr>
            <w:r w:rsidRPr="00F5353D">
              <w:rPr>
                <w:color w:val="000000"/>
                <w:sz w:val="20"/>
                <w:szCs w:val="20"/>
              </w:rPr>
              <w:t>-2.12</w:t>
            </w:r>
          </w:p>
        </w:tc>
        <w:tc>
          <w:tcPr>
            <w:tcW w:w="209" w:type="pct"/>
            <w:tcBorders>
              <w:left w:val="single" w:sz="18" w:space="0" w:color="auto"/>
              <w:bottom w:val="single" w:sz="8" w:space="0" w:color="auto"/>
            </w:tcBorders>
            <w:tcMar>
              <w:top w:w="8" w:type="dxa"/>
              <w:left w:w="28" w:type="dxa"/>
              <w:bottom w:w="8" w:type="dxa"/>
              <w:right w:w="28" w:type="dxa"/>
            </w:tcMar>
            <w:vAlign w:val="center"/>
          </w:tcPr>
          <w:p w14:paraId="71553B18" w14:textId="70BC28FB"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6" w:type="pct"/>
            <w:tcBorders>
              <w:bottom w:val="single" w:sz="8" w:space="0" w:color="auto"/>
              <w:right w:val="single" w:sz="18" w:space="0" w:color="auto"/>
            </w:tcBorders>
            <w:tcMar>
              <w:top w:w="8" w:type="dxa"/>
              <w:left w:w="28" w:type="dxa"/>
              <w:bottom w:w="8" w:type="dxa"/>
              <w:right w:w="28" w:type="dxa"/>
            </w:tcMar>
            <w:vAlign w:val="center"/>
          </w:tcPr>
          <w:p w14:paraId="6DC8FBDB" w14:textId="7D7D2036"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18" w:space="0" w:color="auto"/>
              <w:bottom w:val="single" w:sz="8" w:space="0" w:color="auto"/>
            </w:tcBorders>
            <w:tcMar>
              <w:top w:w="8" w:type="dxa"/>
              <w:left w:w="28" w:type="dxa"/>
              <w:bottom w:w="8" w:type="dxa"/>
              <w:right w:w="28" w:type="dxa"/>
            </w:tcMar>
            <w:vAlign w:val="center"/>
          </w:tcPr>
          <w:p w14:paraId="5272EF60" w14:textId="4449C1B6"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bottom w:val="single" w:sz="8" w:space="0" w:color="auto"/>
              <w:right w:val="single" w:sz="8" w:space="0" w:color="auto"/>
            </w:tcBorders>
            <w:tcMar>
              <w:top w:w="8" w:type="dxa"/>
              <w:left w:w="28" w:type="dxa"/>
              <w:bottom w:w="8" w:type="dxa"/>
              <w:right w:w="28" w:type="dxa"/>
            </w:tcMar>
            <w:vAlign w:val="center"/>
          </w:tcPr>
          <w:p w14:paraId="1E562898" w14:textId="5C9933F7"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7" w:type="pct"/>
            <w:gridSpan w:val="2"/>
            <w:tcBorders>
              <w:left w:val="single" w:sz="8" w:space="0" w:color="auto"/>
              <w:bottom w:val="single" w:sz="8" w:space="0" w:color="auto"/>
            </w:tcBorders>
            <w:tcMar>
              <w:top w:w="8" w:type="dxa"/>
              <w:left w:w="28" w:type="dxa"/>
              <w:bottom w:w="8" w:type="dxa"/>
              <w:right w:w="28" w:type="dxa"/>
            </w:tcMar>
            <w:vAlign w:val="bottom"/>
          </w:tcPr>
          <w:p w14:paraId="6A600637" w14:textId="26D571C3" w:rsidR="003D0A0E" w:rsidRPr="00F5353D" w:rsidRDefault="003D0A0E" w:rsidP="003D0A0E">
            <w:pPr>
              <w:tabs>
                <w:tab w:val="decimal" w:pos="288"/>
              </w:tabs>
              <w:spacing w:line="200" w:lineRule="auto"/>
              <w:jc w:val="center"/>
              <w:rPr>
                <w:sz w:val="20"/>
                <w:szCs w:val="20"/>
              </w:rPr>
            </w:pPr>
            <w:r w:rsidRPr="00F5353D">
              <w:rPr>
                <w:color w:val="000000"/>
                <w:sz w:val="20"/>
                <w:szCs w:val="20"/>
              </w:rPr>
              <w:t>-0.20</w:t>
            </w:r>
          </w:p>
        </w:tc>
        <w:tc>
          <w:tcPr>
            <w:tcW w:w="200" w:type="pct"/>
            <w:tcBorders>
              <w:bottom w:val="single" w:sz="8" w:space="0" w:color="auto"/>
            </w:tcBorders>
            <w:tcMar>
              <w:top w:w="8" w:type="dxa"/>
              <w:left w:w="28" w:type="dxa"/>
              <w:bottom w:w="8" w:type="dxa"/>
              <w:right w:w="28" w:type="dxa"/>
            </w:tcMar>
            <w:vAlign w:val="bottom"/>
          </w:tcPr>
          <w:p w14:paraId="00DB5243" w14:textId="657A0D9F" w:rsidR="003D0A0E" w:rsidRPr="00F5353D" w:rsidRDefault="003D0A0E" w:rsidP="003D0A0E">
            <w:pPr>
              <w:tabs>
                <w:tab w:val="decimal" w:pos="288"/>
              </w:tabs>
              <w:spacing w:line="200" w:lineRule="auto"/>
              <w:jc w:val="center"/>
              <w:rPr>
                <w:sz w:val="20"/>
                <w:szCs w:val="20"/>
              </w:rPr>
            </w:pPr>
            <w:r w:rsidRPr="00F5353D">
              <w:rPr>
                <w:color w:val="000000"/>
                <w:sz w:val="20"/>
                <w:szCs w:val="20"/>
              </w:rPr>
              <w:t>-1.15</w:t>
            </w:r>
          </w:p>
        </w:tc>
      </w:tr>
      <w:tr w:rsidR="003D0A0E" w:rsidRPr="00F5353D" w14:paraId="04469A31" w14:textId="77777777" w:rsidTr="008C7AA0">
        <w:trPr>
          <w:cantSplit/>
          <w:trHeight w:val="187"/>
        </w:trPr>
        <w:tc>
          <w:tcPr>
            <w:tcW w:w="862" w:type="pct"/>
            <w:vMerge w:val="restart"/>
            <w:tcBorders>
              <w:top w:val="single" w:sz="8" w:space="0" w:color="auto"/>
              <w:right w:val="single" w:sz="8" w:space="0" w:color="auto"/>
            </w:tcBorders>
            <w:tcMar>
              <w:top w:w="8" w:type="dxa"/>
              <w:left w:w="28" w:type="dxa"/>
              <w:bottom w:w="8" w:type="dxa"/>
              <w:right w:w="28" w:type="dxa"/>
            </w:tcMar>
            <w:vAlign w:val="center"/>
          </w:tcPr>
          <w:p w14:paraId="17E1129C" w14:textId="0A4F8CEB" w:rsidR="003D0A0E" w:rsidRPr="00F5353D" w:rsidRDefault="003D0A0E" w:rsidP="003D0A0E">
            <w:pPr>
              <w:spacing w:line="200" w:lineRule="auto"/>
              <w:rPr>
                <w:sz w:val="20"/>
                <w:szCs w:val="20"/>
              </w:rPr>
            </w:pPr>
            <w:r w:rsidRPr="00F5353D">
              <w:rPr>
                <w:sz w:val="20"/>
                <w:szCs w:val="20"/>
              </w:rPr>
              <w:t>Household size</w:t>
            </w:r>
          </w:p>
          <w:p w14:paraId="3093B5FA" w14:textId="49D119B3" w:rsidR="003D0A0E" w:rsidRPr="00F5353D" w:rsidRDefault="003D0A0E" w:rsidP="003D0A0E">
            <w:pPr>
              <w:spacing w:line="200" w:lineRule="auto"/>
              <w:rPr>
                <w:sz w:val="20"/>
                <w:szCs w:val="20"/>
              </w:rPr>
            </w:pPr>
            <w:r w:rsidRPr="00F5353D">
              <w:rPr>
                <w:sz w:val="20"/>
                <w:szCs w:val="20"/>
              </w:rPr>
              <w:t>(one)</w:t>
            </w:r>
          </w:p>
        </w:tc>
        <w:tc>
          <w:tcPr>
            <w:tcW w:w="737" w:type="pct"/>
            <w:tcBorders>
              <w:top w:val="single" w:sz="8" w:space="0" w:color="auto"/>
              <w:left w:val="single" w:sz="8" w:space="0" w:color="auto"/>
              <w:right w:val="single" w:sz="18" w:space="0" w:color="auto"/>
            </w:tcBorders>
            <w:tcMar>
              <w:top w:w="8" w:type="dxa"/>
              <w:left w:w="28" w:type="dxa"/>
              <w:bottom w:w="8" w:type="dxa"/>
              <w:right w:w="28" w:type="dxa"/>
            </w:tcMar>
            <w:vAlign w:val="center"/>
          </w:tcPr>
          <w:p w14:paraId="2DB9005A" w14:textId="112F7F75" w:rsidR="003D0A0E" w:rsidRPr="00F5353D" w:rsidRDefault="003D0A0E" w:rsidP="003D0A0E">
            <w:pPr>
              <w:spacing w:line="200" w:lineRule="auto"/>
              <w:rPr>
                <w:sz w:val="20"/>
                <w:szCs w:val="20"/>
              </w:rPr>
            </w:pPr>
            <w:r w:rsidRPr="00F5353D">
              <w:rPr>
                <w:sz w:val="20"/>
                <w:szCs w:val="20"/>
              </w:rPr>
              <w:t>Two</w:t>
            </w:r>
          </w:p>
        </w:tc>
        <w:tc>
          <w:tcPr>
            <w:tcW w:w="209" w:type="pct"/>
            <w:tcBorders>
              <w:top w:val="single" w:sz="8" w:space="0" w:color="auto"/>
              <w:left w:val="single" w:sz="18" w:space="0" w:color="auto"/>
            </w:tcBorders>
            <w:tcMar>
              <w:top w:w="8" w:type="dxa"/>
              <w:left w:w="28" w:type="dxa"/>
              <w:bottom w:w="8" w:type="dxa"/>
              <w:right w:w="28" w:type="dxa"/>
            </w:tcMar>
            <w:vAlign w:val="bottom"/>
          </w:tcPr>
          <w:p w14:paraId="2D4F4FF1" w14:textId="6C41E1B3" w:rsidR="003D0A0E" w:rsidRPr="00F5353D" w:rsidRDefault="003D0A0E" w:rsidP="003D0A0E">
            <w:pPr>
              <w:tabs>
                <w:tab w:val="decimal" w:pos="288"/>
              </w:tabs>
              <w:spacing w:line="200" w:lineRule="auto"/>
              <w:jc w:val="center"/>
              <w:rPr>
                <w:sz w:val="20"/>
                <w:szCs w:val="20"/>
              </w:rPr>
            </w:pPr>
            <w:r w:rsidRPr="00F5353D">
              <w:rPr>
                <w:color w:val="000000"/>
                <w:sz w:val="20"/>
                <w:szCs w:val="20"/>
              </w:rPr>
              <w:t>-0.11</w:t>
            </w:r>
          </w:p>
        </w:tc>
        <w:tc>
          <w:tcPr>
            <w:tcW w:w="209" w:type="pct"/>
            <w:gridSpan w:val="2"/>
            <w:tcBorders>
              <w:top w:val="single" w:sz="8" w:space="0" w:color="auto"/>
              <w:right w:val="single" w:sz="18" w:space="0" w:color="auto"/>
            </w:tcBorders>
            <w:tcMar>
              <w:top w:w="8" w:type="dxa"/>
              <w:left w:w="28" w:type="dxa"/>
              <w:bottom w:w="8" w:type="dxa"/>
              <w:right w:w="28" w:type="dxa"/>
            </w:tcMar>
            <w:vAlign w:val="bottom"/>
          </w:tcPr>
          <w:p w14:paraId="56BAA2D2" w14:textId="367C7123" w:rsidR="003D0A0E" w:rsidRPr="00F5353D" w:rsidRDefault="003D0A0E" w:rsidP="003D0A0E">
            <w:pPr>
              <w:tabs>
                <w:tab w:val="decimal" w:pos="288"/>
              </w:tabs>
              <w:spacing w:line="200" w:lineRule="auto"/>
              <w:jc w:val="center"/>
              <w:rPr>
                <w:sz w:val="20"/>
                <w:szCs w:val="20"/>
              </w:rPr>
            </w:pPr>
            <w:r w:rsidRPr="00F5353D">
              <w:rPr>
                <w:color w:val="000000"/>
                <w:sz w:val="20"/>
                <w:szCs w:val="20"/>
              </w:rPr>
              <w:t>-2.40</w:t>
            </w:r>
          </w:p>
        </w:tc>
        <w:tc>
          <w:tcPr>
            <w:tcW w:w="204" w:type="pct"/>
            <w:tcBorders>
              <w:top w:val="single" w:sz="8" w:space="0" w:color="auto"/>
              <w:left w:val="single" w:sz="18" w:space="0" w:color="auto"/>
            </w:tcBorders>
            <w:tcMar>
              <w:top w:w="8" w:type="dxa"/>
              <w:left w:w="28" w:type="dxa"/>
              <w:bottom w:w="8" w:type="dxa"/>
              <w:right w:w="28" w:type="dxa"/>
            </w:tcMar>
            <w:vAlign w:val="center"/>
          </w:tcPr>
          <w:p w14:paraId="51053D10" w14:textId="4E959052"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right w:val="single" w:sz="8" w:space="0" w:color="auto"/>
            </w:tcBorders>
            <w:tcMar>
              <w:top w:w="8" w:type="dxa"/>
              <w:left w:w="28" w:type="dxa"/>
              <w:bottom w:w="8" w:type="dxa"/>
              <w:right w:w="28" w:type="dxa"/>
            </w:tcMar>
            <w:vAlign w:val="center"/>
          </w:tcPr>
          <w:p w14:paraId="5104626F" w14:textId="5ACE8708"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left w:val="single" w:sz="8" w:space="0" w:color="auto"/>
            </w:tcBorders>
            <w:tcMar>
              <w:top w:w="8" w:type="dxa"/>
              <w:left w:w="28" w:type="dxa"/>
              <w:bottom w:w="8" w:type="dxa"/>
              <w:right w:w="28" w:type="dxa"/>
            </w:tcMar>
            <w:vAlign w:val="center"/>
          </w:tcPr>
          <w:p w14:paraId="30410B13" w14:textId="401F37AA"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14" w:type="pct"/>
            <w:gridSpan w:val="2"/>
            <w:tcBorders>
              <w:top w:val="single" w:sz="8" w:space="0" w:color="auto"/>
              <w:right w:val="single" w:sz="18" w:space="0" w:color="auto"/>
            </w:tcBorders>
            <w:tcMar>
              <w:top w:w="8" w:type="dxa"/>
              <w:left w:w="28" w:type="dxa"/>
              <w:bottom w:w="8" w:type="dxa"/>
              <w:right w:w="28" w:type="dxa"/>
            </w:tcMar>
            <w:vAlign w:val="center"/>
          </w:tcPr>
          <w:p w14:paraId="4A52AE12" w14:textId="08A754F8"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4" w:type="pct"/>
            <w:tcBorders>
              <w:top w:val="single" w:sz="8" w:space="0" w:color="auto"/>
              <w:left w:val="single" w:sz="18" w:space="0" w:color="auto"/>
            </w:tcBorders>
            <w:tcMar>
              <w:top w:w="8" w:type="dxa"/>
              <w:left w:w="28" w:type="dxa"/>
              <w:bottom w:w="8" w:type="dxa"/>
              <w:right w:w="28" w:type="dxa"/>
            </w:tcMar>
            <w:vAlign w:val="center"/>
          </w:tcPr>
          <w:p w14:paraId="60ECBE08" w14:textId="16736A44"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right w:val="single" w:sz="8" w:space="0" w:color="auto"/>
            </w:tcBorders>
            <w:tcMar>
              <w:top w:w="8" w:type="dxa"/>
              <w:left w:w="28" w:type="dxa"/>
              <w:bottom w:w="8" w:type="dxa"/>
              <w:right w:w="28" w:type="dxa"/>
            </w:tcMar>
            <w:vAlign w:val="center"/>
          </w:tcPr>
          <w:p w14:paraId="75431C68" w14:textId="64C060B5"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left w:val="single" w:sz="8" w:space="0" w:color="auto"/>
            </w:tcBorders>
            <w:tcMar>
              <w:top w:w="8" w:type="dxa"/>
              <w:left w:w="28" w:type="dxa"/>
              <w:bottom w:w="8" w:type="dxa"/>
              <w:right w:w="28" w:type="dxa"/>
            </w:tcMar>
            <w:vAlign w:val="center"/>
          </w:tcPr>
          <w:p w14:paraId="2AA5CA61" w14:textId="434AEDD3"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5" w:type="pct"/>
            <w:tcBorders>
              <w:top w:val="single" w:sz="8" w:space="0" w:color="auto"/>
              <w:right w:val="single" w:sz="18" w:space="0" w:color="auto"/>
            </w:tcBorders>
            <w:tcMar>
              <w:top w:w="8" w:type="dxa"/>
              <w:left w:w="28" w:type="dxa"/>
              <w:bottom w:w="8" w:type="dxa"/>
              <w:right w:w="28" w:type="dxa"/>
            </w:tcMar>
            <w:vAlign w:val="center"/>
          </w:tcPr>
          <w:p w14:paraId="3551A3CF" w14:textId="2C928AF9"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left w:val="single" w:sz="18" w:space="0" w:color="auto"/>
            </w:tcBorders>
            <w:tcMar>
              <w:top w:w="8" w:type="dxa"/>
              <w:left w:w="28" w:type="dxa"/>
              <w:bottom w:w="8" w:type="dxa"/>
              <w:right w:w="28" w:type="dxa"/>
            </w:tcMar>
            <w:vAlign w:val="bottom"/>
          </w:tcPr>
          <w:p w14:paraId="18061B5C" w14:textId="0C24AB27" w:rsidR="003D0A0E" w:rsidRPr="00F5353D" w:rsidRDefault="003D0A0E" w:rsidP="003D0A0E">
            <w:pPr>
              <w:tabs>
                <w:tab w:val="decimal" w:pos="288"/>
              </w:tabs>
              <w:spacing w:line="200" w:lineRule="auto"/>
              <w:jc w:val="center"/>
              <w:rPr>
                <w:sz w:val="20"/>
                <w:szCs w:val="20"/>
              </w:rPr>
            </w:pPr>
            <w:r w:rsidRPr="00F5353D">
              <w:rPr>
                <w:color w:val="000000"/>
                <w:sz w:val="20"/>
                <w:szCs w:val="20"/>
              </w:rPr>
              <w:t>-0.21</w:t>
            </w:r>
          </w:p>
        </w:tc>
        <w:tc>
          <w:tcPr>
            <w:tcW w:w="246" w:type="pct"/>
            <w:tcBorders>
              <w:top w:val="single" w:sz="8" w:space="0" w:color="auto"/>
              <w:right w:val="single" w:sz="18" w:space="0" w:color="auto"/>
            </w:tcBorders>
            <w:tcMar>
              <w:top w:w="8" w:type="dxa"/>
              <w:left w:w="28" w:type="dxa"/>
              <w:bottom w:w="8" w:type="dxa"/>
              <w:right w:w="28" w:type="dxa"/>
            </w:tcMar>
            <w:vAlign w:val="bottom"/>
          </w:tcPr>
          <w:p w14:paraId="3D54661F" w14:textId="75C6AD43" w:rsidR="003D0A0E" w:rsidRPr="00F5353D" w:rsidRDefault="003D0A0E" w:rsidP="003D0A0E">
            <w:pPr>
              <w:tabs>
                <w:tab w:val="decimal" w:pos="288"/>
              </w:tabs>
              <w:spacing w:line="200" w:lineRule="auto"/>
              <w:jc w:val="center"/>
              <w:rPr>
                <w:sz w:val="20"/>
                <w:szCs w:val="20"/>
              </w:rPr>
            </w:pPr>
            <w:r w:rsidRPr="00F5353D">
              <w:rPr>
                <w:color w:val="000000"/>
                <w:sz w:val="20"/>
                <w:szCs w:val="20"/>
              </w:rPr>
              <w:t>-1.85</w:t>
            </w:r>
          </w:p>
        </w:tc>
        <w:tc>
          <w:tcPr>
            <w:tcW w:w="209" w:type="pct"/>
            <w:tcBorders>
              <w:top w:val="single" w:sz="8" w:space="0" w:color="auto"/>
              <w:left w:val="single" w:sz="18" w:space="0" w:color="auto"/>
            </w:tcBorders>
            <w:tcMar>
              <w:top w:w="8" w:type="dxa"/>
              <w:left w:w="28" w:type="dxa"/>
              <w:bottom w:w="8" w:type="dxa"/>
              <w:right w:w="28" w:type="dxa"/>
            </w:tcMar>
            <w:vAlign w:val="center"/>
          </w:tcPr>
          <w:p w14:paraId="69DE9AF6" w14:textId="55DF896E"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right w:val="single" w:sz="8" w:space="0" w:color="auto"/>
            </w:tcBorders>
            <w:tcMar>
              <w:top w:w="8" w:type="dxa"/>
              <w:left w:w="28" w:type="dxa"/>
              <w:bottom w:w="8" w:type="dxa"/>
              <w:right w:w="28" w:type="dxa"/>
            </w:tcMar>
            <w:vAlign w:val="center"/>
          </w:tcPr>
          <w:p w14:paraId="1BEBB832" w14:textId="7BA8201E"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7" w:type="pct"/>
            <w:gridSpan w:val="2"/>
            <w:tcBorders>
              <w:top w:val="single" w:sz="8" w:space="0" w:color="auto"/>
              <w:left w:val="single" w:sz="8" w:space="0" w:color="auto"/>
            </w:tcBorders>
            <w:tcMar>
              <w:top w:w="8" w:type="dxa"/>
              <w:left w:w="28" w:type="dxa"/>
              <w:bottom w:w="8" w:type="dxa"/>
              <w:right w:w="28" w:type="dxa"/>
            </w:tcMar>
            <w:vAlign w:val="bottom"/>
          </w:tcPr>
          <w:p w14:paraId="3D060E10" w14:textId="774AF711" w:rsidR="003D0A0E" w:rsidRPr="00F5353D" w:rsidRDefault="003D0A0E" w:rsidP="003D0A0E">
            <w:pPr>
              <w:tabs>
                <w:tab w:val="decimal" w:pos="288"/>
              </w:tabs>
              <w:spacing w:line="200" w:lineRule="auto"/>
              <w:jc w:val="center"/>
              <w:rPr>
                <w:sz w:val="20"/>
                <w:szCs w:val="20"/>
              </w:rPr>
            </w:pPr>
            <w:r w:rsidRPr="00F5353D">
              <w:rPr>
                <w:color w:val="000000"/>
                <w:sz w:val="20"/>
                <w:szCs w:val="20"/>
              </w:rPr>
              <w:t>-0.11</w:t>
            </w:r>
          </w:p>
        </w:tc>
        <w:tc>
          <w:tcPr>
            <w:tcW w:w="200" w:type="pct"/>
            <w:tcBorders>
              <w:top w:val="single" w:sz="8" w:space="0" w:color="auto"/>
            </w:tcBorders>
            <w:tcMar>
              <w:top w:w="8" w:type="dxa"/>
              <w:left w:w="28" w:type="dxa"/>
              <w:bottom w:w="8" w:type="dxa"/>
              <w:right w:w="28" w:type="dxa"/>
            </w:tcMar>
            <w:vAlign w:val="bottom"/>
          </w:tcPr>
          <w:p w14:paraId="2C56429F" w14:textId="11F52E21" w:rsidR="003D0A0E" w:rsidRPr="00F5353D" w:rsidRDefault="003D0A0E" w:rsidP="003D0A0E">
            <w:pPr>
              <w:tabs>
                <w:tab w:val="decimal" w:pos="288"/>
              </w:tabs>
              <w:spacing w:line="200" w:lineRule="auto"/>
              <w:jc w:val="center"/>
              <w:rPr>
                <w:sz w:val="20"/>
                <w:szCs w:val="20"/>
              </w:rPr>
            </w:pPr>
            <w:r w:rsidRPr="00F5353D">
              <w:rPr>
                <w:color w:val="000000"/>
                <w:sz w:val="20"/>
                <w:szCs w:val="20"/>
              </w:rPr>
              <w:t>-1.48</w:t>
            </w:r>
          </w:p>
        </w:tc>
      </w:tr>
      <w:tr w:rsidR="003D0A0E" w:rsidRPr="00F5353D" w14:paraId="5B1AC919" w14:textId="77777777" w:rsidTr="008C7AA0">
        <w:trPr>
          <w:cantSplit/>
          <w:trHeight w:val="187"/>
        </w:trPr>
        <w:tc>
          <w:tcPr>
            <w:tcW w:w="862" w:type="pct"/>
            <w:vMerge/>
            <w:tcBorders>
              <w:bottom w:val="single" w:sz="8" w:space="0" w:color="auto"/>
              <w:right w:val="single" w:sz="8" w:space="0" w:color="auto"/>
            </w:tcBorders>
            <w:tcMar>
              <w:top w:w="8" w:type="dxa"/>
              <w:left w:w="28" w:type="dxa"/>
              <w:bottom w:w="8" w:type="dxa"/>
              <w:right w:w="28" w:type="dxa"/>
            </w:tcMar>
            <w:vAlign w:val="center"/>
          </w:tcPr>
          <w:p w14:paraId="239607C5" w14:textId="77777777" w:rsidR="003D0A0E" w:rsidRPr="00F5353D" w:rsidRDefault="003D0A0E" w:rsidP="003D0A0E">
            <w:pPr>
              <w:spacing w:line="200" w:lineRule="auto"/>
              <w:rPr>
                <w:sz w:val="20"/>
                <w:szCs w:val="20"/>
              </w:rPr>
            </w:pPr>
          </w:p>
        </w:tc>
        <w:tc>
          <w:tcPr>
            <w:tcW w:w="737" w:type="pct"/>
            <w:tcBorders>
              <w:left w:val="single" w:sz="8" w:space="0" w:color="auto"/>
              <w:bottom w:val="single" w:sz="8" w:space="0" w:color="auto"/>
              <w:right w:val="single" w:sz="18" w:space="0" w:color="auto"/>
            </w:tcBorders>
            <w:tcMar>
              <w:top w:w="8" w:type="dxa"/>
              <w:left w:w="28" w:type="dxa"/>
              <w:bottom w:w="8" w:type="dxa"/>
              <w:right w:w="28" w:type="dxa"/>
            </w:tcMar>
            <w:vAlign w:val="center"/>
          </w:tcPr>
          <w:p w14:paraId="4DB4CC5C" w14:textId="49AFBB2B" w:rsidR="003D0A0E" w:rsidRPr="00F5353D" w:rsidRDefault="003D0A0E" w:rsidP="003D0A0E">
            <w:pPr>
              <w:spacing w:line="200" w:lineRule="auto"/>
              <w:rPr>
                <w:sz w:val="20"/>
                <w:szCs w:val="20"/>
              </w:rPr>
            </w:pPr>
            <w:r w:rsidRPr="00F5353D">
              <w:rPr>
                <w:sz w:val="20"/>
                <w:szCs w:val="20"/>
              </w:rPr>
              <w:t>Three or more</w:t>
            </w:r>
          </w:p>
        </w:tc>
        <w:tc>
          <w:tcPr>
            <w:tcW w:w="209" w:type="pct"/>
            <w:tcBorders>
              <w:left w:val="single" w:sz="18" w:space="0" w:color="auto"/>
              <w:bottom w:val="single" w:sz="8" w:space="0" w:color="auto"/>
            </w:tcBorders>
            <w:tcMar>
              <w:top w:w="8" w:type="dxa"/>
              <w:left w:w="28" w:type="dxa"/>
              <w:bottom w:w="8" w:type="dxa"/>
              <w:right w:w="28" w:type="dxa"/>
            </w:tcMar>
            <w:vAlign w:val="bottom"/>
          </w:tcPr>
          <w:p w14:paraId="2C10BD50" w14:textId="5F0D0EC6" w:rsidR="003D0A0E" w:rsidRPr="00F5353D" w:rsidRDefault="003D0A0E" w:rsidP="003D0A0E">
            <w:pPr>
              <w:tabs>
                <w:tab w:val="decimal" w:pos="288"/>
              </w:tabs>
              <w:spacing w:line="200" w:lineRule="auto"/>
              <w:jc w:val="center"/>
              <w:rPr>
                <w:sz w:val="20"/>
                <w:szCs w:val="20"/>
              </w:rPr>
            </w:pPr>
            <w:r w:rsidRPr="00F5353D">
              <w:rPr>
                <w:color w:val="000000"/>
                <w:sz w:val="20"/>
                <w:szCs w:val="20"/>
              </w:rPr>
              <w:t>-0.11</w:t>
            </w:r>
          </w:p>
        </w:tc>
        <w:tc>
          <w:tcPr>
            <w:tcW w:w="209" w:type="pct"/>
            <w:gridSpan w:val="2"/>
            <w:tcBorders>
              <w:bottom w:val="single" w:sz="8" w:space="0" w:color="auto"/>
              <w:right w:val="single" w:sz="18" w:space="0" w:color="auto"/>
            </w:tcBorders>
            <w:tcMar>
              <w:top w:w="8" w:type="dxa"/>
              <w:left w:w="28" w:type="dxa"/>
              <w:bottom w:w="8" w:type="dxa"/>
              <w:right w:w="28" w:type="dxa"/>
            </w:tcMar>
            <w:vAlign w:val="bottom"/>
          </w:tcPr>
          <w:p w14:paraId="193B8260" w14:textId="12FCB193" w:rsidR="003D0A0E" w:rsidRPr="00F5353D" w:rsidRDefault="003D0A0E" w:rsidP="003D0A0E">
            <w:pPr>
              <w:tabs>
                <w:tab w:val="decimal" w:pos="288"/>
              </w:tabs>
              <w:spacing w:line="200" w:lineRule="auto"/>
              <w:jc w:val="center"/>
              <w:rPr>
                <w:sz w:val="20"/>
                <w:szCs w:val="20"/>
              </w:rPr>
            </w:pPr>
            <w:r w:rsidRPr="00F5353D">
              <w:rPr>
                <w:color w:val="000000"/>
                <w:sz w:val="20"/>
                <w:szCs w:val="20"/>
              </w:rPr>
              <w:t>-2.40</w:t>
            </w:r>
          </w:p>
        </w:tc>
        <w:tc>
          <w:tcPr>
            <w:tcW w:w="204" w:type="pct"/>
            <w:tcBorders>
              <w:left w:val="single" w:sz="18" w:space="0" w:color="auto"/>
              <w:bottom w:val="single" w:sz="8" w:space="0" w:color="auto"/>
            </w:tcBorders>
            <w:tcMar>
              <w:top w:w="8" w:type="dxa"/>
              <w:left w:w="28" w:type="dxa"/>
              <w:bottom w:w="8" w:type="dxa"/>
              <w:right w:w="28" w:type="dxa"/>
            </w:tcMar>
            <w:vAlign w:val="center"/>
          </w:tcPr>
          <w:p w14:paraId="1B056E53" w14:textId="3B07E7B8"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bottom w:val="single" w:sz="8" w:space="0" w:color="auto"/>
              <w:right w:val="single" w:sz="8" w:space="0" w:color="auto"/>
            </w:tcBorders>
            <w:tcMar>
              <w:top w:w="8" w:type="dxa"/>
              <w:left w:w="28" w:type="dxa"/>
              <w:bottom w:w="8" w:type="dxa"/>
              <w:right w:w="28" w:type="dxa"/>
            </w:tcMar>
            <w:vAlign w:val="center"/>
          </w:tcPr>
          <w:p w14:paraId="3A662AA3" w14:textId="39514447"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8" w:space="0" w:color="auto"/>
              <w:bottom w:val="single" w:sz="8" w:space="0" w:color="auto"/>
            </w:tcBorders>
            <w:tcMar>
              <w:top w:w="8" w:type="dxa"/>
              <w:left w:w="28" w:type="dxa"/>
              <w:bottom w:w="8" w:type="dxa"/>
              <w:right w:w="28" w:type="dxa"/>
            </w:tcMar>
            <w:vAlign w:val="center"/>
          </w:tcPr>
          <w:p w14:paraId="7C7E89CD" w14:textId="7DB527BD"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14" w:type="pct"/>
            <w:gridSpan w:val="2"/>
            <w:tcBorders>
              <w:bottom w:val="single" w:sz="8" w:space="0" w:color="auto"/>
              <w:right w:val="single" w:sz="18" w:space="0" w:color="auto"/>
            </w:tcBorders>
            <w:tcMar>
              <w:top w:w="8" w:type="dxa"/>
              <w:left w:w="28" w:type="dxa"/>
              <w:bottom w:w="8" w:type="dxa"/>
              <w:right w:w="28" w:type="dxa"/>
            </w:tcMar>
            <w:vAlign w:val="center"/>
          </w:tcPr>
          <w:p w14:paraId="1D796E78" w14:textId="29C27699"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4" w:type="pct"/>
            <w:tcBorders>
              <w:left w:val="single" w:sz="18" w:space="0" w:color="auto"/>
              <w:bottom w:val="single" w:sz="8" w:space="0" w:color="auto"/>
            </w:tcBorders>
            <w:tcMar>
              <w:top w:w="8" w:type="dxa"/>
              <w:left w:w="28" w:type="dxa"/>
              <w:bottom w:w="8" w:type="dxa"/>
              <w:right w:w="28" w:type="dxa"/>
            </w:tcMar>
            <w:vAlign w:val="center"/>
          </w:tcPr>
          <w:p w14:paraId="568FA1C6" w14:textId="244C85A7"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bottom w:val="single" w:sz="8" w:space="0" w:color="auto"/>
              <w:right w:val="single" w:sz="8" w:space="0" w:color="auto"/>
            </w:tcBorders>
            <w:tcMar>
              <w:top w:w="8" w:type="dxa"/>
              <w:left w:w="28" w:type="dxa"/>
              <w:bottom w:w="8" w:type="dxa"/>
              <w:right w:w="28" w:type="dxa"/>
            </w:tcMar>
            <w:vAlign w:val="center"/>
          </w:tcPr>
          <w:p w14:paraId="5F3DFAE6" w14:textId="26B028BE"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8" w:space="0" w:color="auto"/>
              <w:bottom w:val="single" w:sz="8" w:space="0" w:color="auto"/>
            </w:tcBorders>
            <w:tcMar>
              <w:top w:w="8" w:type="dxa"/>
              <w:left w:w="28" w:type="dxa"/>
              <w:bottom w:w="8" w:type="dxa"/>
              <w:right w:w="28" w:type="dxa"/>
            </w:tcMar>
            <w:vAlign w:val="center"/>
          </w:tcPr>
          <w:p w14:paraId="67CF3ED1" w14:textId="4F17C907"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5" w:type="pct"/>
            <w:tcBorders>
              <w:bottom w:val="single" w:sz="8" w:space="0" w:color="auto"/>
              <w:right w:val="single" w:sz="18" w:space="0" w:color="auto"/>
            </w:tcBorders>
            <w:tcMar>
              <w:top w:w="8" w:type="dxa"/>
              <w:left w:w="28" w:type="dxa"/>
              <w:bottom w:w="8" w:type="dxa"/>
              <w:right w:w="28" w:type="dxa"/>
            </w:tcMar>
            <w:vAlign w:val="center"/>
          </w:tcPr>
          <w:p w14:paraId="14A9BC08" w14:textId="5E8800BC"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18" w:space="0" w:color="auto"/>
              <w:bottom w:val="single" w:sz="8" w:space="0" w:color="auto"/>
            </w:tcBorders>
            <w:tcMar>
              <w:top w:w="8" w:type="dxa"/>
              <w:left w:w="28" w:type="dxa"/>
              <w:bottom w:w="8" w:type="dxa"/>
              <w:right w:w="28" w:type="dxa"/>
            </w:tcMar>
            <w:vAlign w:val="bottom"/>
          </w:tcPr>
          <w:p w14:paraId="4E9F4C28" w14:textId="61F1E916" w:rsidR="003D0A0E" w:rsidRPr="00F5353D" w:rsidRDefault="003D0A0E" w:rsidP="003D0A0E">
            <w:pPr>
              <w:tabs>
                <w:tab w:val="decimal" w:pos="288"/>
              </w:tabs>
              <w:spacing w:line="200" w:lineRule="auto"/>
              <w:jc w:val="center"/>
              <w:rPr>
                <w:sz w:val="20"/>
                <w:szCs w:val="20"/>
              </w:rPr>
            </w:pPr>
            <w:r w:rsidRPr="00F5353D">
              <w:rPr>
                <w:color w:val="000000"/>
                <w:sz w:val="20"/>
                <w:szCs w:val="20"/>
              </w:rPr>
              <w:t>-0.21</w:t>
            </w:r>
          </w:p>
        </w:tc>
        <w:tc>
          <w:tcPr>
            <w:tcW w:w="246" w:type="pct"/>
            <w:tcBorders>
              <w:bottom w:val="single" w:sz="8" w:space="0" w:color="auto"/>
              <w:right w:val="single" w:sz="18" w:space="0" w:color="auto"/>
            </w:tcBorders>
            <w:tcMar>
              <w:top w:w="8" w:type="dxa"/>
              <w:left w:w="28" w:type="dxa"/>
              <w:bottom w:w="8" w:type="dxa"/>
              <w:right w:w="28" w:type="dxa"/>
            </w:tcMar>
            <w:vAlign w:val="bottom"/>
          </w:tcPr>
          <w:p w14:paraId="50397EC9" w14:textId="1887D3AD" w:rsidR="003D0A0E" w:rsidRPr="00F5353D" w:rsidRDefault="003D0A0E" w:rsidP="003D0A0E">
            <w:pPr>
              <w:tabs>
                <w:tab w:val="decimal" w:pos="288"/>
              </w:tabs>
              <w:spacing w:line="200" w:lineRule="auto"/>
              <w:jc w:val="center"/>
              <w:rPr>
                <w:sz w:val="20"/>
                <w:szCs w:val="20"/>
              </w:rPr>
            </w:pPr>
            <w:r w:rsidRPr="00F5353D">
              <w:rPr>
                <w:color w:val="000000"/>
                <w:sz w:val="20"/>
                <w:szCs w:val="20"/>
              </w:rPr>
              <w:t>-1.85</w:t>
            </w:r>
          </w:p>
        </w:tc>
        <w:tc>
          <w:tcPr>
            <w:tcW w:w="209" w:type="pct"/>
            <w:tcBorders>
              <w:left w:val="single" w:sz="18" w:space="0" w:color="auto"/>
              <w:bottom w:val="single" w:sz="8" w:space="0" w:color="auto"/>
            </w:tcBorders>
            <w:tcMar>
              <w:top w:w="8" w:type="dxa"/>
              <w:left w:w="28" w:type="dxa"/>
              <w:bottom w:w="8" w:type="dxa"/>
              <w:right w:w="28" w:type="dxa"/>
            </w:tcMar>
            <w:vAlign w:val="center"/>
          </w:tcPr>
          <w:p w14:paraId="48C1C035" w14:textId="55C5E670"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bottom w:val="single" w:sz="8" w:space="0" w:color="auto"/>
              <w:right w:val="single" w:sz="8" w:space="0" w:color="auto"/>
            </w:tcBorders>
            <w:tcMar>
              <w:top w:w="8" w:type="dxa"/>
              <w:left w:w="28" w:type="dxa"/>
              <w:bottom w:w="8" w:type="dxa"/>
              <w:right w:w="28" w:type="dxa"/>
            </w:tcMar>
            <w:vAlign w:val="center"/>
          </w:tcPr>
          <w:p w14:paraId="4BF78D44" w14:textId="24262D02"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7" w:type="pct"/>
            <w:gridSpan w:val="2"/>
            <w:tcBorders>
              <w:left w:val="single" w:sz="8" w:space="0" w:color="auto"/>
              <w:bottom w:val="single" w:sz="8" w:space="0" w:color="auto"/>
            </w:tcBorders>
            <w:tcMar>
              <w:top w:w="8" w:type="dxa"/>
              <w:left w:w="28" w:type="dxa"/>
              <w:bottom w:w="8" w:type="dxa"/>
              <w:right w:w="28" w:type="dxa"/>
            </w:tcMar>
            <w:vAlign w:val="center"/>
          </w:tcPr>
          <w:p w14:paraId="72F345A3" w14:textId="679962CB"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0" w:type="pct"/>
            <w:tcBorders>
              <w:bottom w:val="single" w:sz="8" w:space="0" w:color="auto"/>
            </w:tcBorders>
            <w:tcMar>
              <w:top w:w="8" w:type="dxa"/>
              <w:left w:w="28" w:type="dxa"/>
              <w:bottom w:w="8" w:type="dxa"/>
              <w:right w:w="28" w:type="dxa"/>
            </w:tcMar>
            <w:vAlign w:val="center"/>
          </w:tcPr>
          <w:p w14:paraId="79C3798B" w14:textId="026FE103" w:rsidR="003D0A0E" w:rsidRPr="00F5353D" w:rsidRDefault="003D0A0E" w:rsidP="003D0A0E">
            <w:pPr>
              <w:tabs>
                <w:tab w:val="decimal" w:pos="288"/>
              </w:tabs>
              <w:spacing w:line="200" w:lineRule="auto"/>
              <w:jc w:val="center"/>
              <w:rPr>
                <w:sz w:val="20"/>
                <w:szCs w:val="20"/>
              </w:rPr>
            </w:pPr>
            <w:r w:rsidRPr="00F5353D">
              <w:rPr>
                <w:sz w:val="20"/>
                <w:szCs w:val="20"/>
              </w:rPr>
              <w:t>—</w:t>
            </w:r>
          </w:p>
        </w:tc>
      </w:tr>
      <w:tr w:rsidR="003D0A0E" w:rsidRPr="00F5353D" w14:paraId="22C34029" w14:textId="77777777" w:rsidTr="008C7AA0">
        <w:trPr>
          <w:cantSplit/>
          <w:trHeight w:val="187"/>
        </w:trPr>
        <w:tc>
          <w:tcPr>
            <w:tcW w:w="862" w:type="pct"/>
            <w:vMerge w:val="restart"/>
            <w:tcBorders>
              <w:top w:val="single" w:sz="8" w:space="0" w:color="auto"/>
              <w:right w:val="single" w:sz="8" w:space="0" w:color="auto"/>
            </w:tcBorders>
            <w:tcMar>
              <w:top w:w="8" w:type="dxa"/>
              <w:left w:w="28" w:type="dxa"/>
              <w:bottom w:w="8" w:type="dxa"/>
              <w:right w:w="28" w:type="dxa"/>
            </w:tcMar>
            <w:vAlign w:val="center"/>
          </w:tcPr>
          <w:p w14:paraId="2DA1AACF" w14:textId="18C6FF05" w:rsidR="003D0A0E" w:rsidRPr="00F5353D" w:rsidRDefault="003D0A0E" w:rsidP="003D0A0E">
            <w:pPr>
              <w:spacing w:line="200" w:lineRule="auto"/>
              <w:rPr>
                <w:sz w:val="20"/>
                <w:szCs w:val="20"/>
              </w:rPr>
            </w:pPr>
            <w:r w:rsidRPr="00F5353D">
              <w:rPr>
                <w:sz w:val="20"/>
                <w:szCs w:val="20"/>
              </w:rPr>
              <w:t>Housing unit type</w:t>
            </w:r>
          </w:p>
          <w:p w14:paraId="2E22A22A" w14:textId="0142F087" w:rsidR="003D0A0E" w:rsidRPr="00F5353D" w:rsidRDefault="003D0A0E" w:rsidP="003D0A0E">
            <w:pPr>
              <w:spacing w:line="200" w:lineRule="auto"/>
              <w:rPr>
                <w:sz w:val="20"/>
                <w:szCs w:val="20"/>
              </w:rPr>
            </w:pPr>
            <w:r w:rsidRPr="00F5353D">
              <w:rPr>
                <w:sz w:val="20"/>
                <w:szCs w:val="20"/>
              </w:rPr>
              <w:t>(single-family)</w:t>
            </w:r>
          </w:p>
        </w:tc>
        <w:tc>
          <w:tcPr>
            <w:tcW w:w="737" w:type="pct"/>
            <w:tcBorders>
              <w:top w:val="single" w:sz="8" w:space="0" w:color="auto"/>
              <w:left w:val="single" w:sz="8" w:space="0" w:color="auto"/>
              <w:right w:val="single" w:sz="18" w:space="0" w:color="auto"/>
            </w:tcBorders>
            <w:tcMar>
              <w:top w:w="8" w:type="dxa"/>
              <w:left w:w="28" w:type="dxa"/>
              <w:bottom w:w="8" w:type="dxa"/>
              <w:right w:w="28" w:type="dxa"/>
            </w:tcMar>
            <w:vAlign w:val="center"/>
          </w:tcPr>
          <w:p w14:paraId="01B3EC5E" w14:textId="15D2A482" w:rsidR="003D0A0E" w:rsidRPr="00F5353D" w:rsidRDefault="003D0A0E" w:rsidP="003D0A0E">
            <w:pPr>
              <w:spacing w:line="200" w:lineRule="auto"/>
              <w:rPr>
                <w:sz w:val="20"/>
                <w:szCs w:val="20"/>
              </w:rPr>
            </w:pPr>
            <w:r w:rsidRPr="00F5353D">
              <w:rPr>
                <w:sz w:val="20"/>
                <w:szCs w:val="20"/>
              </w:rPr>
              <w:t>Apartment</w:t>
            </w:r>
          </w:p>
        </w:tc>
        <w:tc>
          <w:tcPr>
            <w:tcW w:w="209" w:type="pct"/>
            <w:tcBorders>
              <w:top w:val="single" w:sz="8" w:space="0" w:color="auto"/>
              <w:left w:val="single" w:sz="18" w:space="0" w:color="auto"/>
            </w:tcBorders>
            <w:tcMar>
              <w:top w:w="8" w:type="dxa"/>
              <w:left w:w="28" w:type="dxa"/>
              <w:bottom w:w="8" w:type="dxa"/>
              <w:right w:w="28" w:type="dxa"/>
            </w:tcMar>
            <w:vAlign w:val="bottom"/>
          </w:tcPr>
          <w:p w14:paraId="6E7F9415" w14:textId="6329EEE2" w:rsidR="003D0A0E" w:rsidRPr="00F5353D" w:rsidRDefault="003D0A0E" w:rsidP="003D0A0E">
            <w:pPr>
              <w:tabs>
                <w:tab w:val="decimal" w:pos="288"/>
              </w:tabs>
              <w:spacing w:line="200" w:lineRule="auto"/>
              <w:jc w:val="center"/>
              <w:rPr>
                <w:sz w:val="20"/>
                <w:szCs w:val="20"/>
              </w:rPr>
            </w:pPr>
            <w:r w:rsidRPr="00F5353D">
              <w:rPr>
                <w:color w:val="000000"/>
                <w:sz w:val="20"/>
                <w:szCs w:val="20"/>
              </w:rPr>
              <w:t>-0.20</w:t>
            </w:r>
          </w:p>
        </w:tc>
        <w:tc>
          <w:tcPr>
            <w:tcW w:w="209" w:type="pct"/>
            <w:gridSpan w:val="2"/>
            <w:tcBorders>
              <w:top w:val="single" w:sz="8" w:space="0" w:color="auto"/>
              <w:right w:val="single" w:sz="18" w:space="0" w:color="auto"/>
            </w:tcBorders>
            <w:tcMar>
              <w:top w:w="8" w:type="dxa"/>
              <w:left w:w="28" w:type="dxa"/>
              <w:bottom w:w="8" w:type="dxa"/>
              <w:right w:w="28" w:type="dxa"/>
            </w:tcMar>
            <w:vAlign w:val="bottom"/>
          </w:tcPr>
          <w:p w14:paraId="2F60E3D7" w14:textId="5ABE4192" w:rsidR="003D0A0E" w:rsidRPr="00F5353D" w:rsidRDefault="003D0A0E" w:rsidP="003D0A0E">
            <w:pPr>
              <w:tabs>
                <w:tab w:val="decimal" w:pos="288"/>
              </w:tabs>
              <w:spacing w:line="200" w:lineRule="auto"/>
              <w:jc w:val="center"/>
              <w:rPr>
                <w:sz w:val="20"/>
                <w:szCs w:val="20"/>
              </w:rPr>
            </w:pPr>
            <w:r w:rsidRPr="00F5353D">
              <w:rPr>
                <w:color w:val="000000"/>
                <w:sz w:val="20"/>
                <w:szCs w:val="20"/>
              </w:rPr>
              <w:t>-3.78</w:t>
            </w:r>
          </w:p>
        </w:tc>
        <w:tc>
          <w:tcPr>
            <w:tcW w:w="204" w:type="pct"/>
            <w:tcBorders>
              <w:top w:val="single" w:sz="8" w:space="0" w:color="auto"/>
              <w:left w:val="single" w:sz="18" w:space="0" w:color="auto"/>
            </w:tcBorders>
            <w:tcMar>
              <w:top w:w="8" w:type="dxa"/>
              <w:left w:w="28" w:type="dxa"/>
              <w:bottom w:w="8" w:type="dxa"/>
              <w:right w:w="28" w:type="dxa"/>
            </w:tcMar>
            <w:vAlign w:val="bottom"/>
          </w:tcPr>
          <w:p w14:paraId="33118367" w14:textId="483725B1" w:rsidR="003D0A0E" w:rsidRPr="00F5353D" w:rsidRDefault="003D0A0E" w:rsidP="003D0A0E">
            <w:pPr>
              <w:tabs>
                <w:tab w:val="decimal" w:pos="288"/>
              </w:tabs>
              <w:spacing w:line="200" w:lineRule="auto"/>
              <w:jc w:val="center"/>
              <w:rPr>
                <w:sz w:val="20"/>
                <w:szCs w:val="20"/>
              </w:rPr>
            </w:pPr>
            <w:r w:rsidRPr="00F5353D">
              <w:rPr>
                <w:color w:val="000000"/>
                <w:sz w:val="20"/>
                <w:szCs w:val="20"/>
              </w:rPr>
              <w:t>-0.20</w:t>
            </w:r>
          </w:p>
        </w:tc>
        <w:tc>
          <w:tcPr>
            <w:tcW w:w="209" w:type="pct"/>
            <w:tcBorders>
              <w:top w:val="single" w:sz="8" w:space="0" w:color="auto"/>
              <w:right w:val="single" w:sz="8" w:space="0" w:color="auto"/>
            </w:tcBorders>
            <w:tcMar>
              <w:top w:w="8" w:type="dxa"/>
              <w:left w:w="28" w:type="dxa"/>
              <w:bottom w:w="8" w:type="dxa"/>
              <w:right w:w="28" w:type="dxa"/>
            </w:tcMar>
            <w:vAlign w:val="bottom"/>
          </w:tcPr>
          <w:p w14:paraId="41EAC728" w14:textId="06ADC7DA" w:rsidR="003D0A0E" w:rsidRPr="00F5353D" w:rsidRDefault="003D0A0E" w:rsidP="003D0A0E">
            <w:pPr>
              <w:tabs>
                <w:tab w:val="decimal" w:pos="288"/>
              </w:tabs>
              <w:spacing w:line="200" w:lineRule="auto"/>
              <w:jc w:val="center"/>
              <w:rPr>
                <w:sz w:val="20"/>
                <w:szCs w:val="20"/>
              </w:rPr>
            </w:pPr>
            <w:r w:rsidRPr="00F5353D">
              <w:rPr>
                <w:color w:val="000000"/>
                <w:sz w:val="20"/>
                <w:szCs w:val="20"/>
              </w:rPr>
              <w:t>-1.94</w:t>
            </w:r>
          </w:p>
        </w:tc>
        <w:tc>
          <w:tcPr>
            <w:tcW w:w="209" w:type="pct"/>
            <w:tcBorders>
              <w:top w:val="single" w:sz="8" w:space="0" w:color="auto"/>
              <w:left w:val="single" w:sz="8" w:space="0" w:color="auto"/>
            </w:tcBorders>
            <w:tcMar>
              <w:top w:w="8" w:type="dxa"/>
              <w:left w:w="28" w:type="dxa"/>
              <w:bottom w:w="8" w:type="dxa"/>
              <w:right w:w="28" w:type="dxa"/>
            </w:tcMar>
            <w:vAlign w:val="center"/>
          </w:tcPr>
          <w:p w14:paraId="66E720F8" w14:textId="26D4A78D"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14" w:type="pct"/>
            <w:gridSpan w:val="2"/>
            <w:tcBorders>
              <w:top w:val="single" w:sz="8" w:space="0" w:color="auto"/>
              <w:right w:val="single" w:sz="18" w:space="0" w:color="auto"/>
            </w:tcBorders>
            <w:tcMar>
              <w:top w:w="8" w:type="dxa"/>
              <w:left w:w="28" w:type="dxa"/>
              <w:bottom w:w="8" w:type="dxa"/>
              <w:right w:w="28" w:type="dxa"/>
            </w:tcMar>
            <w:vAlign w:val="center"/>
          </w:tcPr>
          <w:p w14:paraId="4BE8C952" w14:textId="472C99C6"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4" w:type="pct"/>
            <w:tcBorders>
              <w:top w:val="single" w:sz="8" w:space="0" w:color="auto"/>
              <w:left w:val="single" w:sz="18" w:space="0" w:color="auto"/>
            </w:tcBorders>
            <w:tcMar>
              <w:top w:w="8" w:type="dxa"/>
              <w:left w:w="28" w:type="dxa"/>
              <w:bottom w:w="8" w:type="dxa"/>
              <w:right w:w="28" w:type="dxa"/>
            </w:tcMar>
            <w:vAlign w:val="center"/>
          </w:tcPr>
          <w:p w14:paraId="3C8038F7" w14:textId="15141AB2"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right w:val="single" w:sz="8" w:space="0" w:color="auto"/>
            </w:tcBorders>
            <w:tcMar>
              <w:top w:w="8" w:type="dxa"/>
              <w:left w:w="28" w:type="dxa"/>
              <w:bottom w:w="8" w:type="dxa"/>
              <w:right w:w="28" w:type="dxa"/>
            </w:tcMar>
            <w:vAlign w:val="center"/>
          </w:tcPr>
          <w:p w14:paraId="1E161DF8" w14:textId="3F50E95E"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left w:val="single" w:sz="8" w:space="0" w:color="auto"/>
            </w:tcBorders>
            <w:tcMar>
              <w:top w:w="8" w:type="dxa"/>
              <w:left w:w="28" w:type="dxa"/>
              <w:bottom w:w="8" w:type="dxa"/>
              <w:right w:w="28" w:type="dxa"/>
            </w:tcMar>
            <w:vAlign w:val="center"/>
          </w:tcPr>
          <w:p w14:paraId="51887C73" w14:textId="1E1598A9"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5" w:type="pct"/>
            <w:tcBorders>
              <w:top w:val="single" w:sz="8" w:space="0" w:color="auto"/>
              <w:right w:val="single" w:sz="18" w:space="0" w:color="auto"/>
            </w:tcBorders>
            <w:tcMar>
              <w:top w:w="8" w:type="dxa"/>
              <w:left w:w="28" w:type="dxa"/>
              <w:bottom w:w="8" w:type="dxa"/>
              <w:right w:w="28" w:type="dxa"/>
            </w:tcMar>
            <w:vAlign w:val="center"/>
          </w:tcPr>
          <w:p w14:paraId="7C1B1AF2" w14:textId="3D8E593F"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left w:val="single" w:sz="18" w:space="0" w:color="auto"/>
            </w:tcBorders>
            <w:tcMar>
              <w:top w:w="8" w:type="dxa"/>
              <w:left w:w="28" w:type="dxa"/>
              <w:bottom w:w="8" w:type="dxa"/>
              <w:right w:w="28" w:type="dxa"/>
            </w:tcMar>
            <w:vAlign w:val="center"/>
          </w:tcPr>
          <w:p w14:paraId="36E5A795" w14:textId="1902952A"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6" w:type="pct"/>
            <w:tcBorders>
              <w:top w:val="single" w:sz="8" w:space="0" w:color="auto"/>
              <w:right w:val="single" w:sz="18" w:space="0" w:color="auto"/>
            </w:tcBorders>
            <w:tcMar>
              <w:top w:w="8" w:type="dxa"/>
              <w:left w:w="28" w:type="dxa"/>
              <w:bottom w:w="8" w:type="dxa"/>
              <w:right w:w="28" w:type="dxa"/>
            </w:tcMar>
            <w:vAlign w:val="center"/>
          </w:tcPr>
          <w:p w14:paraId="235AC7BD" w14:textId="1321267B"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left w:val="single" w:sz="18" w:space="0" w:color="auto"/>
            </w:tcBorders>
            <w:tcMar>
              <w:top w:w="8" w:type="dxa"/>
              <w:left w:w="28" w:type="dxa"/>
              <w:bottom w:w="8" w:type="dxa"/>
              <w:right w:w="28" w:type="dxa"/>
            </w:tcMar>
            <w:vAlign w:val="center"/>
          </w:tcPr>
          <w:p w14:paraId="6CAD5182" w14:textId="79CDF554"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right w:val="single" w:sz="8" w:space="0" w:color="auto"/>
            </w:tcBorders>
            <w:tcMar>
              <w:top w:w="8" w:type="dxa"/>
              <w:left w:w="28" w:type="dxa"/>
              <w:bottom w:w="8" w:type="dxa"/>
              <w:right w:w="28" w:type="dxa"/>
            </w:tcMar>
            <w:vAlign w:val="center"/>
          </w:tcPr>
          <w:p w14:paraId="501CDCBD" w14:textId="6D497DA4"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7" w:type="pct"/>
            <w:gridSpan w:val="2"/>
            <w:tcBorders>
              <w:top w:val="single" w:sz="8" w:space="0" w:color="auto"/>
              <w:left w:val="single" w:sz="8" w:space="0" w:color="auto"/>
            </w:tcBorders>
            <w:tcMar>
              <w:top w:w="8" w:type="dxa"/>
              <w:left w:w="28" w:type="dxa"/>
              <w:bottom w:w="8" w:type="dxa"/>
              <w:right w:w="28" w:type="dxa"/>
            </w:tcMar>
            <w:vAlign w:val="center"/>
          </w:tcPr>
          <w:p w14:paraId="7E4D29E1" w14:textId="3765EC99"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0" w:type="pct"/>
            <w:tcBorders>
              <w:top w:val="single" w:sz="8" w:space="0" w:color="auto"/>
            </w:tcBorders>
            <w:tcMar>
              <w:top w:w="8" w:type="dxa"/>
              <w:left w:w="28" w:type="dxa"/>
              <w:bottom w:w="8" w:type="dxa"/>
              <w:right w:w="28" w:type="dxa"/>
            </w:tcMar>
            <w:vAlign w:val="center"/>
          </w:tcPr>
          <w:p w14:paraId="714C9A2A" w14:textId="5C327256" w:rsidR="003D0A0E" w:rsidRPr="00F5353D" w:rsidRDefault="003D0A0E" w:rsidP="003D0A0E">
            <w:pPr>
              <w:tabs>
                <w:tab w:val="decimal" w:pos="288"/>
              </w:tabs>
              <w:spacing w:line="200" w:lineRule="auto"/>
              <w:jc w:val="center"/>
              <w:rPr>
                <w:sz w:val="20"/>
                <w:szCs w:val="20"/>
              </w:rPr>
            </w:pPr>
            <w:r w:rsidRPr="00F5353D">
              <w:rPr>
                <w:sz w:val="20"/>
                <w:szCs w:val="20"/>
              </w:rPr>
              <w:t>—</w:t>
            </w:r>
          </w:p>
        </w:tc>
      </w:tr>
      <w:tr w:rsidR="003D0A0E" w:rsidRPr="00F5353D" w14:paraId="192B9ECB" w14:textId="77777777" w:rsidTr="008C7AA0">
        <w:trPr>
          <w:cantSplit/>
          <w:trHeight w:val="187"/>
        </w:trPr>
        <w:tc>
          <w:tcPr>
            <w:tcW w:w="862" w:type="pct"/>
            <w:vMerge/>
            <w:tcBorders>
              <w:bottom w:val="single" w:sz="8" w:space="0" w:color="auto"/>
              <w:right w:val="single" w:sz="8" w:space="0" w:color="auto"/>
            </w:tcBorders>
            <w:tcMar>
              <w:top w:w="8" w:type="dxa"/>
              <w:left w:w="28" w:type="dxa"/>
              <w:bottom w:w="8" w:type="dxa"/>
              <w:right w:w="28" w:type="dxa"/>
            </w:tcMar>
            <w:vAlign w:val="center"/>
          </w:tcPr>
          <w:p w14:paraId="378124F6" w14:textId="77777777" w:rsidR="003D0A0E" w:rsidRPr="00F5353D" w:rsidRDefault="003D0A0E" w:rsidP="003D0A0E">
            <w:pPr>
              <w:spacing w:line="200" w:lineRule="auto"/>
              <w:rPr>
                <w:sz w:val="20"/>
                <w:szCs w:val="20"/>
              </w:rPr>
            </w:pPr>
          </w:p>
        </w:tc>
        <w:tc>
          <w:tcPr>
            <w:tcW w:w="737" w:type="pct"/>
            <w:tcBorders>
              <w:left w:val="single" w:sz="8" w:space="0" w:color="auto"/>
              <w:bottom w:val="single" w:sz="8" w:space="0" w:color="auto"/>
              <w:right w:val="single" w:sz="18" w:space="0" w:color="auto"/>
            </w:tcBorders>
            <w:tcMar>
              <w:top w:w="8" w:type="dxa"/>
              <w:left w:w="28" w:type="dxa"/>
              <w:bottom w:w="8" w:type="dxa"/>
              <w:right w:w="28" w:type="dxa"/>
            </w:tcMar>
            <w:vAlign w:val="center"/>
          </w:tcPr>
          <w:p w14:paraId="7073B074" w14:textId="4CFDBFC8" w:rsidR="003D0A0E" w:rsidRPr="00F5353D" w:rsidRDefault="003D0A0E" w:rsidP="003D0A0E">
            <w:pPr>
              <w:spacing w:line="200" w:lineRule="auto"/>
              <w:rPr>
                <w:sz w:val="20"/>
                <w:szCs w:val="20"/>
              </w:rPr>
            </w:pPr>
            <w:r w:rsidRPr="00F5353D">
              <w:rPr>
                <w:sz w:val="20"/>
                <w:szCs w:val="20"/>
              </w:rPr>
              <w:t xml:space="preserve">Other </w:t>
            </w:r>
          </w:p>
        </w:tc>
        <w:tc>
          <w:tcPr>
            <w:tcW w:w="209" w:type="pct"/>
            <w:tcBorders>
              <w:left w:val="single" w:sz="18" w:space="0" w:color="auto"/>
              <w:bottom w:val="single" w:sz="8" w:space="0" w:color="auto"/>
            </w:tcBorders>
            <w:tcMar>
              <w:top w:w="8" w:type="dxa"/>
              <w:left w:w="28" w:type="dxa"/>
              <w:bottom w:w="8" w:type="dxa"/>
              <w:right w:w="28" w:type="dxa"/>
            </w:tcMar>
            <w:vAlign w:val="center"/>
          </w:tcPr>
          <w:p w14:paraId="21455019" w14:textId="2DB746C9"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gridSpan w:val="2"/>
            <w:tcBorders>
              <w:bottom w:val="single" w:sz="8" w:space="0" w:color="auto"/>
              <w:right w:val="single" w:sz="18" w:space="0" w:color="auto"/>
            </w:tcBorders>
            <w:tcMar>
              <w:top w:w="8" w:type="dxa"/>
              <w:left w:w="28" w:type="dxa"/>
              <w:bottom w:w="8" w:type="dxa"/>
              <w:right w:w="28" w:type="dxa"/>
            </w:tcMar>
            <w:vAlign w:val="center"/>
          </w:tcPr>
          <w:p w14:paraId="7B1E8F98" w14:textId="6B235CAA"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4" w:type="pct"/>
            <w:tcBorders>
              <w:left w:val="single" w:sz="18" w:space="0" w:color="auto"/>
              <w:bottom w:val="single" w:sz="8" w:space="0" w:color="auto"/>
            </w:tcBorders>
            <w:tcMar>
              <w:top w:w="8" w:type="dxa"/>
              <w:left w:w="28" w:type="dxa"/>
              <w:bottom w:w="8" w:type="dxa"/>
              <w:right w:w="28" w:type="dxa"/>
            </w:tcMar>
            <w:vAlign w:val="center"/>
          </w:tcPr>
          <w:p w14:paraId="5E77A31E" w14:textId="46A6E92F"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bottom w:val="single" w:sz="8" w:space="0" w:color="auto"/>
              <w:right w:val="single" w:sz="8" w:space="0" w:color="auto"/>
            </w:tcBorders>
            <w:tcMar>
              <w:top w:w="8" w:type="dxa"/>
              <w:left w:w="28" w:type="dxa"/>
              <w:bottom w:w="8" w:type="dxa"/>
              <w:right w:w="28" w:type="dxa"/>
            </w:tcMar>
            <w:vAlign w:val="center"/>
          </w:tcPr>
          <w:p w14:paraId="2EB99B21" w14:textId="0C4C7AA2"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8" w:space="0" w:color="auto"/>
              <w:bottom w:val="single" w:sz="8" w:space="0" w:color="auto"/>
            </w:tcBorders>
            <w:tcMar>
              <w:top w:w="8" w:type="dxa"/>
              <w:left w:w="28" w:type="dxa"/>
              <w:bottom w:w="8" w:type="dxa"/>
              <w:right w:w="28" w:type="dxa"/>
            </w:tcMar>
            <w:vAlign w:val="center"/>
          </w:tcPr>
          <w:p w14:paraId="218103AD" w14:textId="6D09420F"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14" w:type="pct"/>
            <w:gridSpan w:val="2"/>
            <w:tcBorders>
              <w:bottom w:val="single" w:sz="8" w:space="0" w:color="auto"/>
              <w:right w:val="single" w:sz="18" w:space="0" w:color="auto"/>
            </w:tcBorders>
            <w:tcMar>
              <w:top w:w="8" w:type="dxa"/>
              <w:left w:w="28" w:type="dxa"/>
              <w:bottom w:w="8" w:type="dxa"/>
              <w:right w:w="28" w:type="dxa"/>
            </w:tcMar>
            <w:vAlign w:val="center"/>
          </w:tcPr>
          <w:p w14:paraId="6D76D0A6" w14:textId="173835E8"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4" w:type="pct"/>
            <w:tcBorders>
              <w:left w:val="single" w:sz="18" w:space="0" w:color="auto"/>
              <w:bottom w:val="single" w:sz="8" w:space="0" w:color="auto"/>
            </w:tcBorders>
            <w:tcMar>
              <w:top w:w="8" w:type="dxa"/>
              <w:left w:w="28" w:type="dxa"/>
              <w:bottom w:w="8" w:type="dxa"/>
              <w:right w:w="28" w:type="dxa"/>
            </w:tcMar>
            <w:vAlign w:val="center"/>
          </w:tcPr>
          <w:p w14:paraId="022F511E" w14:textId="6278D3E1"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bottom w:val="single" w:sz="8" w:space="0" w:color="auto"/>
              <w:right w:val="single" w:sz="8" w:space="0" w:color="auto"/>
            </w:tcBorders>
            <w:tcMar>
              <w:top w:w="8" w:type="dxa"/>
              <w:left w:w="28" w:type="dxa"/>
              <w:bottom w:w="8" w:type="dxa"/>
              <w:right w:w="28" w:type="dxa"/>
            </w:tcMar>
            <w:vAlign w:val="center"/>
          </w:tcPr>
          <w:p w14:paraId="6C479315" w14:textId="50654D55"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8" w:space="0" w:color="auto"/>
              <w:bottom w:val="single" w:sz="8" w:space="0" w:color="auto"/>
            </w:tcBorders>
            <w:tcMar>
              <w:top w:w="8" w:type="dxa"/>
              <w:left w:w="28" w:type="dxa"/>
              <w:bottom w:w="8" w:type="dxa"/>
              <w:right w:w="28" w:type="dxa"/>
            </w:tcMar>
            <w:vAlign w:val="bottom"/>
          </w:tcPr>
          <w:p w14:paraId="10E28CC3" w14:textId="16E18F88" w:rsidR="003D0A0E" w:rsidRPr="00F5353D" w:rsidRDefault="003D0A0E" w:rsidP="003D0A0E">
            <w:pPr>
              <w:tabs>
                <w:tab w:val="decimal" w:pos="288"/>
              </w:tabs>
              <w:spacing w:line="200" w:lineRule="auto"/>
              <w:jc w:val="center"/>
              <w:rPr>
                <w:sz w:val="20"/>
                <w:szCs w:val="20"/>
              </w:rPr>
            </w:pPr>
            <w:r w:rsidRPr="00F5353D">
              <w:rPr>
                <w:color w:val="000000"/>
                <w:sz w:val="20"/>
                <w:szCs w:val="20"/>
              </w:rPr>
              <w:t>0.12</w:t>
            </w:r>
          </w:p>
        </w:tc>
        <w:tc>
          <w:tcPr>
            <w:tcW w:w="245" w:type="pct"/>
            <w:tcBorders>
              <w:bottom w:val="single" w:sz="8" w:space="0" w:color="auto"/>
              <w:right w:val="single" w:sz="18" w:space="0" w:color="auto"/>
            </w:tcBorders>
            <w:tcMar>
              <w:top w:w="8" w:type="dxa"/>
              <w:left w:w="28" w:type="dxa"/>
              <w:bottom w:w="8" w:type="dxa"/>
              <w:right w:w="28" w:type="dxa"/>
            </w:tcMar>
            <w:vAlign w:val="bottom"/>
          </w:tcPr>
          <w:p w14:paraId="5E3ED042" w14:textId="664C1704" w:rsidR="003D0A0E" w:rsidRPr="00F5353D" w:rsidRDefault="003D0A0E" w:rsidP="003D0A0E">
            <w:pPr>
              <w:tabs>
                <w:tab w:val="decimal" w:pos="288"/>
              </w:tabs>
              <w:spacing w:line="200" w:lineRule="auto"/>
              <w:jc w:val="center"/>
              <w:rPr>
                <w:sz w:val="20"/>
                <w:szCs w:val="20"/>
              </w:rPr>
            </w:pPr>
            <w:r w:rsidRPr="00F5353D">
              <w:rPr>
                <w:color w:val="000000"/>
                <w:sz w:val="20"/>
                <w:szCs w:val="20"/>
              </w:rPr>
              <w:t>1.22</w:t>
            </w:r>
          </w:p>
        </w:tc>
        <w:tc>
          <w:tcPr>
            <w:tcW w:w="209" w:type="pct"/>
            <w:tcBorders>
              <w:left w:val="single" w:sz="18" w:space="0" w:color="auto"/>
              <w:bottom w:val="single" w:sz="8" w:space="0" w:color="auto"/>
            </w:tcBorders>
            <w:tcMar>
              <w:top w:w="8" w:type="dxa"/>
              <w:left w:w="28" w:type="dxa"/>
              <w:bottom w:w="8" w:type="dxa"/>
              <w:right w:w="28" w:type="dxa"/>
            </w:tcMar>
            <w:vAlign w:val="center"/>
          </w:tcPr>
          <w:p w14:paraId="2AC84F64" w14:textId="34129151"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6" w:type="pct"/>
            <w:tcBorders>
              <w:bottom w:val="single" w:sz="8" w:space="0" w:color="auto"/>
              <w:right w:val="single" w:sz="18" w:space="0" w:color="auto"/>
            </w:tcBorders>
            <w:tcMar>
              <w:top w:w="8" w:type="dxa"/>
              <w:left w:w="28" w:type="dxa"/>
              <w:bottom w:w="8" w:type="dxa"/>
              <w:right w:w="28" w:type="dxa"/>
            </w:tcMar>
            <w:vAlign w:val="center"/>
          </w:tcPr>
          <w:p w14:paraId="619A79E1" w14:textId="475DA4CB"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left w:val="single" w:sz="18" w:space="0" w:color="auto"/>
              <w:bottom w:val="single" w:sz="8" w:space="0" w:color="auto"/>
            </w:tcBorders>
            <w:tcMar>
              <w:top w:w="8" w:type="dxa"/>
              <w:left w:w="28" w:type="dxa"/>
              <w:bottom w:w="8" w:type="dxa"/>
              <w:right w:w="28" w:type="dxa"/>
            </w:tcMar>
            <w:vAlign w:val="center"/>
          </w:tcPr>
          <w:p w14:paraId="7E42A2AC" w14:textId="6E87EDD0"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bottom w:val="single" w:sz="8" w:space="0" w:color="auto"/>
              <w:right w:val="single" w:sz="8" w:space="0" w:color="auto"/>
            </w:tcBorders>
            <w:tcMar>
              <w:top w:w="8" w:type="dxa"/>
              <w:left w:w="28" w:type="dxa"/>
              <w:bottom w:w="8" w:type="dxa"/>
              <w:right w:w="28" w:type="dxa"/>
            </w:tcMar>
            <w:vAlign w:val="center"/>
          </w:tcPr>
          <w:p w14:paraId="5D679CF0" w14:textId="6FBB3E3E"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7" w:type="pct"/>
            <w:gridSpan w:val="2"/>
            <w:tcBorders>
              <w:left w:val="single" w:sz="8" w:space="0" w:color="auto"/>
              <w:bottom w:val="single" w:sz="8" w:space="0" w:color="auto"/>
            </w:tcBorders>
            <w:tcMar>
              <w:top w:w="8" w:type="dxa"/>
              <w:left w:w="28" w:type="dxa"/>
              <w:bottom w:w="8" w:type="dxa"/>
              <w:right w:w="28" w:type="dxa"/>
            </w:tcMar>
            <w:vAlign w:val="bottom"/>
          </w:tcPr>
          <w:p w14:paraId="6AFC9826" w14:textId="65390376" w:rsidR="003D0A0E" w:rsidRPr="00F5353D" w:rsidRDefault="003D0A0E" w:rsidP="003D0A0E">
            <w:pPr>
              <w:tabs>
                <w:tab w:val="decimal" w:pos="288"/>
              </w:tabs>
              <w:spacing w:line="200" w:lineRule="auto"/>
              <w:jc w:val="center"/>
              <w:rPr>
                <w:sz w:val="20"/>
                <w:szCs w:val="20"/>
              </w:rPr>
            </w:pPr>
            <w:r w:rsidRPr="00F5353D">
              <w:rPr>
                <w:color w:val="000000"/>
                <w:sz w:val="20"/>
                <w:szCs w:val="20"/>
              </w:rPr>
              <w:t>0.11</w:t>
            </w:r>
          </w:p>
        </w:tc>
        <w:tc>
          <w:tcPr>
            <w:tcW w:w="200" w:type="pct"/>
            <w:tcBorders>
              <w:bottom w:val="single" w:sz="8" w:space="0" w:color="auto"/>
            </w:tcBorders>
            <w:tcMar>
              <w:top w:w="8" w:type="dxa"/>
              <w:left w:w="28" w:type="dxa"/>
              <w:bottom w:w="8" w:type="dxa"/>
              <w:right w:w="28" w:type="dxa"/>
            </w:tcMar>
            <w:vAlign w:val="bottom"/>
          </w:tcPr>
          <w:p w14:paraId="7765D865" w14:textId="5746A04E" w:rsidR="003D0A0E" w:rsidRPr="00F5353D" w:rsidRDefault="003D0A0E" w:rsidP="003D0A0E">
            <w:pPr>
              <w:tabs>
                <w:tab w:val="decimal" w:pos="288"/>
              </w:tabs>
              <w:spacing w:line="200" w:lineRule="auto"/>
              <w:jc w:val="center"/>
              <w:rPr>
                <w:sz w:val="20"/>
                <w:szCs w:val="20"/>
              </w:rPr>
            </w:pPr>
            <w:r w:rsidRPr="00F5353D">
              <w:rPr>
                <w:color w:val="000000"/>
                <w:sz w:val="20"/>
                <w:szCs w:val="20"/>
              </w:rPr>
              <w:t>1.14</w:t>
            </w:r>
          </w:p>
        </w:tc>
      </w:tr>
      <w:tr w:rsidR="003D0A0E" w:rsidRPr="00F5353D" w14:paraId="08DC96D2" w14:textId="77777777" w:rsidTr="008C7AA0">
        <w:trPr>
          <w:cantSplit/>
          <w:trHeight w:val="187"/>
        </w:trPr>
        <w:tc>
          <w:tcPr>
            <w:tcW w:w="862" w:type="pct"/>
            <w:tcBorders>
              <w:top w:val="single" w:sz="8" w:space="0" w:color="auto"/>
              <w:bottom w:val="single" w:sz="8" w:space="0" w:color="auto"/>
              <w:right w:val="single" w:sz="8" w:space="0" w:color="auto"/>
            </w:tcBorders>
            <w:tcMar>
              <w:top w:w="8" w:type="dxa"/>
              <w:left w:w="28" w:type="dxa"/>
              <w:bottom w:w="8" w:type="dxa"/>
              <w:right w:w="28" w:type="dxa"/>
            </w:tcMar>
            <w:vAlign w:val="center"/>
          </w:tcPr>
          <w:p w14:paraId="39778E37" w14:textId="77777777" w:rsidR="003D0A0E" w:rsidRPr="00F5353D" w:rsidRDefault="003D0A0E" w:rsidP="003D0A0E">
            <w:pPr>
              <w:spacing w:line="200" w:lineRule="auto"/>
              <w:rPr>
                <w:sz w:val="20"/>
                <w:szCs w:val="20"/>
              </w:rPr>
            </w:pPr>
            <w:r w:rsidRPr="00F5353D">
              <w:rPr>
                <w:sz w:val="20"/>
                <w:szCs w:val="20"/>
              </w:rPr>
              <w:t>Homeownership (owner)</w:t>
            </w:r>
          </w:p>
        </w:tc>
        <w:tc>
          <w:tcPr>
            <w:tcW w:w="737" w:type="pct"/>
            <w:tcBorders>
              <w:top w:val="single" w:sz="8" w:space="0" w:color="auto"/>
              <w:left w:val="single" w:sz="8" w:space="0" w:color="auto"/>
              <w:bottom w:val="single" w:sz="8" w:space="0" w:color="auto"/>
              <w:right w:val="single" w:sz="18" w:space="0" w:color="auto"/>
            </w:tcBorders>
            <w:tcMar>
              <w:top w:w="8" w:type="dxa"/>
              <w:left w:w="28" w:type="dxa"/>
              <w:bottom w:w="8" w:type="dxa"/>
              <w:right w:w="28" w:type="dxa"/>
            </w:tcMar>
            <w:vAlign w:val="center"/>
          </w:tcPr>
          <w:p w14:paraId="3A979DDC" w14:textId="77777777" w:rsidR="003D0A0E" w:rsidRPr="00F5353D" w:rsidRDefault="003D0A0E" w:rsidP="003D0A0E">
            <w:pPr>
              <w:spacing w:line="200" w:lineRule="auto"/>
              <w:rPr>
                <w:sz w:val="20"/>
                <w:szCs w:val="20"/>
              </w:rPr>
            </w:pPr>
            <w:r w:rsidRPr="00F5353D">
              <w:rPr>
                <w:sz w:val="20"/>
                <w:szCs w:val="20"/>
              </w:rPr>
              <w:t>Renter</w:t>
            </w:r>
          </w:p>
        </w:tc>
        <w:tc>
          <w:tcPr>
            <w:tcW w:w="209" w:type="pct"/>
            <w:tcBorders>
              <w:top w:val="single" w:sz="8" w:space="0" w:color="auto"/>
              <w:left w:val="single" w:sz="18" w:space="0" w:color="auto"/>
              <w:bottom w:val="single" w:sz="8" w:space="0" w:color="auto"/>
            </w:tcBorders>
            <w:tcMar>
              <w:top w:w="8" w:type="dxa"/>
              <w:left w:w="28" w:type="dxa"/>
              <w:bottom w:w="8" w:type="dxa"/>
              <w:right w:w="28" w:type="dxa"/>
            </w:tcMar>
            <w:vAlign w:val="bottom"/>
          </w:tcPr>
          <w:p w14:paraId="658FDE81" w14:textId="733AF1DD" w:rsidR="003D0A0E" w:rsidRPr="00F5353D" w:rsidRDefault="003D0A0E" w:rsidP="003D0A0E">
            <w:pPr>
              <w:tabs>
                <w:tab w:val="decimal" w:pos="288"/>
              </w:tabs>
              <w:spacing w:line="200" w:lineRule="auto"/>
              <w:jc w:val="center"/>
              <w:rPr>
                <w:sz w:val="20"/>
                <w:szCs w:val="20"/>
              </w:rPr>
            </w:pPr>
            <w:r w:rsidRPr="00F5353D">
              <w:rPr>
                <w:color w:val="000000"/>
                <w:sz w:val="20"/>
                <w:szCs w:val="20"/>
              </w:rPr>
              <w:t>0.10</w:t>
            </w:r>
          </w:p>
        </w:tc>
        <w:tc>
          <w:tcPr>
            <w:tcW w:w="209" w:type="pct"/>
            <w:gridSpan w:val="2"/>
            <w:tcBorders>
              <w:top w:val="single" w:sz="8" w:space="0" w:color="auto"/>
              <w:bottom w:val="single" w:sz="8" w:space="0" w:color="auto"/>
              <w:right w:val="single" w:sz="18" w:space="0" w:color="auto"/>
            </w:tcBorders>
            <w:tcMar>
              <w:top w:w="8" w:type="dxa"/>
              <w:left w:w="28" w:type="dxa"/>
              <w:bottom w:w="8" w:type="dxa"/>
              <w:right w:w="28" w:type="dxa"/>
            </w:tcMar>
            <w:vAlign w:val="bottom"/>
          </w:tcPr>
          <w:p w14:paraId="5B57F60B" w14:textId="375DA0EC" w:rsidR="003D0A0E" w:rsidRPr="00F5353D" w:rsidRDefault="003D0A0E" w:rsidP="003D0A0E">
            <w:pPr>
              <w:tabs>
                <w:tab w:val="decimal" w:pos="288"/>
              </w:tabs>
              <w:spacing w:line="200" w:lineRule="auto"/>
              <w:jc w:val="center"/>
              <w:rPr>
                <w:sz w:val="20"/>
                <w:szCs w:val="20"/>
              </w:rPr>
            </w:pPr>
            <w:r w:rsidRPr="00F5353D">
              <w:rPr>
                <w:color w:val="000000"/>
                <w:sz w:val="20"/>
                <w:szCs w:val="20"/>
              </w:rPr>
              <w:t>2.22</w:t>
            </w:r>
          </w:p>
        </w:tc>
        <w:tc>
          <w:tcPr>
            <w:tcW w:w="204" w:type="pct"/>
            <w:tcBorders>
              <w:top w:val="single" w:sz="8" w:space="0" w:color="auto"/>
              <w:left w:val="single" w:sz="18" w:space="0" w:color="auto"/>
              <w:bottom w:val="single" w:sz="8" w:space="0" w:color="auto"/>
            </w:tcBorders>
            <w:tcMar>
              <w:top w:w="8" w:type="dxa"/>
              <w:left w:w="28" w:type="dxa"/>
              <w:bottom w:w="8" w:type="dxa"/>
              <w:right w:w="28" w:type="dxa"/>
            </w:tcMar>
            <w:vAlign w:val="bottom"/>
          </w:tcPr>
          <w:p w14:paraId="5886F583" w14:textId="2BA7BE28" w:rsidR="003D0A0E" w:rsidRPr="00F5353D" w:rsidRDefault="003D0A0E" w:rsidP="003D0A0E">
            <w:pPr>
              <w:tabs>
                <w:tab w:val="decimal" w:pos="288"/>
              </w:tabs>
              <w:spacing w:line="200" w:lineRule="auto"/>
              <w:jc w:val="center"/>
              <w:rPr>
                <w:sz w:val="20"/>
                <w:szCs w:val="20"/>
              </w:rPr>
            </w:pPr>
            <w:r w:rsidRPr="00F5353D">
              <w:rPr>
                <w:color w:val="000000"/>
                <w:sz w:val="20"/>
                <w:szCs w:val="20"/>
              </w:rPr>
              <w:t>0.28</w:t>
            </w:r>
          </w:p>
        </w:tc>
        <w:tc>
          <w:tcPr>
            <w:tcW w:w="209" w:type="pct"/>
            <w:tcBorders>
              <w:top w:val="single" w:sz="8" w:space="0" w:color="auto"/>
              <w:bottom w:val="single" w:sz="8" w:space="0" w:color="auto"/>
              <w:right w:val="single" w:sz="8" w:space="0" w:color="auto"/>
            </w:tcBorders>
            <w:tcMar>
              <w:top w:w="8" w:type="dxa"/>
              <w:left w:w="28" w:type="dxa"/>
              <w:bottom w:w="8" w:type="dxa"/>
              <w:right w:w="28" w:type="dxa"/>
            </w:tcMar>
            <w:vAlign w:val="bottom"/>
          </w:tcPr>
          <w:p w14:paraId="4C85838C" w14:textId="5D36C0EC" w:rsidR="003D0A0E" w:rsidRPr="00F5353D" w:rsidRDefault="003D0A0E" w:rsidP="003D0A0E">
            <w:pPr>
              <w:tabs>
                <w:tab w:val="decimal" w:pos="288"/>
              </w:tabs>
              <w:spacing w:line="200" w:lineRule="auto"/>
              <w:jc w:val="center"/>
              <w:rPr>
                <w:sz w:val="20"/>
                <w:szCs w:val="20"/>
              </w:rPr>
            </w:pPr>
            <w:r w:rsidRPr="00F5353D">
              <w:rPr>
                <w:color w:val="000000"/>
                <w:sz w:val="20"/>
                <w:szCs w:val="20"/>
              </w:rPr>
              <w:t>3.43</w:t>
            </w:r>
          </w:p>
        </w:tc>
        <w:tc>
          <w:tcPr>
            <w:tcW w:w="209" w:type="pct"/>
            <w:tcBorders>
              <w:top w:val="single" w:sz="8" w:space="0" w:color="auto"/>
              <w:left w:val="single" w:sz="8" w:space="0" w:color="auto"/>
              <w:bottom w:val="single" w:sz="8" w:space="0" w:color="auto"/>
            </w:tcBorders>
            <w:tcMar>
              <w:top w:w="8" w:type="dxa"/>
              <w:left w:w="28" w:type="dxa"/>
              <w:bottom w:w="8" w:type="dxa"/>
              <w:right w:w="28" w:type="dxa"/>
            </w:tcMar>
            <w:vAlign w:val="bottom"/>
          </w:tcPr>
          <w:p w14:paraId="39146D59" w14:textId="733CAC65" w:rsidR="003D0A0E" w:rsidRPr="00F5353D" w:rsidRDefault="003D0A0E" w:rsidP="003D0A0E">
            <w:pPr>
              <w:tabs>
                <w:tab w:val="decimal" w:pos="288"/>
              </w:tabs>
              <w:spacing w:line="200" w:lineRule="auto"/>
              <w:jc w:val="center"/>
              <w:rPr>
                <w:sz w:val="20"/>
                <w:szCs w:val="20"/>
              </w:rPr>
            </w:pPr>
            <w:r w:rsidRPr="00F5353D">
              <w:rPr>
                <w:color w:val="000000"/>
                <w:sz w:val="20"/>
                <w:szCs w:val="20"/>
              </w:rPr>
              <w:t>0.19</w:t>
            </w:r>
          </w:p>
        </w:tc>
        <w:tc>
          <w:tcPr>
            <w:tcW w:w="214" w:type="pct"/>
            <w:gridSpan w:val="2"/>
            <w:tcBorders>
              <w:top w:val="single" w:sz="8" w:space="0" w:color="auto"/>
              <w:bottom w:val="single" w:sz="8" w:space="0" w:color="auto"/>
              <w:right w:val="single" w:sz="18" w:space="0" w:color="auto"/>
            </w:tcBorders>
            <w:tcMar>
              <w:top w:w="8" w:type="dxa"/>
              <w:left w:w="28" w:type="dxa"/>
              <w:bottom w:w="8" w:type="dxa"/>
              <w:right w:w="28" w:type="dxa"/>
            </w:tcMar>
            <w:vAlign w:val="bottom"/>
          </w:tcPr>
          <w:p w14:paraId="5FB3C0DA" w14:textId="79AE9C31" w:rsidR="003D0A0E" w:rsidRPr="00F5353D" w:rsidRDefault="003D0A0E" w:rsidP="003D0A0E">
            <w:pPr>
              <w:tabs>
                <w:tab w:val="decimal" w:pos="288"/>
              </w:tabs>
              <w:spacing w:line="200" w:lineRule="auto"/>
              <w:jc w:val="center"/>
              <w:rPr>
                <w:sz w:val="20"/>
                <w:szCs w:val="20"/>
              </w:rPr>
            </w:pPr>
            <w:r w:rsidRPr="00F5353D">
              <w:rPr>
                <w:color w:val="000000"/>
                <w:sz w:val="20"/>
                <w:szCs w:val="20"/>
              </w:rPr>
              <w:t>1.66</w:t>
            </w:r>
          </w:p>
        </w:tc>
        <w:tc>
          <w:tcPr>
            <w:tcW w:w="204" w:type="pct"/>
            <w:tcBorders>
              <w:top w:val="single" w:sz="8" w:space="0" w:color="auto"/>
              <w:left w:val="single" w:sz="18" w:space="0" w:color="auto"/>
              <w:bottom w:val="single" w:sz="8" w:space="0" w:color="auto"/>
            </w:tcBorders>
            <w:tcMar>
              <w:top w:w="8" w:type="dxa"/>
              <w:left w:w="28" w:type="dxa"/>
              <w:bottom w:w="8" w:type="dxa"/>
              <w:right w:w="28" w:type="dxa"/>
            </w:tcMar>
            <w:vAlign w:val="center"/>
          </w:tcPr>
          <w:p w14:paraId="0DFA5D04" w14:textId="771A9D02"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bottom w:val="single" w:sz="8" w:space="0" w:color="auto"/>
              <w:right w:val="single" w:sz="8" w:space="0" w:color="auto"/>
            </w:tcBorders>
            <w:tcMar>
              <w:top w:w="8" w:type="dxa"/>
              <w:left w:w="28" w:type="dxa"/>
              <w:bottom w:w="8" w:type="dxa"/>
              <w:right w:w="28" w:type="dxa"/>
            </w:tcMar>
            <w:vAlign w:val="center"/>
          </w:tcPr>
          <w:p w14:paraId="58CF128E" w14:textId="53064811"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left w:val="single" w:sz="8" w:space="0" w:color="auto"/>
              <w:bottom w:val="single" w:sz="8" w:space="0" w:color="auto"/>
            </w:tcBorders>
            <w:tcMar>
              <w:top w:w="8" w:type="dxa"/>
              <w:left w:w="28" w:type="dxa"/>
              <w:bottom w:w="8" w:type="dxa"/>
              <w:right w:w="28" w:type="dxa"/>
            </w:tcMar>
            <w:vAlign w:val="center"/>
          </w:tcPr>
          <w:p w14:paraId="1B07C2F4" w14:textId="33079536"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5" w:type="pct"/>
            <w:tcBorders>
              <w:top w:val="single" w:sz="8" w:space="0" w:color="auto"/>
              <w:bottom w:val="single" w:sz="8" w:space="0" w:color="auto"/>
              <w:right w:val="single" w:sz="18" w:space="0" w:color="auto"/>
            </w:tcBorders>
            <w:tcMar>
              <w:top w:w="8" w:type="dxa"/>
              <w:left w:w="28" w:type="dxa"/>
              <w:bottom w:w="8" w:type="dxa"/>
              <w:right w:w="28" w:type="dxa"/>
            </w:tcMar>
            <w:vAlign w:val="center"/>
          </w:tcPr>
          <w:p w14:paraId="13CEDDAA" w14:textId="44F3F4B6"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left w:val="single" w:sz="18" w:space="0" w:color="auto"/>
              <w:bottom w:val="single" w:sz="8" w:space="0" w:color="auto"/>
            </w:tcBorders>
            <w:tcMar>
              <w:top w:w="8" w:type="dxa"/>
              <w:left w:w="28" w:type="dxa"/>
              <w:bottom w:w="8" w:type="dxa"/>
              <w:right w:w="28" w:type="dxa"/>
            </w:tcMar>
            <w:vAlign w:val="bottom"/>
          </w:tcPr>
          <w:p w14:paraId="021A8021" w14:textId="47F67F32" w:rsidR="003D0A0E" w:rsidRPr="00F5353D" w:rsidRDefault="003D0A0E" w:rsidP="003D0A0E">
            <w:pPr>
              <w:tabs>
                <w:tab w:val="decimal" w:pos="288"/>
              </w:tabs>
              <w:spacing w:line="200" w:lineRule="auto"/>
              <w:jc w:val="center"/>
              <w:rPr>
                <w:sz w:val="20"/>
                <w:szCs w:val="20"/>
              </w:rPr>
            </w:pPr>
            <w:r w:rsidRPr="00F5353D">
              <w:rPr>
                <w:color w:val="000000"/>
                <w:sz w:val="20"/>
                <w:szCs w:val="20"/>
              </w:rPr>
              <w:t>0.31</w:t>
            </w:r>
          </w:p>
        </w:tc>
        <w:tc>
          <w:tcPr>
            <w:tcW w:w="246" w:type="pct"/>
            <w:tcBorders>
              <w:top w:val="single" w:sz="8" w:space="0" w:color="auto"/>
              <w:bottom w:val="single" w:sz="8" w:space="0" w:color="auto"/>
              <w:right w:val="single" w:sz="18" w:space="0" w:color="auto"/>
            </w:tcBorders>
            <w:tcMar>
              <w:top w:w="8" w:type="dxa"/>
              <w:left w:w="28" w:type="dxa"/>
              <w:bottom w:w="8" w:type="dxa"/>
              <w:right w:w="28" w:type="dxa"/>
            </w:tcMar>
            <w:vAlign w:val="bottom"/>
          </w:tcPr>
          <w:p w14:paraId="4DB21C66" w14:textId="567A8199" w:rsidR="003D0A0E" w:rsidRPr="00F5353D" w:rsidRDefault="003D0A0E" w:rsidP="003D0A0E">
            <w:pPr>
              <w:tabs>
                <w:tab w:val="decimal" w:pos="288"/>
              </w:tabs>
              <w:spacing w:line="200" w:lineRule="auto"/>
              <w:jc w:val="center"/>
              <w:rPr>
                <w:sz w:val="20"/>
                <w:szCs w:val="20"/>
              </w:rPr>
            </w:pPr>
            <w:r w:rsidRPr="00F5353D">
              <w:rPr>
                <w:color w:val="000000"/>
                <w:sz w:val="20"/>
                <w:szCs w:val="20"/>
              </w:rPr>
              <w:t>2.80</w:t>
            </w:r>
          </w:p>
        </w:tc>
        <w:tc>
          <w:tcPr>
            <w:tcW w:w="209" w:type="pct"/>
            <w:tcBorders>
              <w:top w:val="single" w:sz="8" w:space="0" w:color="auto"/>
              <w:left w:val="single" w:sz="18" w:space="0" w:color="auto"/>
              <w:bottom w:val="single" w:sz="8" w:space="0" w:color="auto"/>
            </w:tcBorders>
            <w:tcMar>
              <w:top w:w="8" w:type="dxa"/>
              <w:left w:w="28" w:type="dxa"/>
              <w:bottom w:w="8" w:type="dxa"/>
              <w:right w:w="28" w:type="dxa"/>
            </w:tcMar>
            <w:vAlign w:val="bottom"/>
          </w:tcPr>
          <w:p w14:paraId="44F8478E" w14:textId="2CD200A2" w:rsidR="003D0A0E" w:rsidRPr="00F5353D" w:rsidRDefault="003D0A0E" w:rsidP="003D0A0E">
            <w:pPr>
              <w:tabs>
                <w:tab w:val="decimal" w:pos="288"/>
              </w:tabs>
              <w:spacing w:line="200" w:lineRule="auto"/>
              <w:jc w:val="center"/>
              <w:rPr>
                <w:sz w:val="20"/>
                <w:szCs w:val="20"/>
              </w:rPr>
            </w:pPr>
            <w:r w:rsidRPr="00F5353D">
              <w:rPr>
                <w:color w:val="000000"/>
                <w:sz w:val="20"/>
                <w:szCs w:val="20"/>
              </w:rPr>
              <w:t>0.31</w:t>
            </w:r>
          </w:p>
        </w:tc>
        <w:tc>
          <w:tcPr>
            <w:tcW w:w="209" w:type="pct"/>
            <w:tcBorders>
              <w:top w:val="single" w:sz="8" w:space="0" w:color="auto"/>
              <w:bottom w:val="single" w:sz="8" w:space="0" w:color="auto"/>
              <w:right w:val="single" w:sz="8" w:space="0" w:color="auto"/>
            </w:tcBorders>
            <w:tcMar>
              <w:top w:w="8" w:type="dxa"/>
              <w:left w:w="28" w:type="dxa"/>
              <w:bottom w:w="8" w:type="dxa"/>
              <w:right w:w="28" w:type="dxa"/>
            </w:tcMar>
            <w:vAlign w:val="bottom"/>
          </w:tcPr>
          <w:p w14:paraId="03DDDC8B" w14:textId="0F6F0D10" w:rsidR="003D0A0E" w:rsidRPr="00F5353D" w:rsidRDefault="003D0A0E" w:rsidP="003D0A0E">
            <w:pPr>
              <w:tabs>
                <w:tab w:val="decimal" w:pos="288"/>
              </w:tabs>
              <w:spacing w:line="200" w:lineRule="auto"/>
              <w:jc w:val="center"/>
              <w:rPr>
                <w:sz w:val="20"/>
                <w:szCs w:val="20"/>
              </w:rPr>
            </w:pPr>
            <w:r w:rsidRPr="00F5353D">
              <w:rPr>
                <w:color w:val="000000"/>
                <w:sz w:val="20"/>
                <w:szCs w:val="20"/>
              </w:rPr>
              <w:t>3.46</w:t>
            </w:r>
          </w:p>
        </w:tc>
        <w:tc>
          <w:tcPr>
            <w:tcW w:w="207" w:type="pct"/>
            <w:gridSpan w:val="2"/>
            <w:tcBorders>
              <w:top w:val="single" w:sz="8" w:space="0" w:color="auto"/>
              <w:left w:val="single" w:sz="8" w:space="0" w:color="auto"/>
              <w:bottom w:val="single" w:sz="8" w:space="0" w:color="auto"/>
            </w:tcBorders>
            <w:tcMar>
              <w:top w:w="8" w:type="dxa"/>
              <w:left w:w="28" w:type="dxa"/>
              <w:bottom w:w="8" w:type="dxa"/>
              <w:right w:w="28" w:type="dxa"/>
            </w:tcMar>
            <w:vAlign w:val="center"/>
          </w:tcPr>
          <w:p w14:paraId="71627EAF" w14:textId="6EFC1368"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0" w:type="pct"/>
            <w:tcBorders>
              <w:top w:val="single" w:sz="8" w:space="0" w:color="auto"/>
              <w:bottom w:val="single" w:sz="8" w:space="0" w:color="auto"/>
            </w:tcBorders>
            <w:tcMar>
              <w:top w:w="8" w:type="dxa"/>
              <w:left w:w="28" w:type="dxa"/>
              <w:bottom w:w="8" w:type="dxa"/>
              <w:right w:w="28" w:type="dxa"/>
            </w:tcMar>
            <w:vAlign w:val="center"/>
          </w:tcPr>
          <w:p w14:paraId="6AA2F6A2" w14:textId="57817484" w:rsidR="003D0A0E" w:rsidRPr="00F5353D" w:rsidRDefault="003D0A0E" w:rsidP="003D0A0E">
            <w:pPr>
              <w:tabs>
                <w:tab w:val="decimal" w:pos="288"/>
              </w:tabs>
              <w:spacing w:line="200" w:lineRule="auto"/>
              <w:jc w:val="center"/>
              <w:rPr>
                <w:sz w:val="20"/>
                <w:szCs w:val="20"/>
              </w:rPr>
            </w:pPr>
            <w:r w:rsidRPr="00F5353D">
              <w:rPr>
                <w:sz w:val="20"/>
                <w:szCs w:val="20"/>
              </w:rPr>
              <w:t>—</w:t>
            </w:r>
          </w:p>
        </w:tc>
      </w:tr>
      <w:tr w:rsidR="003D0A0E" w:rsidRPr="00297E5F" w14:paraId="49543323" w14:textId="77777777" w:rsidTr="008C7AA0">
        <w:trPr>
          <w:cantSplit/>
          <w:trHeight w:val="187"/>
        </w:trPr>
        <w:tc>
          <w:tcPr>
            <w:tcW w:w="862" w:type="pct"/>
            <w:tcBorders>
              <w:top w:val="single" w:sz="8" w:space="0" w:color="auto"/>
              <w:right w:val="single" w:sz="8" w:space="0" w:color="auto"/>
            </w:tcBorders>
            <w:tcMar>
              <w:top w:w="8" w:type="dxa"/>
              <w:left w:w="28" w:type="dxa"/>
              <w:bottom w:w="8" w:type="dxa"/>
              <w:right w:w="28" w:type="dxa"/>
            </w:tcMar>
            <w:vAlign w:val="center"/>
          </w:tcPr>
          <w:p w14:paraId="1192B455" w14:textId="4FAB82B3" w:rsidR="003D0A0E" w:rsidRPr="00F5353D" w:rsidRDefault="003D0A0E" w:rsidP="003D0A0E">
            <w:pPr>
              <w:spacing w:line="200" w:lineRule="auto"/>
              <w:rPr>
                <w:sz w:val="20"/>
                <w:szCs w:val="20"/>
              </w:rPr>
            </w:pPr>
            <w:r w:rsidRPr="00F5353D">
              <w:rPr>
                <w:sz w:val="20"/>
                <w:szCs w:val="20"/>
              </w:rPr>
              <w:t>Vehicle ownership</w:t>
            </w:r>
          </w:p>
          <w:p w14:paraId="441CE3A4" w14:textId="77161635" w:rsidR="003D0A0E" w:rsidRPr="00F5353D" w:rsidRDefault="003D0A0E" w:rsidP="003D0A0E">
            <w:pPr>
              <w:spacing w:line="200" w:lineRule="auto"/>
              <w:rPr>
                <w:sz w:val="20"/>
                <w:szCs w:val="20"/>
              </w:rPr>
            </w:pPr>
            <w:r w:rsidRPr="00F5353D">
              <w:rPr>
                <w:sz w:val="20"/>
                <w:szCs w:val="20"/>
              </w:rPr>
              <w:t>(vehicle-sufficient)</w:t>
            </w:r>
          </w:p>
        </w:tc>
        <w:tc>
          <w:tcPr>
            <w:tcW w:w="737" w:type="pct"/>
            <w:tcBorders>
              <w:top w:val="single" w:sz="8" w:space="0" w:color="auto"/>
              <w:left w:val="single" w:sz="8" w:space="0" w:color="auto"/>
              <w:right w:val="single" w:sz="18" w:space="0" w:color="auto"/>
            </w:tcBorders>
            <w:tcMar>
              <w:top w:w="8" w:type="dxa"/>
              <w:left w:w="28" w:type="dxa"/>
              <w:bottom w:w="8" w:type="dxa"/>
              <w:right w:w="28" w:type="dxa"/>
            </w:tcMar>
            <w:vAlign w:val="center"/>
          </w:tcPr>
          <w:p w14:paraId="2355DE5A" w14:textId="3F855E7C" w:rsidR="003D0A0E" w:rsidRPr="00F5353D" w:rsidRDefault="003D0A0E" w:rsidP="003D0A0E">
            <w:pPr>
              <w:spacing w:line="200" w:lineRule="auto"/>
              <w:rPr>
                <w:sz w:val="20"/>
                <w:szCs w:val="20"/>
              </w:rPr>
            </w:pPr>
            <w:r w:rsidRPr="00F5353D">
              <w:rPr>
                <w:sz w:val="20"/>
                <w:szCs w:val="20"/>
              </w:rPr>
              <w:t>Vehicle-deficient</w:t>
            </w:r>
          </w:p>
        </w:tc>
        <w:tc>
          <w:tcPr>
            <w:tcW w:w="209" w:type="pct"/>
            <w:tcBorders>
              <w:top w:val="single" w:sz="8" w:space="0" w:color="auto"/>
              <w:left w:val="single" w:sz="18" w:space="0" w:color="auto"/>
            </w:tcBorders>
            <w:tcMar>
              <w:top w:w="8" w:type="dxa"/>
              <w:left w:w="28" w:type="dxa"/>
              <w:bottom w:w="8" w:type="dxa"/>
              <w:right w:w="28" w:type="dxa"/>
            </w:tcMar>
            <w:vAlign w:val="bottom"/>
          </w:tcPr>
          <w:p w14:paraId="303FD905" w14:textId="4B295FAC" w:rsidR="003D0A0E" w:rsidRPr="00F5353D" w:rsidRDefault="003D0A0E" w:rsidP="003D0A0E">
            <w:pPr>
              <w:tabs>
                <w:tab w:val="decimal" w:pos="288"/>
              </w:tabs>
              <w:spacing w:line="200" w:lineRule="auto"/>
              <w:jc w:val="center"/>
              <w:rPr>
                <w:sz w:val="20"/>
                <w:szCs w:val="20"/>
              </w:rPr>
            </w:pPr>
            <w:r w:rsidRPr="00F5353D">
              <w:rPr>
                <w:color w:val="000000"/>
                <w:sz w:val="20"/>
                <w:szCs w:val="20"/>
              </w:rPr>
              <w:t>-0.13</w:t>
            </w:r>
          </w:p>
        </w:tc>
        <w:tc>
          <w:tcPr>
            <w:tcW w:w="209" w:type="pct"/>
            <w:gridSpan w:val="2"/>
            <w:tcBorders>
              <w:top w:val="single" w:sz="8" w:space="0" w:color="auto"/>
              <w:right w:val="single" w:sz="18" w:space="0" w:color="auto"/>
            </w:tcBorders>
            <w:tcMar>
              <w:top w:w="8" w:type="dxa"/>
              <w:left w:w="28" w:type="dxa"/>
              <w:bottom w:w="8" w:type="dxa"/>
              <w:right w:w="28" w:type="dxa"/>
            </w:tcMar>
            <w:vAlign w:val="bottom"/>
          </w:tcPr>
          <w:p w14:paraId="1C7562BF" w14:textId="0D4836CF" w:rsidR="003D0A0E" w:rsidRPr="00F5353D" w:rsidRDefault="003D0A0E" w:rsidP="003D0A0E">
            <w:pPr>
              <w:tabs>
                <w:tab w:val="decimal" w:pos="288"/>
              </w:tabs>
              <w:spacing w:line="200" w:lineRule="auto"/>
              <w:jc w:val="center"/>
              <w:rPr>
                <w:sz w:val="20"/>
                <w:szCs w:val="20"/>
              </w:rPr>
            </w:pPr>
            <w:r w:rsidRPr="00F5353D">
              <w:rPr>
                <w:color w:val="000000"/>
                <w:sz w:val="20"/>
                <w:szCs w:val="20"/>
              </w:rPr>
              <w:t>-2.44</w:t>
            </w:r>
          </w:p>
        </w:tc>
        <w:tc>
          <w:tcPr>
            <w:tcW w:w="204" w:type="pct"/>
            <w:tcBorders>
              <w:top w:val="single" w:sz="8" w:space="0" w:color="auto"/>
              <w:left w:val="single" w:sz="18" w:space="0" w:color="auto"/>
            </w:tcBorders>
            <w:tcMar>
              <w:top w:w="8" w:type="dxa"/>
              <w:left w:w="28" w:type="dxa"/>
              <w:bottom w:w="8" w:type="dxa"/>
              <w:right w:w="28" w:type="dxa"/>
            </w:tcMar>
            <w:vAlign w:val="center"/>
          </w:tcPr>
          <w:p w14:paraId="5E59E944" w14:textId="537D3248"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right w:val="single" w:sz="8" w:space="0" w:color="auto"/>
            </w:tcBorders>
            <w:tcMar>
              <w:top w:w="8" w:type="dxa"/>
              <w:left w:w="28" w:type="dxa"/>
              <w:bottom w:w="8" w:type="dxa"/>
              <w:right w:w="28" w:type="dxa"/>
            </w:tcMar>
            <w:vAlign w:val="center"/>
          </w:tcPr>
          <w:p w14:paraId="3A56B22A" w14:textId="04FED21F"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left w:val="single" w:sz="8" w:space="0" w:color="auto"/>
            </w:tcBorders>
            <w:tcMar>
              <w:top w:w="8" w:type="dxa"/>
              <w:left w:w="28" w:type="dxa"/>
              <w:bottom w:w="8" w:type="dxa"/>
              <w:right w:w="28" w:type="dxa"/>
            </w:tcMar>
            <w:vAlign w:val="center"/>
          </w:tcPr>
          <w:p w14:paraId="2AFDD4A5" w14:textId="3ECF9A32"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14" w:type="pct"/>
            <w:gridSpan w:val="2"/>
            <w:tcBorders>
              <w:top w:val="single" w:sz="8" w:space="0" w:color="auto"/>
              <w:right w:val="single" w:sz="18" w:space="0" w:color="auto"/>
            </w:tcBorders>
            <w:tcMar>
              <w:top w:w="8" w:type="dxa"/>
              <w:left w:w="28" w:type="dxa"/>
              <w:bottom w:w="8" w:type="dxa"/>
              <w:right w:w="28" w:type="dxa"/>
            </w:tcMar>
            <w:vAlign w:val="center"/>
          </w:tcPr>
          <w:p w14:paraId="66D37A2F" w14:textId="3D5B4D13"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4" w:type="pct"/>
            <w:tcBorders>
              <w:top w:val="single" w:sz="8" w:space="0" w:color="auto"/>
              <w:left w:val="single" w:sz="18" w:space="0" w:color="auto"/>
            </w:tcBorders>
            <w:tcMar>
              <w:top w:w="8" w:type="dxa"/>
              <w:left w:w="28" w:type="dxa"/>
              <w:bottom w:w="8" w:type="dxa"/>
              <w:right w:w="28" w:type="dxa"/>
            </w:tcMar>
            <w:vAlign w:val="center"/>
          </w:tcPr>
          <w:p w14:paraId="5A033869" w14:textId="72A8B4BB"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right w:val="single" w:sz="8" w:space="0" w:color="auto"/>
            </w:tcBorders>
            <w:tcMar>
              <w:top w:w="8" w:type="dxa"/>
              <w:left w:w="28" w:type="dxa"/>
              <w:bottom w:w="8" w:type="dxa"/>
              <w:right w:w="28" w:type="dxa"/>
            </w:tcMar>
            <w:vAlign w:val="center"/>
          </w:tcPr>
          <w:p w14:paraId="4897FE18" w14:textId="4D2A5A2D"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left w:val="single" w:sz="8" w:space="0" w:color="auto"/>
            </w:tcBorders>
            <w:tcMar>
              <w:top w:w="8" w:type="dxa"/>
              <w:left w:w="28" w:type="dxa"/>
              <w:bottom w:w="8" w:type="dxa"/>
              <w:right w:w="28" w:type="dxa"/>
            </w:tcMar>
            <w:vAlign w:val="center"/>
          </w:tcPr>
          <w:p w14:paraId="09FBB26B" w14:textId="6CD24E15"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5" w:type="pct"/>
            <w:tcBorders>
              <w:top w:val="single" w:sz="8" w:space="0" w:color="auto"/>
              <w:right w:val="single" w:sz="18" w:space="0" w:color="auto"/>
            </w:tcBorders>
            <w:tcMar>
              <w:top w:w="8" w:type="dxa"/>
              <w:left w:w="28" w:type="dxa"/>
              <w:bottom w:w="8" w:type="dxa"/>
              <w:right w:w="28" w:type="dxa"/>
            </w:tcMar>
            <w:vAlign w:val="center"/>
          </w:tcPr>
          <w:p w14:paraId="17F8623B" w14:textId="5B0A5E62"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left w:val="single" w:sz="18" w:space="0" w:color="auto"/>
            </w:tcBorders>
            <w:tcMar>
              <w:top w:w="8" w:type="dxa"/>
              <w:left w:w="28" w:type="dxa"/>
              <w:bottom w:w="8" w:type="dxa"/>
              <w:right w:w="28" w:type="dxa"/>
            </w:tcMar>
            <w:vAlign w:val="center"/>
          </w:tcPr>
          <w:p w14:paraId="2EDD1D1E" w14:textId="37D3BF07"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46" w:type="pct"/>
            <w:tcBorders>
              <w:top w:val="single" w:sz="8" w:space="0" w:color="auto"/>
              <w:right w:val="single" w:sz="18" w:space="0" w:color="auto"/>
            </w:tcBorders>
            <w:tcMar>
              <w:top w:w="8" w:type="dxa"/>
              <w:left w:w="28" w:type="dxa"/>
              <w:bottom w:w="8" w:type="dxa"/>
              <w:right w:w="28" w:type="dxa"/>
            </w:tcMar>
            <w:vAlign w:val="center"/>
          </w:tcPr>
          <w:p w14:paraId="73B2DDC3" w14:textId="515438D2" w:rsidR="003D0A0E" w:rsidRPr="00F5353D" w:rsidRDefault="003D0A0E" w:rsidP="003D0A0E">
            <w:pPr>
              <w:tabs>
                <w:tab w:val="decimal" w:pos="288"/>
              </w:tabs>
              <w:spacing w:line="200" w:lineRule="auto"/>
              <w:jc w:val="center"/>
              <w:rPr>
                <w:sz w:val="20"/>
                <w:szCs w:val="20"/>
              </w:rPr>
            </w:pPr>
            <w:r w:rsidRPr="00F5353D">
              <w:rPr>
                <w:sz w:val="20"/>
                <w:szCs w:val="20"/>
              </w:rPr>
              <w:t>—</w:t>
            </w:r>
          </w:p>
        </w:tc>
        <w:tc>
          <w:tcPr>
            <w:tcW w:w="209" w:type="pct"/>
            <w:tcBorders>
              <w:top w:val="single" w:sz="8" w:space="0" w:color="auto"/>
              <w:left w:val="single" w:sz="18" w:space="0" w:color="auto"/>
            </w:tcBorders>
            <w:tcMar>
              <w:top w:w="8" w:type="dxa"/>
              <w:left w:w="28" w:type="dxa"/>
              <w:bottom w:w="8" w:type="dxa"/>
              <w:right w:w="28" w:type="dxa"/>
            </w:tcMar>
            <w:vAlign w:val="center"/>
          </w:tcPr>
          <w:p w14:paraId="2FF28830" w14:textId="4518C13D" w:rsidR="003D0A0E" w:rsidRPr="00F5353D" w:rsidRDefault="003D0A0E" w:rsidP="003D0A0E">
            <w:pPr>
              <w:tabs>
                <w:tab w:val="decimal" w:pos="288"/>
              </w:tabs>
              <w:spacing w:line="200" w:lineRule="auto"/>
              <w:rPr>
                <w:sz w:val="20"/>
                <w:szCs w:val="20"/>
              </w:rPr>
            </w:pPr>
            <w:r w:rsidRPr="00F5353D">
              <w:rPr>
                <w:color w:val="000000"/>
                <w:sz w:val="20"/>
                <w:szCs w:val="20"/>
              </w:rPr>
              <w:t>-0.13</w:t>
            </w:r>
          </w:p>
        </w:tc>
        <w:tc>
          <w:tcPr>
            <w:tcW w:w="209" w:type="pct"/>
            <w:tcBorders>
              <w:top w:val="single" w:sz="8" w:space="0" w:color="auto"/>
              <w:right w:val="single" w:sz="8" w:space="0" w:color="auto"/>
            </w:tcBorders>
            <w:tcMar>
              <w:top w:w="8" w:type="dxa"/>
              <w:left w:w="28" w:type="dxa"/>
              <w:bottom w:w="8" w:type="dxa"/>
              <w:right w:w="28" w:type="dxa"/>
            </w:tcMar>
            <w:vAlign w:val="center"/>
          </w:tcPr>
          <w:p w14:paraId="065F6724" w14:textId="61BA0D83" w:rsidR="003D0A0E" w:rsidRPr="00F5353D" w:rsidRDefault="003D0A0E" w:rsidP="003D0A0E">
            <w:pPr>
              <w:tabs>
                <w:tab w:val="decimal" w:pos="288"/>
              </w:tabs>
              <w:spacing w:line="200" w:lineRule="auto"/>
              <w:rPr>
                <w:sz w:val="20"/>
                <w:szCs w:val="20"/>
              </w:rPr>
            </w:pPr>
            <w:r w:rsidRPr="00F5353D">
              <w:rPr>
                <w:color w:val="000000"/>
                <w:sz w:val="20"/>
                <w:szCs w:val="20"/>
              </w:rPr>
              <w:t>-1.10</w:t>
            </w:r>
          </w:p>
        </w:tc>
        <w:tc>
          <w:tcPr>
            <w:tcW w:w="207" w:type="pct"/>
            <w:gridSpan w:val="2"/>
            <w:tcBorders>
              <w:top w:val="single" w:sz="8" w:space="0" w:color="auto"/>
              <w:left w:val="single" w:sz="8" w:space="0" w:color="auto"/>
            </w:tcBorders>
            <w:tcMar>
              <w:top w:w="8" w:type="dxa"/>
              <w:left w:w="28" w:type="dxa"/>
              <w:bottom w:w="8" w:type="dxa"/>
              <w:right w:w="28" w:type="dxa"/>
            </w:tcMar>
            <w:vAlign w:val="center"/>
          </w:tcPr>
          <w:p w14:paraId="1504916B" w14:textId="3D1510BA" w:rsidR="003D0A0E" w:rsidRPr="00F5353D" w:rsidRDefault="003D0A0E" w:rsidP="003D0A0E">
            <w:pPr>
              <w:tabs>
                <w:tab w:val="decimal" w:pos="288"/>
              </w:tabs>
              <w:spacing w:line="200" w:lineRule="auto"/>
              <w:rPr>
                <w:sz w:val="20"/>
                <w:szCs w:val="20"/>
              </w:rPr>
            </w:pPr>
            <w:r w:rsidRPr="00F5353D">
              <w:rPr>
                <w:color w:val="000000"/>
                <w:sz w:val="20"/>
                <w:szCs w:val="20"/>
              </w:rPr>
              <w:t>-0.35</w:t>
            </w:r>
          </w:p>
        </w:tc>
        <w:tc>
          <w:tcPr>
            <w:tcW w:w="200" w:type="pct"/>
            <w:tcBorders>
              <w:top w:val="single" w:sz="8" w:space="0" w:color="auto"/>
            </w:tcBorders>
            <w:tcMar>
              <w:top w:w="8" w:type="dxa"/>
              <w:left w:w="28" w:type="dxa"/>
              <w:bottom w:w="8" w:type="dxa"/>
              <w:right w:w="28" w:type="dxa"/>
            </w:tcMar>
            <w:vAlign w:val="center"/>
          </w:tcPr>
          <w:p w14:paraId="6B4B7855" w14:textId="6C2F9519" w:rsidR="003D0A0E" w:rsidRPr="00297E5F" w:rsidRDefault="003D0A0E" w:rsidP="003D0A0E">
            <w:pPr>
              <w:tabs>
                <w:tab w:val="decimal" w:pos="288"/>
              </w:tabs>
              <w:spacing w:line="200" w:lineRule="auto"/>
              <w:rPr>
                <w:sz w:val="20"/>
                <w:szCs w:val="20"/>
              </w:rPr>
            </w:pPr>
            <w:r w:rsidRPr="00F5353D">
              <w:rPr>
                <w:color w:val="000000"/>
                <w:sz w:val="20"/>
                <w:szCs w:val="20"/>
              </w:rPr>
              <w:t>-3.11</w:t>
            </w:r>
          </w:p>
        </w:tc>
      </w:tr>
    </w:tbl>
    <w:p w14:paraId="52B99337" w14:textId="77777777" w:rsidR="00752A00" w:rsidRDefault="00752A00" w:rsidP="005D53A5">
      <w:pPr>
        <w:rPr>
          <w:sz w:val="20"/>
          <w:szCs w:val="20"/>
        </w:rPr>
      </w:pPr>
    </w:p>
    <w:p w14:paraId="462934DD" w14:textId="77777777" w:rsidR="00752A00" w:rsidRDefault="00752A00" w:rsidP="005D53A5">
      <w:pPr>
        <w:rPr>
          <w:sz w:val="20"/>
          <w:szCs w:val="20"/>
        </w:rPr>
      </w:pPr>
    </w:p>
    <w:p w14:paraId="07AE7618" w14:textId="77777777" w:rsidR="00780375" w:rsidRDefault="00780375" w:rsidP="005D53A5">
      <w:pPr>
        <w:rPr>
          <w:sz w:val="20"/>
          <w:szCs w:val="20"/>
        </w:rPr>
      </w:pPr>
    </w:p>
    <w:p w14:paraId="2CB1E0A1" w14:textId="0E73DCD7" w:rsidR="007A713B" w:rsidRPr="00140E34" w:rsidRDefault="007A713B" w:rsidP="007A713B">
      <w:pPr>
        <w:pStyle w:val="FootnoteText"/>
        <w:rPr>
          <w:b/>
          <w:bCs/>
          <w:sz w:val="24"/>
          <w:szCs w:val="24"/>
        </w:rPr>
      </w:pPr>
      <w:r w:rsidRPr="00F670FB">
        <w:rPr>
          <w:b/>
          <w:bCs/>
          <w:sz w:val="24"/>
          <w:szCs w:val="24"/>
        </w:rPr>
        <w:lastRenderedPageBreak/>
        <w:t>Table 3. M</w:t>
      </w:r>
      <w:r w:rsidR="00390142">
        <w:rPr>
          <w:b/>
          <w:bCs/>
          <w:sz w:val="24"/>
          <w:szCs w:val="24"/>
        </w:rPr>
        <w:t>odel</w:t>
      </w:r>
      <w:r w:rsidRPr="00F670FB">
        <w:rPr>
          <w:b/>
          <w:bCs/>
          <w:sz w:val="24"/>
          <w:szCs w:val="24"/>
        </w:rPr>
        <w:t xml:space="preserve"> Estimation Result</w:t>
      </w:r>
      <w:r>
        <w:rPr>
          <w:b/>
          <w:bCs/>
          <w:sz w:val="24"/>
          <w:szCs w:val="24"/>
        </w:rPr>
        <w:t>s</w:t>
      </w:r>
      <w:r w:rsidRPr="00140E34">
        <w:rPr>
          <w:b/>
          <w:bCs/>
          <w:sz w:val="24"/>
          <w:szCs w:val="24"/>
        </w:rPr>
        <w:t xml:space="preserve"> (Continued)</w:t>
      </w:r>
    </w:p>
    <w:tbl>
      <w:tblPr>
        <w:tblW w:w="5009" w:type="pct"/>
        <w:tblBorders>
          <w:top w:val="single" w:sz="18" w:space="0" w:color="auto"/>
          <w:left w:val="single" w:sz="18" w:space="0" w:color="auto"/>
          <w:bottom w:val="single" w:sz="18" w:space="0" w:color="auto"/>
          <w:right w:val="single" w:sz="18" w:space="0" w:color="auto"/>
          <w:insideH w:val="dotted" w:sz="4" w:space="0" w:color="auto"/>
          <w:insideV w:val="dotted" w:sz="4" w:space="0" w:color="auto"/>
        </w:tblBorders>
        <w:tblLayout w:type="fixed"/>
        <w:tblCellMar>
          <w:left w:w="0" w:type="dxa"/>
          <w:right w:w="0" w:type="dxa"/>
        </w:tblCellMar>
        <w:tblLook w:val="04A0" w:firstRow="1" w:lastRow="0" w:firstColumn="1" w:lastColumn="0" w:noHBand="0" w:noVBand="1"/>
      </w:tblPr>
      <w:tblGrid>
        <w:gridCol w:w="1145"/>
        <w:gridCol w:w="1079"/>
        <w:gridCol w:w="634"/>
        <w:gridCol w:w="1260"/>
        <w:gridCol w:w="541"/>
        <w:gridCol w:w="538"/>
        <w:gridCol w:w="546"/>
        <w:gridCol w:w="533"/>
        <w:gridCol w:w="541"/>
        <w:gridCol w:w="541"/>
        <w:gridCol w:w="536"/>
        <w:gridCol w:w="543"/>
        <w:gridCol w:w="538"/>
        <w:gridCol w:w="634"/>
        <w:gridCol w:w="536"/>
        <w:gridCol w:w="634"/>
        <w:gridCol w:w="541"/>
        <w:gridCol w:w="541"/>
        <w:gridCol w:w="538"/>
        <w:gridCol w:w="538"/>
      </w:tblGrid>
      <w:tr w:rsidR="007A713B" w:rsidRPr="00F5353D" w14:paraId="1FA7AE3D" w14:textId="77777777" w:rsidTr="007C4658">
        <w:trPr>
          <w:trHeight w:val="187"/>
          <w:tblHeader/>
        </w:trPr>
        <w:tc>
          <w:tcPr>
            <w:tcW w:w="1592" w:type="pct"/>
            <w:gridSpan w:val="4"/>
            <w:vMerge w:val="restart"/>
            <w:tcBorders>
              <w:right w:val="single" w:sz="18" w:space="0" w:color="auto"/>
            </w:tcBorders>
            <w:tcMar>
              <w:top w:w="8" w:type="dxa"/>
              <w:left w:w="28" w:type="dxa"/>
              <w:bottom w:w="8" w:type="dxa"/>
              <w:right w:w="28" w:type="dxa"/>
            </w:tcMar>
            <w:vAlign w:val="center"/>
          </w:tcPr>
          <w:p w14:paraId="3F0347BF" w14:textId="77777777" w:rsidR="007A713B" w:rsidRPr="00F5353D" w:rsidRDefault="007A713B" w:rsidP="002532E0">
            <w:pPr>
              <w:spacing w:line="200" w:lineRule="auto"/>
              <w:jc w:val="center"/>
              <w:rPr>
                <w:sz w:val="20"/>
                <w:szCs w:val="20"/>
              </w:rPr>
            </w:pPr>
            <w:r w:rsidRPr="00F5353D">
              <w:rPr>
                <w:b/>
                <w:bCs/>
                <w:sz w:val="20"/>
                <w:szCs w:val="20"/>
              </w:rPr>
              <w:t>Explanatory Variables</w:t>
            </w:r>
            <w:r w:rsidRPr="00F5353D">
              <w:rPr>
                <w:sz w:val="20"/>
                <w:szCs w:val="20"/>
              </w:rPr>
              <w:br/>
            </w:r>
            <w:r w:rsidRPr="00F5353D">
              <w:rPr>
                <w:b/>
                <w:bCs/>
                <w:sz w:val="20"/>
                <w:szCs w:val="20"/>
              </w:rPr>
              <w:t>(base category)</w:t>
            </w:r>
          </w:p>
        </w:tc>
        <w:tc>
          <w:tcPr>
            <w:tcW w:w="417" w:type="pct"/>
            <w:gridSpan w:val="2"/>
            <w:vMerge w:val="restart"/>
            <w:tcBorders>
              <w:left w:val="single" w:sz="18" w:space="0" w:color="auto"/>
              <w:right w:val="single" w:sz="18" w:space="0" w:color="auto"/>
            </w:tcBorders>
            <w:tcMar>
              <w:top w:w="8" w:type="dxa"/>
              <w:left w:w="28" w:type="dxa"/>
              <w:bottom w:w="8" w:type="dxa"/>
              <w:right w:w="28" w:type="dxa"/>
            </w:tcMar>
            <w:vAlign w:val="center"/>
          </w:tcPr>
          <w:p w14:paraId="7BE43A42" w14:textId="4F12981B" w:rsidR="007A713B" w:rsidRPr="00F5353D" w:rsidRDefault="00D9087F" w:rsidP="000076CD">
            <w:pPr>
              <w:spacing w:line="200" w:lineRule="auto"/>
              <w:jc w:val="center"/>
              <w:rPr>
                <w:sz w:val="20"/>
                <w:szCs w:val="20"/>
              </w:rPr>
            </w:pPr>
            <w:r w:rsidRPr="00F5353D">
              <w:rPr>
                <w:b/>
                <w:bCs/>
                <w:sz w:val="20"/>
                <w:szCs w:val="20"/>
              </w:rPr>
              <w:t>NRAT</w:t>
            </w:r>
          </w:p>
        </w:tc>
        <w:tc>
          <w:tcPr>
            <w:tcW w:w="835" w:type="pct"/>
            <w:gridSpan w:val="4"/>
            <w:tcBorders>
              <w:left w:val="single" w:sz="18" w:space="0" w:color="auto"/>
              <w:bottom w:val="single" w:sz="8" w:space="0" w:color="auto"/>
              <w:right w:val="single" w:sz="18" w:space="0" w:color="auto"/>
            </w:tcBorders>
            <w:tcMar>
              <w:top w:w="8" w:type="dxa"/>
              <w:left w:w="28" w:type="dxa"/>
              <w:bottom w:w="8" w:type="dxa"/>
              <w:right w:w="28" w:type="dxa"/>
            </w:tcMar>
            <w:vAlign w:val="center"/>
          </w:tcPr>
          <w:p w14:paraId="7D9BE7F0" w14:textId="20D03879" w:rsidR="007A713B" w:rsidRPr="00F5353D" w:rsidRDefault="007A713B" w:rsidP="000076CD">
            <w:pPr>
              <w:spacing w:line="200" w:lineRule="auto"/>
              <w:jc w:val="center"/>
              <w:rPr>
                <w:sz w:val="20"/>
                <w:szCs w:val="20"/>
              </w:rPr>
            </w:pPr>
            <w:r w:rsidRPr="00F5353D">
              <w:rPr>
                <w:b/>
                <w:bCs/>
                <w:sz w:val="20"/>
                <w:szCs w:val="20"/>
              </w:rPr>
              <w:t xml:space="preserve">Infrastructural deficiencies in </w:t>
            </w:r>
            <w:r w:rsidR="00F13C39" w:rsidRPr="00F5353D">
              <w:rPr>
                <w:b/>
                <w:bCs/>
                <w:sz w:val="20"/>
                <w:szCs w:val="20"/>
              </w:rPr>
              <w:t>active travel networks</w:t>
            </w:r>
          </w:p>
        </w:tc>
        <w:tc>
          <w:tcPr>
            <w:tcW w:w="870" w:type="pct"/>
            <w:gridSpan w:val="4"/>
            <w:tcBorders>
              <w:left w:val="single" w:sz="18" w:space="0" w:color="auto"/>
              <w:bottom w:val="single" w:sz="8" w:space="0" w:color="auto"/>
              <w:right w:val="single" w:sz="18" w:space="0" w:color="auto"/>
            </w:tcBorders>
            <w:tcMar>
              <w:top w:w="8" w:type="dxa"/>
              <w:left w:w="28" w:type="dxa"/>
              <w:bottom w:w="8" w:type="dxa"/>
              <w:right w:w="28" w:type="dxa"/>
            </w:tcMar>
            <w:vAlign w:val="center"/>
          </w:tcPr>
          <w:p w14:paraId="611DED07" w14:textId="77777777" w:rsidR="007A713B" w:rsidRPr="00F5353D" w:rsidRDefault="007A713B" w:rsidP="000076CD">
            <w:pPr>
              <w:spacing w:line="200" w:lineRule="auto"/>
              <w:jc w:val="center"/>
              <w:rPr>
                <w:sz w:val="20"/>
                <w:szCs w:val="20"/>
              </w:rPr>
            </w:pPr>
            <w:r w:rsidRPr="00F5353D">
              <w:rPr>
                <w:b/>
                <w:bCs/>
                <w:sz w:val="20"/>
                <w:szCs w:val="20"/>
              </w:rPr>
              <w:t>Traffic-safety concerns</w:t>
            </w:r>
          </w:p>
        </w:tc>
        <w:tc>
          <w:tcPr>
            <w:tcW w:w="452" w:type="pct"/>
            <w:gridSpan w:val="2"/>
            <w:tcBorders>
              <w:left w:val="single" w:sz="18" w:space="0" w:color="auto"/>
              <w:bottom w:val="single" w:sz="8" w:space="0" w:color="auto"/>
              <w:right w:val="single" w:sz="18" w:space="0" w:color="auto"/>
            </w:tcBorders>
            <w:tcMar>
              <w:top w:w="8" w:type="dxa"/>
              <w:left w:w="28" w:type="dxa"/>
              <w:bottom w:w="8" w:type="dxa"/>
              <w:right w:w="28" w:type="dxa"/>
            </w:tcMar>
            <w:vAlign w:val="center"/>
          </w:tcPr>
          <w:p w14:paraId="541B15B6" w14:textId="77777777" w:rsidR="007A713B" w:rsidRPr="00F5353D" w:rsidRDefault="007A713B" w:rsidP="000076CD">
            <w:pPr>
              <w:spacing w:line="200" w:lineRule="auto"/>
              <w:jc w:val="center"/>
              <w:rPr>
                <w:sz w:val="20"/>
                <w:szCs w:val="20"/>
              </w:rPr>
            </w:pPr>
            <w:r w:rsidRPr="00F5353D">
              <w:rPr>
                <w:b/>
                <w:bCs/>
                <w:sz w:val="20"/>
                <w:szCs w:val="20"/>
              </w:rPr>
              <w:t>Personal-security concerns</w:t>
            </w:r>
          </w:p>
        </w:tc>
        <w:tc>
          <w:tcPr>
            <w:tcW w:w="834" w:type="pct"/>
            <w:gridSpan w:val="4"/>
            <w:tcBorders>
              <w:left w:val="single" w:sz="18" w:space="0" w:color="auto"/>
              <w:bottom w:val="single" w:sz="8" w:space="0" w:color="auto"/>
            </w:tcBorders>
            <w:tcMar>
              <w:top w:w="8" w:type="dxa"/>
              <w:left w:w="28" w:type="dxa"/>
              <w:bottom w:w="8" w:type="dxa"/>
              <w:right w:w="28" w:type="dxa"/>
            </w:tcMar>
            <w:vAlign w:val="center"/>
          </w:tcPr>
          <w:p w14:paraId="2E1CBDBC" w14:textId="77777777" w:rsidR="007A713B" w:rsidRPr="00F5353D" w:rsidRDefault="007A713B" w:rsidP="000076CD">
            <w:pPr>
              <w:spacing w:line="200" w:lineRule="auto"/>
              <w:jc w:val="center"/>
              <w:rPr>
                <w:sz w:val="20"/>
                <w:szCs w:val="20"/>
              </w:rPr>
            </w:pPr>
            <w:r w:rsidRPr="00F5353D">
              <w:rPr>
                <w:b/>
                <w:bCs/>
                <w:sz w:val="20"/>
                <w:szCs w:val="20"/>
              </w:rPr>
              <w:t>Practical and situational constraints</w:t>
            </w:r>
          </w:p>
        </w:tc>
      </w:tr>
      <w:tr w:rsidR="007A713B" w:rsidRPr="00F5353D" w14:paraId="7A17DA0A" w14:textId="77777777" w:rsidTr="00FA7BA3">
        <w:trPr>
          <w:trHeight w:val="576"/>
          <w:tblHeader/>
        </w:trPr>
        <w:tc>
          <w:tcPr>
            <w:tcW w:w="1592" w:type="pct"/>
            <w:gridSpan w:val="4"/>
            <w:vMerge/>
            <w:tcBorders>
              <w:right w:val="single" w:sz="18" w:space="0" w:color="auto"/>
            </w:tcBorders>
            <w:tcMar>
              <w:top w:w="8" w:type="dxa"/>
              <w:left w:w="28" w:type="dxa"/>
              <w:bottom w:w="8" w:type="dxa"/>
              <w:right w:w="28" w:type="dxa"/>
            </w:tcMar>
            <w:vAlign w:val="center"/>
          </w:tcPr>
          <w:p w14:paraId="7ED424EF" w14:textId="77777777" w:rsidR="007A713B" w:rsidRPr="00F5353D" w:rsidRDefault="007A713B" w:rsidP="00D63D95">
            <w:pPr>
              <w:spacing w:line="200" w:lineRule="auto"/>
              <w:rPr>
                <w:sz w:val="20"/>
                <w:szCs w:val="20"/>
              </w:rPr>
            </w:pPr>
          </w:p>
        </w:tc>
        <w:tc>
          <w:tcPr>
            <w:tcW w:w="417" w:type="pct"/>
            <w:gridSpan w:val="2"/>
            <w:vMerge/>
            <w:tcBorders>
              <w:left w:val="single" w:sz="18" w:space="0" w:color="auto"/>
              <w:bottom w:val="single" w:sz="18" w:space="0" w:color="auto"/>
              <w:right w:val="single" w:sz="18" w:space="0" w:color="auto"/>
            </w:tcBorders>
            <w:tcMar>
              <w:top w:w="8" w:type="dxa"/>
              <w:left w:w="28" w:type="dxa"/>
              <w:bottom w:w="8" w:type="dxa"/>
              <w:right w:w="28" w:type="dxa"/>
            </w:tcMar>
            <w:vAlign w:val="center"/>
          </w:tcPr>
          <w:p w14:paraId="2B99EFAB" w14:textId="77777777" w:rsidR="007A713B" w:rsidRPr="00F5353D" w:rsidRDefault="007A713B" w:rsidP="00D63D95">
            <w:pPr>
              <w:spacing w:line="200" w:lineRule="auto"/>
              <w:rPr>
                <w:sz w:val="20"/>
                <w:szCs w:val="20"/>
              </w:rPr>
            </w:pPr>
          </w:p>
        </w:tc>
        <w:tc>
          <w:tcPr>
            <w:tcW w:w="417" w:type="pct"/>
            <w:gridSpan w:val="2"/>
            <w:tcBorders>
              <w:top w:val="single" w:sz="8" w:space="0" w:color="auto"/>
              <w:left w:val="single" w:sz="18" w:space="0" w:color="auto"/>
              <w:bottom w:val="single" w:sz="18" w:space="0" w:color="auto"/>
              <w:right w:val="single" w:sz="8" w:space="0" w:color="auto"/>
            </w:tcBorders>
            <w:tcMar>
              <w:top w:w="8" w:type="dxa"/>
              <w:left w:w="28" w:type="dxa"/>
              <w:bottom w:w="8" w:type="dxa"/>
              <w:right w:w="28" w:type="dxa"/>
            </w:tcMar>
            <w:vAlign w:val="center"/>
          </w:tcPr>
          <w:p w14:paraId="4B8C3CED" w14:textId="6DC13C03" w:rsidR="007A713B" w:rsidRPr="00F5353D" w:rsidRDefault="00780375" w:rsidP="000076CD">
            <w:pPr>
              <w:spacing w:line="200" w:lineRule="auto"/>
              <w:jc w:val="center"/>
              <w:rPr>
                <w:sz w:val="20"/>
                <w:szCs w:val="20"/>
              </w:rPr>
            </w:pPr>
            <w:r w:rsidRPr="00F5353D">
              <w:rPr>
                <w:b/>
                <w:bCs/>
                <w:sz w:val="20"/>
                <w:szCs w:val="20"/>
              </w:rPr>
              <w:t>Lack of sidewalks</w:t>
            </w:r>
            <w:r w:rsidR="00E026AA" w:rsidRPr="00F5353D">
              <w:rPr>
                <w:b/>
                <w:bCs/>
                <w:sz w:val="20"/>
                <w:szCs w:val="20"/>
              </w:rPr>
              <w:t xml:space="preserve"> </w:t>
            </w:r>
            <w:r w:rsidRPr="00F5353D">
              <w:rPr>
                <w:b/>
                <w:bCs/>
                <w:sz w:val="20"/>
                <w:szCs w:val="20"/>
              </w:rPr>
              <w:t>/</w:t>
            </w:r>
            <w:r w:rsidR="00E026AA" w:rsidRPr="00F5353D">
              <w:rPr>
                <w:b/>
                <w:bCs/>
                <w:sz w:val="20"/>
                <w:szCs w:val="20"/>
              </w:rPr>
              <w:t xml:space="preserve"> </w:t>
            </w:r>
            <w:r w:rsidRPr="00F5353D">
              <w:rPr>
                <w:b/>
                <w:bCs/>
                <w:sz w:val="20"/>
                <w:szCs w:val="20"/>
              </w:rPr>
              <w:t>bicycle lanes</w:t>
            </w:r>
          </w:p>
        </w:tc>
        <w:tc>
          <w:tcPr>
            <w:tcW w:w="418" w:type="pct"/>
            <w:gridSpan w:val="2"/>
            <w:tcBorders>
              <w:top w:val="single" w:sz="8" w:space="0" w:color="auto"/>
              <w:left w:val="single" w:sz="8" w:space="0" w:color="auto"/>
              <w:bottom w:val="single" w:sz="18" w:space="0" w:color="auto"/>
              <w:right w:val="single" w:sz="18" w:space="0" w:color="auto"/>
            </w:tcBorders>
            <w:tcMar>
              <w:top w:w="8" w:type="dxa"/>
              <w:left w:w="28" w:type="dxa"/>
              <w:bottom w:w="8" w:type="dxa"/>
              <w:right w:w="28" w:type="dxa"/>
            </w:tcMar>
            <w:vAlign w:val="center"/>
          </w:tcPr>
          <w:p w14:paraId="5E0A26B7" w14:textId="77777777" w:rsidR="007A713B" w:rsidRPr="00F5353D" w:rsidRDefault="007A713B" w:rsidP="000076CD">
            <w:pPr>
              <w:spacing w:line="200" w:lineRule="auto"/>
              <w:jc w:val="center"/>
              <w:rPr>
                <w:sz w:val="20"/>
                <w:szCs w:val="20"/>
              </w:rPr>
            </w:pPr>
            <w:r w:rsidRPr="00F5353D">
              <w:rPr>
                <w:b/>
                <w:bCs/>
                <w:sz w:val="20"/>
                <w:szCs w:val="20"/>
              </w:rPr>
              <w:t>Insufficient lighting</w:t>
            </w:r>
          </w:p>
        </w:tc>
        <w:tc>
          <w:tcPr>
            <w:tcW w:w="417" w:type="pct"/>
            <w:gridSpan w:val="2"/>
            <w:tcBorders>
              <w:top w:val="single" w:sz="8" w:space="0" w:color="auto"/>
              <w:left w:val="single" w:sz="18" w:space="0" w:color="auto"/>
              <w:bottom w:val="single" w:sz="18" w:space="0" w:color="auto"/>
              <w:right w:val="single" w:sz="8" w:space="0" w:color="auto"/>
            </w:tcBorders>
            <w:tcMar>
              <w:top w:w="8" w:type="dxa"/>
              <w:left w:w="28" w:type="dxa"/>
              <w:bottom w:w="8" w:type="dxa"/>
              <w:right w:w="28" w:type="dxa"/>
            </w:tcMar>
            <w:vAlign w:val="center"/>
          </w:tcPr>
          <w:p w14:paraId="467C136C" w14:textId="77777777" w:rsidR="007A713B" w:rsidRPr="00F5353D" w:rsidRDefault="007A713B" w:rsidP="000076CD">
            <w:pPr>
              <w:spacing w:line="200" w:lineRule="auto"/>
              <w:jc w:val="center"/>
              <w:rPr>
                <w:sz w:val="20"/>
                <w:szCs w:val="20"/>
              </w:rPr>
            </w:pPr>
            <w:r w:rsidRPr="00F5353D">
              <w:rPr>
                <w:b/>
                <w:bCs/>
                <w:sz w:val="20"/>
                <w:szCs w:val="20"/>
              </w:rPr>
              <w:t>Aggressive drivers</w:t>
            </w:r>
          </w:p>
        </w:tc>
        <w:tc>
          <w:tcPr>
            <w:tcW w:w="453" w:type="pct"/>
            <w:gridSpan w:val="2"/>
            <w:tcBorders>
              <w:top w:val="single" w:sz="8" w:space="0" w:color="auto"/>
              <w:left w:val="single" w:sz="8" w:space="0" w:color="auto"/>
              <w:bottom w:val="single" w:sz="18" w:space="0" w:color="auto"/>
              <w:right w:val="single" w:sz="18" w:space="0" w:color="auto"/>
            </w:tcBorders>
            <w:tcMar>
              <w:top w:w="8" w:type="dxa"/>
              <w:left w:w="28" w:type="dxa"/>
              <w:bottom w:w="8" w:type="dxa"/>
              <w:right w:w="28" w:type="dxa"/>
            </w:tcMar>
            <w:vAlign w:val="center"/>
          </w:tcPr>
          <w:p w14:paraId="2101E104" w14:textId="77777777" w:rsidR="007A713B" w:rsidRPr="00F5353D" w:rsidRDefault="007A713B" w:rsidP="000076CD">
            <w:pPr>
              <w:spacing w:line="200" w:lineRule="auto"/>
              <w:jc w:val="center"/>
              <w:rPr>
                <w:sz w:val="20"/>
                <w:szCs w:val="20"/>
              </w:rPr>
            </w:pPr>
            <w:r w:rsidRPr="00F5353D">
              <w:rPr>
                <w:b/>
                <w:bCs/>
                <w:sz w:val="20"/>
                <w:szCs w:val="20"/>
              </w:rPr>
              <w:t>Distracted drivers</w:t>
            </w:r>
          </w:p>
        </w:tc>
        <w:tc>
          <w:tcPr>
            <w:tcW w:w="452" w:type="pct"/>
            <w:gridSpan w:val="2"/>
            <w:tcBorders>
              <w:top w:val="single" w:sz="8" w:space="0" w:color="auto"/>
              <w:left w:val="single" w:sz="18" w:space="0" w:color="auto"/>
              <w:bottom w:val="single" w:sz="18" w:space="0" w:color="auto"/>
              <w:right w:val="single" w:sz="18" w:space="0" w:color="auto"/>
            </w:tcBorders>
            <w:tcMar>
              <w:top w:w="8" w:type="dxa"/>
              <w:left w:w="28" w:type="dxa"/>
              <w:bottom w:w="8" w:type="dxa"/>
              <w:right w:w="28" w:type="dxa"/>
            </w:tcMar>
            <w:vAlign w:val="center"/>
          </w:tcPr>
          <w:p w14:paraId="60221491" w14:textId="77777777" w:rsidR="007A713B" w:rsidRPr="00F5353D" w:rsidRDefault="007A713B" w:rsidP="000076CD">
            <w:pPr>
              <w:spacing w:line="200" w:lineRule="auto"/>
              <w:jc w:val="center"/>
              <w:rPr>
                <w:sz w:val="20"/>
                <w:szCs w:val="20"/>
              </w:rPr>
            </w:pPr>
            <w:r w:rsidRPr="00F5353D">
              <w:rPr>
                <w:b/>
                <w:bCs/>
                <w:sz w:val="20"/>
                <w:szCs w:val="20"/>
              </w:rPr>
              <w:t>Loitering / threatening</w:t>
            </w:r>
          </w:p>
        </w:tc>
        <w:tc>
          <w:tcPr>
            <w:tcW w:w="418" w:type="pct"/>
            <w:gridSpan w:val="2"/>
            <w:tcBorders>
              <w:top w:val="single" w:sz="8" w:space="0" w:color="auto"/>
              <w:left w:val="single" w:sz="18" w:space="0" w:color="auto"/>
              <w:bottom w:val="single" w:sz="18" w:space="0" w:color="auto"/>
              <w:right w:val="single" w:sz="8" w:space="0" w:color="auto"/>
            </w:tcBorders>
            <w:tcMar>
              <w:top w:w="8" w:type="dxa"/>
              <w:left w:w="28" w:type="dxa"/>
              <w:bottom w:w="8" w:type="dxa"/>
              <w:right w:w="28" w:type="dxa"/>
            </w:tcMar>
            <w:vAlign w:val="center"/>
          </w:tcPr>
          <w:p w14:paraId="167BEEC5" w14:textId="77777777" w:rsidR="007A713B" w:rsidRPr="00F5353D" w:rsidRDefault="007A713B" w:rsidP="000076CD">
            <w:pPr>
              <w:spacing w:line="200" w:lineRule="auto"/>
              <w:jc w:val="center"/>
              <w:rPr>
                <w:sz w:val="20"/>
                <w:szCs w:val="20"/>
              </w:rPr>
            </w:pPr>
            <w:r w:rsidRPr="00F5353D">
              <w:rPr>
                <w:b/>
                <w:bCs/>
                <w:sz w:val="20"/>
                <w:szCs w:val="20"/>
              </w:rPr>
              <w:t>Adverse weather</w:t>
            </w:r>
          </w:p>
        </w:tc>
        <w:tc>
          <w:tcPr>
            <w:tcW w:w="416" w:type="pct"/>
            <w:gridSpan w:val="2"/>
            <w:tcBorders>
              <w:top w:val="single" w:sz="8" w:space="0" w:color="auto"/>
              <w:left w:val="single" w:sz="8" w:space="0" w:color="auto"/>
              <w:bottom w:val="single" w:sz="18" w:space="0" w:color="auto"/>
            </w:tcBorders>
            <w:tcMar>
              <w:top w:w="8" w:type="dxa"/>
              <w:left w:w="28" w:type="dxa"/>
              <w:bottom w:w="8" w:type="dxa"/>
              <w:right w:w="28" w:type="dxa"/>
            </w:tcMar>
            <w:vAlign w:val="center"/>
          </w:tcPr>
          <w:p w14:paraId="2B83CB37" w14:textId="77777777" w:rsidR="007A713B" w:rsidRPr="00F5353D" w:rsidRDefault="007A713B" w:rsidP="000076CD">
            <w:pPr>
              <w:spacing w:line="200" w:lineRule="auto"/>
              <w:jc w:val="center"/>
              <w:rPr>
                <w:sz w:val="20"/>
                <w:szCs w:val="20"/>
              </w:rPr>
            </w:pPr>
            <w:r w:rsidRPr="00F5353D">
              <w:rPr>
                <w:b/>
                <w:bCs/>
                <w:sz w:val="20"/>
                <w:szCs w:val="20"/>
              </w:rPr>
              <w:t>Trip-length mismatch</w:t>
            </w:r>
          </w:p>
        </w:tc>
      </w:tr>
      <w:tr w:rsidR="007A713B" w:rsidRPr="00F5353D" w14:paraId="6D59A45E" w14:textId="77777777" w:rsidTr="007C4658">
        <w:trPr>
          <w:trHeight w:val="187"/>
          <w:tblHeader/>
        </w:trPr>
        <w:tc>
          <w:tcPr>
            <w:tcW w:w="1592" w:type="pct"/>
            <w:gridSpan w:val="4"/>
            <w:vMerge/>
            <w:tcBorders>
              <w:bottom w:val="single" w:sz="18" w:space="0" w:color="auto"/>
              <w:right w:val="single" w:sz="18" w:space="0" w:color="auto"/>
            </w:tcBorders>
            <w:tcMar>
              <w:top w:w="8" w:type="dxa"/>
              <w:left w:w="28" w:type="dxa"/>
              <w:bottom w:w="8" w:type="dxa"/>
              <w:right w:w="28" w:type="dxa"/>
            </w:tcMar>
            <w:vAlign w:val="center"/>
          </w:tcPr>
          <w:p w14:paraId="0014A267" w14:textId="77777777" w:rsidR="007A713B" w:rsidRPr="00F5353D" w:rsidRDefault="007A713B" w:rsidP="00D63D95">
            <w:pPr>
              <w:spacing w:line="200" w:lineRule="auto"/>
              <w:rPr>
                <w:sz w:val="20"/>
                <w:szCs w:val="20"/>
              </w:rPr>
            </w:pPr>
          </w:p>
        </w:tc>
        <w:tc>
          <w:tcPr>
            <w:tcW w:w="209" w:type="pct"/>
            <w:tcBorders>
              <w:top w:val="single" w:sz="18" w:space="0" w:color="auto"/>
              <w:left w:val="single" w:sz="18" w:space="0" w:color="auto"/>
              <w:bottom w:val="single" w:sz="18" w:space="0" w:color="auto"/>
            </w:tcBorders>
            <w:tcMar>
              <w:top w:w="8" w:type="dxa"/>
              <w:left w:w="28" w:type="dxa"/>
              <w:bottom w:w="8" w:type="dxa"/>
              <w:right w:w="28" w:type="dxa"/>
            </w:tcMar>
            <w:vAlign w:val="center"/>
          </w:tcPr>
          <w:p w14:paraId="32A70B22" w14:textId="77777777" w:rsidR="007A713B" w:rsidRPr="00F5353D" w:rsidRDefault="007A713B" w:rsidP="002532E0">
            <w:pPr>
              <w:spacing w:line="200" w:lineRule="auto"/>
              <w:jc w:val="center"/>
              <w:rPr>
                <w:sz w:val="20"/>
                <w:szCs w:val="20"/>
              </w:rPr>
            </w:pPr>
            <w:r w:rsidRPr="00F5353D">
              <w:rPr>
                <w:sz w:val="20"/>
                <w:szCs w:val="20"/>
              </w:rPr>
              <w:t>Coef.</w:t>
            </w:r>
          </w:p>
        </w:tc>
        <w:tc>
          <w:tcPr>
            <w:tcW w:w="208" w:type="pct"/>
            <w:tcBorders>
              <w:top w:val="single" w:sz="18" w:space="0" w:color="auto"/>
              <w:bottom w:val="single" w:sz="18" w:space="0" w:color="auto"/>
              <w:right w:val="single" w:sz="18" w:space="0" w:color="auto"/>
            </w:tcBorders>
            <w:tcMar>
              <w:top w:w="8" w:type="dxa"/>
              <w:left w:w="28" w:type="dxa"/>
              <w:bottom w:w="8" w:type="dxa"/>
              <w:right w:w="28" w:type="dxa"/>
            </w:tcMar>
            <w:vAlign w:val="center"/>
          </w:tcPr>
          <w:p w14:paraId="4D62D64B" w14:textId="77777777" w:rsidR="007A713B" w:rsidRPr="00F5353D" w:rsidRDefault="007A713B" w:rsidP="002532E0">
            <w:pPr>
              <w:spacing w:line="200" w:lineRule="auto"/>
              <w:jc w:val="center"/>
              <w:rPr>
                <w:sz w:val="20"/>
                <w:szCs w:val="20"/>
              </w:rPr>
            </w:pPr>
            <w:r w:rsidRPr="00F5353D">
              <w:rPr>
                <w:sz w:val="20"/>
                <w:szCs w:val="20"/>
              </w:rPr>
              <w:t>t-stat</w:t>
            </w:r>
          </w:p>
        </w:tc>
        <w:tc>
          <w:tcPr>
            <w:tcW w:w="211" w:type="pct"/>
            <w:tcBorders>
              <w:top w:val="single" w:sz="18" w:space="0" w:color="auto"/>
              <w:left w:val="single" w:sz="18" w:space="0" w:color="auto"/>
              <w:bottom w:val="single" w:sz="18" w:space="0" w:color="auto"/>
            </w:tcBorders>
            <w:tcMar>
              <w:top w:w="8" w:type="dxa"/>
              <w:left w:w="28" w:type="dxa"/>
              <w:bottom w:w="8" w:type="dxa"/>
              <w:right w:w="28" w:type="dxa"/>
            </w:tcMar>
            <w:vAlign w:val="center"/>
          </w:tcPr>
          <w:p w14:paraId="63C3D289" w14:textId="77777777" w:rsidR="007A713B" w:rsidRPr="00F5353D" w:rsidRDefault="007A713B" w:rsidP="002532E0">
            <w:pPr>
              <w:spacing w:line="200" w:lineRule="auto"/>
              <w:jc w:val="center"/>
              <w:rPr>
                <w:sz w:val="20"/>
                <w:szCs w:val="20"/>
              </w:rPr>
            </w:pPr>
            <w:r w:rsidRPr="00F5353D">
              <w:rPr>
                <w:sz w:val="20"/>
                <w:szCs w:val="20"/>
              </w:rPr>
              <w:t>Coef.</w:t>
            </w:r>
          </w:p>
        </w:tc>
        <w:tc>
          <w:tcPr>
            <w:tcW w:w="206" w:type="pct"/>
            <w:tcBorders>
              <w:top w:val="single" w:sz="18" w:space="0" w:color="auto"/>
              <w:bottom w:val="single" w:sz="18" w:space="0" w:color="auto"/>
              <w:right w:val="single" w:sz="8" w:space="0" w:color="auto"/>
            </w:tcBorders>
            <w:tcMar>
              <w:top w:w="8" w:type="dxa"/>
              <w:left w:w="28" w:type="dxa"/>
              <w:bottom w:w="8" w:type="dxa"/>
              <w:right w:w="28" w:type="dxa"/>
            </w:tcMar>
            <w:vAlign w:val="center"/>
          </w:tcPr>
          <w:p w14:paraId="6A70C30F" w14:textId="77777777" w:rsidR="007A713B" w:rsidRPr="00F5353D" w:rsidRDefault="007A713B" w:rsidP="002532E0">
            <w:pPr>
              <w:spacing w:line="200" w:lineRule="auto"/>
              <w:jc w:val="center"/>
              <w:rPr>
                <w:sz w:val="20"/>
                <w:szCs w:val="20"/>
              </w:rPr>
            </w:pPr>
            <w:r w:rsidRPr="00F5353D">
              <w:rPr>
                <w:sz w:val="20"/>
                <w:szCs w:val="20"/>
              </w:rPr>
              <w:t>t-stat</w:t>
            </w:r>
          </w:p>
        </w:tc>
        <w:tc>
          <w:tcPr>
            <w:tcW w:w="209" w:type="pct"/>
            <w:tcBorders>
              <w:top w:val="single" w:sz="18" w:space="0" w:color="auto"/>
              <w:left w:val="single" w:sz="8" w:space="0" w:color="auto"/>
              <w:bottom w:val="single" w:sz="18" w:space="0" w:color="auto"/>
            </w:tcBorders>
            <w:tcMar>
              <w:top w:w="8" w:type="dxa"/>
              <w:left w:w="28" w:type="dxa"/>
              <w:bottom w:w="8" w:type="dxa"/>
              <w:right w:w="28" w:type="dxa"/>
            </w:tcMar>
            <w:vAlign w:val="center"/>
          </w:tcPr>
          <w:p w14:paraId="02F808DE" w14:textId="77777777" w:rsidR="007A713B" w:rsidRPr="00F5353D" w:rsidRDefault="007A713B" w:rsidP="002532E0">
            <w:pPr>
              <w:spacing w:line="200" w:lineRule="auto"/>
              <w:jc w:val="center"/>
              <w:rPr>
                <w:sz w:val="20"/>
                <w:szCs w:val="20"/>
              </w:rPr>
            </w:pPr>
            <w:r w:rsidRPr="00F5353D">
              <w:rPr>
                <w:sz w:val="20"/>
                <w:szCs w:val="20"/>
              </w:rPr>
              <w:t>Coef.</w:t>
            </w:r>
          </w:p>
        </w:tc>
        <w:tc>
          <w:tcPr>
            <w:tcW w:w="209" w:type="pct"/>
            <w:tcBorders>
              <w:top w:val="single" w:sz="18" w:space="0" w:color="auto"/>
              <w:bottom w:val="single" w:sz="18" w:space="0" w:color="auto"/>
              <w:right w:val="single" w:sz="18" w:space="0" w:color="auto"/>
            </w:tcBorders>
            <w:tcMar>
              <w:top w:w="8" w:type="dxa"/>
              <w:left w:w="28" w:type="dxa"/>
              <w:bottom w:w="8" w:type="dxa"/>
              <w:right w:w="28" w:type="dxa"/>
            </w:tcMar>
            <w:vAlign w:val="center"/>
          </w:tcPr>
          <w:p w14:paraId="0078EE24" w14:textId="77777777" w:rsidR="007A713B" w:rsidRPr="00F5353D" w:rsidRDefault="007A713B" w:rsidP="002532E0">
            <w:pPr>
              <w:spacing w:line="200" w:lineRule="auto"/>
              <w:jc w:val="center"/>
              <w:rPr>
                <w:sz w:val="20"/>
                <w:szCs w:val="20"/>
              </w:rPr>
            </w:pPr>
            <w:r w:rsidRPr="00F5353D">
              <w:rPr>
                <w:sz w:val="20"/>
                <w:szCs w:val="20"/>
              </w:rPr>
              <w:t>t-stat</w:t>
            </w:r>
          </w:p>
        </w:tc>
        <w:tc>
          <w:tcPr>
            <w:tcW w:w="207" w:type="pct"/>
            <w:tcBorders>
              <w:top w:val="single" w:sz="18" w:space="0" w:color="auto"/>
              <w:left w:val="single" w:sz="18" w:space="0" w:color="auto"/>
              <w:bottom w:val="single" w:sz="18" w:space="0" w:color="auto"/>
            </w:tcBorders>
            <w:tcMar>
              <w:top w:w="8" w:type="dxa"/>
              <w:left w:w="28" w:type="dxa"/>
              <w:bottom w:w="8" w:type="dxa"/>
              <w:right w:w="28" w:type="dxa"/>
            </w:tcMar>
            <w:vAlign w:val="center"/>
          </w:tcPr>
          <w:p w14:paraId="3A54851E" w14:textId="77777777" w:rsidR="007A713B" w:rsidRPr="00F5353D" w:rsidRDefault="007A713B" w:rsidP="002532E0">
            <w:pPr>
              <w:spacing w:line="200" w:lineRule="auto"/>
              <w:jc w:val="center"/>
              <w:rPr>
                <w:sz w:val="20"/>
                <w:szCs w:val="20"/>
              </w:rPr>
            </w:pPr>
            <w:r w:rsidRPr="00F5353D">
              <w:rPr>
                <w:sz w:val="20"/>
                <w:szCs w:val="20"/>
              </w:rPr>
              <w:t>Coef.</w:t>
            </w:r>
          </w:p>
        </w:tc>
        <w:tc>
          <w:tcPr>
            <w:tcW w:w="210" w:type="pct"/>
            <w:tcBorders>
              <w:top w:val="single" w:sz="18" w:space="0" w:color="auto"/>
              <w:bottom w:val="single" w:sz="18" w:space="0" w:color="auto"/>
              <w:right w:val="single" w:sz="8" w:space="0" w:color="auto"/>
            </w:tcBorders>
            <w:tcMar>
              <w:top w:w="8" w:type="dxa"/>
              <w:left w:w="28" w:type="dxa"/>
              <w:bottom w:w="8" w:type="dxa"/>
              <w:right w:w="28" w:type="dxa"/>
            </w:tcMar>
            <w:vAlign w:val="center"/>
          </w:tcPr>
          <w:p w14:paraId="5783968D" w14:textId="77777777" w:rsidR="007A713B" w:rsidRPr="00F5353D" w:rsidRDefault="007A713B" w:rsidP="002532E0">
            <w:pPr>
              <w:spacing w:line="200" w:lineRule="auto"/>
              <w:jc w:val="center"/>
              <w:rPr>
                <w:sz w:val="20"/>
                <w:szCs w:val="20"/>
              </w:rPr>
            </w:pPr>
            <w:r w:rsidRPr="00F5353D">
              <w:rPr>
                <w:sz w:val="20"/>
                <w:szCs w:val="20"/>
              </w:rPr>
              <w:t>t-stat</w:t>
            </w:r>
          </w:p>
        </w:tc>
        <w:tc>
          <w:tcPr>
            <w:tcW w:w="208" w:type="pct"/>
            <w:tcBorders>
              <w:top w:val="single" w:sz="18" w:space="0" w:color="auto"/>
              <w:left w:val="single" w:sz="8" w:space="0" w:color="auto"/>
              <w:bottom w:val="single" w:sz="18" w:space="0" w:color="auto"/>
            </w:tcBorders>
            <w:tcMar>
              <w:top w:w="8" w:type="dxa"/>
              <w:left w:w="28" w:type="dxa"/>
              <w:bottom w:w="8" w:type="dxa"/>
              <w:right w:w="28" w:type="dxa"/>
            </w:tcMar>
            <w:vAlign w:val="center"/>
          </w:tcPr>
          <w:p w14:paraId="6E3370F8" w14:textId="77777777" w:rsidR="007A713B" w:rsidRPr="00F5353D" w:rsidRDefault="007A713B" w:rsidP="002532E0">
            <w:pPr>
              <w:spacing w:line="200" w:lineRule="auto"/>
              <w:jc w:val="center"/>
              <w:rPr>
                <w:sz w:val="20"/>
                <w:szCs w:val="20"/>
              </w:rPr>
            </w:pPr>
            <w:r w:rsidRPr="00F5353D">
              <w:rPr>
                <w:sz w:val="20"/>
                <w:szCs w:val="20"/>
              </w:rPr>
              <w:t>Coef.</w:t>
            </w:r>
          </w:p>
        </w:tc>
        <w:tc>
          <w:tcPr>
            <w:tcW w:w="245" w:type="pct"/>
            <w:tcBorders>
              <w:top w:val="single" w:sz="18" w:space="0" w:color="auto"/>
              <w:bottom w:val="single" w:sz="18" w:space="0" w:color="auto"/>
              <w:right w:val="single" w:sz="18" w:space="0" w:color="auto"/>
            </w:tcBorders>
            <w:tcMar>
              <w:top w:w="8" w:type="dxa"/>
              <w:left w:w="28" w:type="dxa"/>
              <w:bottom w:w="8" w:type="dxa"/>
              <w:right w:w="28" w:type="dxa"/>
            </w:tcMar>
            <w:vAlign w:val="center"/>
          </w:tcPr>
          <w:p w14:paraId="4681BA74" w14:textId="77777777" w:rsidR="007A713B" w:rsidRPr="00F5353D" w:rsidRDefault="007A713B" w:rsidP="002532E0">
            <w:pPr>
              <w:spacing w:line="200" w:lineRule="auto"/>
              <w:jc w:val="center"/>
              <w:rPr>
                <w:sz w:val="20"/>
                <w:szCs w:val="20"/>
              </w:rPr>
            </w:pPr>
            <w:r w:rsidRPr="00F5353D">
              <w:rPr>
                <w:sz w:val="20"/>
                <w:szCs w:val="20"/>
              </w:rPr>
              <w:t>t-stat</w:t>
            </w:r>
          </w:p>
        </w:tc>
        <w:tc>
          <w:tcPr>
            <w:tcW w:w="207" w:type="pct"/>
            <w:tcBorders>
              <w:top w:val="single" w:sz="18" w:space="0" w:color="auto"/>
              <w:left w:val="single" w:sz="18" w:space="0" w:color="auto"/>
              <w:bottom w:val="single" w:sz="18" w:space="0" w:color="auto"/>
              <w:right w:val="dotted" w:sz="4" w:space="0" w:color="auto"/>
            </w:tcBorders>
            <w:tcMar>
              <w:top w:w="8" w:type="dxa"/>
              <w:left w:w="28" w:type="dxa"/>
              <w:bottom w:w="8" w:type="dxa"/>
              <w:right w:w="28" w:type="dxa"/>
            </w:tcMar>
            <w:vAlign w:val="center"/>
          </w:tcPr>
          <w:p w14:paraId="79DABE64" w14:textId="77777777" w:rsidR="007A713B" w:rsidRPr="00F5353D" w:rsidRDefault="007A713B" w:rsidP="002532E0">
            <w:pPr>
              <w:spacing w:line="200" w:lineRule="auto"/>
              <w:jc w:val="center"/>
              <w:rPr>
                <w:sz w:val="20"/>
                <w:szCs w:val="20"/>
              </w:rPr>
            </w:pPr>
            <w:r w:rsidRPr="00F5353D">
              <w:rPr>
                <w:sz w:val="20"/>
                <w:szCs w:val="20"/>
              </w:rPr>
              <w:t>Coef.</w:t>
            </w:r>
          </w:p>
        </w:tc>
        <w:tc>
          <w:tcPr>
            <w:tcW w:w="245" w:type="pct"/>
            <w:tcBorders>
              <w:top w:val="single" w:sz="18" w:space="0" w:color="auto"/>
              <w:left w:val="dotted" w:sz="4" w:space="0" w:color="auto"/>
              <w:bottom w:val="single" w:sz="18" w:space="0" w:color="auto"/>
              <w:right w:val="single" w:sz="18" w:space="0" w:color="auto"/>
            </w:tcBorders>
            <w:tcMar>
              <w:top w:w="8" w:type="dxa"/>
              <w:left w:w="28" w:type="dxa"/>
              <w:bottom w:w="8" w:type="dxa"/>
              <w:right w:w="28" w:type="dxa"/>
            </w:tcMar>
            <w:vAlign w:val="center"/>
          </w:tcPr>
          <w:p w14:paraId="57C702C1" w14:textId="77777777" w:rsidR="007A713B" w:rsidRPr="00F5353D" w:rsidRDefault="007A713B" w:rsidP="002532E0">
            <w:pPr>
              <w:spacing w:line="200" w:lineRule="auto"/>
              <w:jc w:val="center"/>
              <w:rPr>
                <w:sz w:val="20"/>
                <w:szCs w:val="20"/>
              </w:rPr>
            </w:pPr>
            <w:r w:rsidRPr="00F5353D">
              <w:rPr>
                <w:sz w:val="20"/>
                <w:szCs w:val="20"/>
              </w:rPr>
              <w:t>t-stat</w:t>
            </w:r>
          </w:p>
        </w:tc>
        <w:tc>
          <w:tcPr>
            <w:tcW w:w="209" w:type="pct"/>
            <w:tcBorders>
              <w:top w:val="single" w:sz="18" w:space="0" w:color="auto"/>
              <w:left w:val="single" w:sz="18" w:space="0" w:color="auto"/>
              <w:bottom w:val="single" w:sz="18" w:space="0" w:color="auto"/>
            </w:tcBorders>
            <w:tcMar>
              <w:top w:w="8" w:type="dxa"/>
              <w:left w:w="28" w:type="dxa"/>
              <w:bottom w:w="8" w:type="dxa"/>
              <w:right w:w="28" w:type="dxa"/>
            </w:tcMar>
            <w:vAlign w:val="center"/>
          </w:tcPr>
          <w:p w14:paraId="08C18CD8" w14:textId="77777777" w:rsidR="007A713B" w:rsidRPr="00F5353D" w:rsidRDefault="007A713B" w:rsidP="002532E0">
            <w:pPr>
              <w:spacing w:line="200" w:lineRule="auto"/>
              <w:jc w:val="center"/>
              <w:rPr>
                <w:sz w:val="20"/>
                <w:szCs w:val="20"/>
              </w:rPr>
            </w:pPr>
            <w:r w:rsidRPr="00F5353D">
              <w:rPr>
                <w:sz w:val="20"/>
                <w:szCs w:val="20"/>
              </w:rPr>
              <w:t>Coef.</w:t>
            </w:r>
          </w:p>
        </w:tc>
        <w:tc>
          <w:tcPr>
            <w:tcW w:w="209" w:type="pct"/>
            <w:tcBorders>
              <w:top w:val="single" w:sz="18" w:space="0" w:color="auto"/>
              <w:bottom w:val="single" w:sz="18" w:space="0" w:color="auto"/>
              <w:right w:val="single" w:sz="8" w:space="0" w:color="auto"/>
            </w:tcBorders>
            <w:tcMar>
              <w:top w:w="8" w:type="dxa"/>
              <w:left w:w="28" w:type="dxa"/>
              <w:bottom w:w="8" w:type="dxa"/>
              <w:right w:w="28" w:type="dxa"/>
            </w:tcMar>
            <w:vAlign w:val="center"/>
          </w:tcPr>
          <w:p w14:paraId="0444EF13" w14:textId="77777777" w:rsidR="007A713B" w:rsidRPr="00F5353D" w:rsidRDefault="007A713B" w:rsidP="002532E0">
            <w:pPr>
              <w:spacing w:line="200" w:lineRule="auto"/>
              <w:jc w:val="center"/>
              <w:rPr>
                <w:sz w:val="20"/>
                <w:szCs w:val="20"/>
              </w:rPr>
            </w:pPr>
            <w:r w:rsidRPr="00F5353D">
              <w:rPr>
                <w:sz w:val="20"/>
                <w:szCs w:val="20"/>
              </w:rPr>
              <w:t>t-stat</w:t>
            </w:r>
          </w:p>
        </w:tc>
        <w:tc>
          <w:tcPr>
            <w:tcW w:w="208" w:type="pct"/>
            <w:tcBorders>
              <w:top w:val="single" w:sz="18" w:space="0" w:color="auto"/>
              <w:left w:val="single" w:sz="8" w:space="0" w:color="auto"/>
              <w:bottom w:val="single" w:sz="18" w:space="0" w:color="auto"/>
            </w:tcBorders>
            <w:tcMar>
              <w:top w:w="8" w:type="dxa"/>
              <w:left w:w="28" w:type="dxa"/>
              <w:bottom w:w="8" w:type="dxa"/>
              <w:right w:w="28" w:type="dxa"/>
            </w:tcMar>
            <w:vAlign w:val="center"/>
          </w:tcPr>
          <w:p w14:paraId="63944CA5" w14:textId="77777777" w:rsidR="007A713B" w:rsidRPr="00F5353D" w:rsidRDefault="007A713B" w:rsidP="002532E0">
            <w:pPr>
              <w:spacing w:line="200" w:lineRule="auto"/>
              <w:jc w:val="center"/>
              <w:rPr>
                <w:sz w:val="20"/>
                <w:szCs w:val="20"/>
              </w:rPr>
            </w:pPr>
            <w:r w:rsidRPr="00F5353D">
              <w:rPr>
                <w:sz w:val="20"/>
                <w:szCs w:val="20"/>
              </w:rPr>
              <w:t>Coef.</w:t>
            </w:r>
          </w:p>
        </w:tc>
        <w:tc>
          <w:tcPr>
            <w:tcW w:w="208" w:type="pct"/>
            <w:tcBorders>
              <w:top w:val="single" w:sz="18" w:space="0" w:color="auto"/>
              <w:bottom w:val="single" w:sz="18" w:space="0" w:color="auto"/>
            </w:tcBorders>
            <w:tcMar>
              <w:top w:w="8" w:type="dxa"/>
              <w:left w:w="28" w:type="dxa"/>
              <w:bottom w:w="8" w:type="dxa"/>
              <w:right w:w="28" w:type="dxa"/>
            </w:tcMar>
            <w:vAlign w:val="center"/>
          </w:tcPr>
          <w:p w14:paraId="4B4D3E3E" w14:textId="77777777" w:rsidR="007A713B" w:rsidRPr="00F5353D" w:rsidRDefault="007A713B" w:rsidP="002532E0">
            <w:pPr>
              <w:spacing w:line="200" w:lineRule="auto"/>
              <w:jc w:val="center"/>
              <w:rPr>
                <w:sz w:val="20"/>
                <w:szCs w:val="20"/>
              </w:rPr>
            </w:pPr>
            <w:r w:rsidRPr="00F5353D">
              <w:rPr>
                <w:sz w:val="20"/>
                <w:szCs w:val="20"/>
              </w:rPr>
              <w:t>t-stat</w:t>
            </w:r>
          </w:p>
        </w:tc>
      </w:tr>
      <w:tr w:rsidR="007A713B" w:rsidRPr="00F5353D" w14:paraId="5A63E1CA" w14:textId="77777777" w:rsidTr="007C4658">
        <w:trPr>
          <w:cantSplit/>
          <w:trHeight w:val="187"/>
        </w:trPr>
        <w:tc>
          <w:tcPr>
            <w:tcW w:w="5000" w:type="pct"/>
            <w:gridSpan w:val="20"/>
            <w:tcBorders>
              <w:top w:val="single" w:sz="18" w:space="0" w:color="auto"/>
            </w:tcBorders>
            <w:tcMar>
              <w:top w:w="8" w:type="dxa"/>
              <w:left w:w="28" w:type="dxa"/>
              <w:bottom w:w="8" w:type="dxa"/>
              <w:right w:w="28" w:type="dxa"/>
            </w:tcMar>
            <w:vAlign w:val="center"/>
          </w:tcPr>
          <w:p w14:paraId="23038DCE" w14:textId="2FAE685A" w:rsidR="007A713B" w:rsidRPr="00F5353D" w:rsidRDefault="007A713B" w:rsidP="00D63D95">
            <w:pPr>
              <w:spacing w:line="200" w:lineRule="auto"/>
              <w:rPr>
                <w:sz w:val="20"/>
                <w:szCs w:val="20"/>
              </w:rPr>
            </w:pPr>
            <w:r w:rsidRPr="00F5353D">
              <w:rPr>
                <w:b/>
                <w:bCs/>
                <w:i/>
                <w:iCs/>
                <w:sz w:val="20"/>
                <w:szCs w:val="20"/>
              </w:rPr>
              <w:t>Geographic context represented by the respondent</w:t>
            </w:r>
            <w:r w:rsidR="000D7001">
              <w:rPr>
                <w:b/>
                <w:bCs/>
                <w:i/>
                <w:iCs/>
                <w:sz w:val="20"/>
                <w:szCs w:val="20"/>
              </w:rPr>
              <w:t>’</w:t>
            </w:r>
            <w:r w:rsidRPr="00F5353D">
              <w:rPr>
                <w:b/>
                <w:bCs/>
                <w:i/>
                <w:iCs/>
                <w:sz w:val="20"/>
                <w:szCs w:val="20"/>
              </w:rPr>
              <w:t xml:space="preserve">s </w:t>
            </w:r>
            <w:r w:rsidR="005A5F22" w:rsidRPr="00F5353D">
              <w:rPr>
                <w:b/>
                <w:bCs/>
                <w:i/>
                <w:iCs/>
                <w:sz w:val="20"/>
                <w:szCs w:val="20"/>
              </w:rPr>
              <w:t>c</w:t>
            </w:r>
            <w:r w:rsidRPr="00F5353D">
              <w:rPr>
                <w:b/>
                <w:bCs/>
                <w:i/>
                <w:iCs/>
                <w:sz w:val="20"/>
                <w:szCs w:val="20"/>
              </w:rPr>
              <w:t xml:space="preserve">ensus division of residence </w:t>
            </w:r>
          </w:p>
        </w:tc>
      </w:tr>
      <w:tr w:rsidR="003D0A0E" w:rsidRPr="00F5353D" w14:paraId="08CC1BA0" w14:textId="77777777" w:rsidTr="007C4658">
        <w:trPr>
          <w:cantSplit/>
          <w:trHeight w:val="187"/>
        </w:trPr>
        <w:tc>
          <w:tcPr>
            <w:tcW w:w="860" w:type="pct"/>
            <w:gridSpan w:val="2"/>
            <w:vMerge w:val="restart"/>
            <w:tcBorders>
              <w:top w:val="single" w:sz="8" w:space="0" w:color="auto"/>
              <w:right w:val="single" w:sz="8" w:space="0" w:color="auto"/>
            </w:tcBorders>
            <w:tcMar>
              <w:top w:w="8" w:type="dxa"/>
              <w:left w:w="28" w:type="dxa"/>
              <w:bottom w:w="8" w:type="dxa"/>
              <w:right w:w="28" w:type="dxa"/>
            </w:tcMar>
            <w:vAlign w:val="center"/>
          </w:tcPr>
          <w:p w14:paraId="44D9E6F0" w14:textId="49B4F4D4" w:rsidR="003D0A0E" w:rsidRPr="00F5353D" w:rsidRDefault="003D0A0E" w:rsidP="003D0A0E">
            <w:pPr>
              <w:spacing w:line="200" w:lineRule="auto"/>
              <w:rPr>
                <w:sz w:val="20"/>
                <w:szCs w:val="20"/>
              </w:rPr>
            </w:pPr>
            <w:r w:rsidRPr="00F5353D">
              <w:rPr>
                <w:sz w:val="20"/>
                <w:szCs w:val="20"/>
              </w:rPr>
              <w:t>Census division</w:t>
            </w:r>
          </w:p>
          <w:p w14:paraId="767D55E2" w14:textId="77777777" w:rsidR="003D0A0E" w:rsidRPr="00F5353D" w:rsidRDefault="003D0A0E" w:rsidP="003D0A0E">
            <w:pPr>
              <w:spacing w:line="200" w:lineRule="auto"/>
              <w:rPr>
                <w:sz w:val="20"/>
                <w:szCs w:val="20"/>
              </w:rPr>
            </w:pPr>
            <w:r w:rsidRPr="00F5353D">
              <w:rPr>
                <w:sz w:val="20"/>
                <w:szCs w:val="20"/>
              </w:rPr>
              <w:t>(New England)</w:t>
            </w:r>
          </w:p>
        </w:tc>
        <w:tc>
          <w:tcPr>
            <w:tcW w:w="732" w:type="pct"/>
            <w:gridSpan w:val="2"/>
            <w:tcBorders>
              <w:top w:val="single" w:sz="8" w:space="0" w:color="auto"/>
              <w:left w:val="single" w:sz="8" w:space="0" w:color="auto"/>
              <w:right w:val="single" w:sz="18" w:space="0" w:color="auto"/>
            </w:tcBorders>
            <w:tcMar>
              <w:top w:w="8" w:type="dxa"/>
              <w:left w:w="28" w:type="dxa"/>
              <w:bottom w:w="8" w:type="dxa"/>
              <w:right w:w="28" w:type="dxa"/>
            </w:tcMar>
            <w:vAlign w:val="center"/>
          </w:tcPr>
          <w:p w14:paraId="4154B0FE" w14:textId="5B13BFB7" w:rsidR="003D0A0E" w:rsidRPr="00F5353D" w:rsidRDefault="003D0A0E" w:rsidP="003D0A0E">
            <w:pPr>
              <w:spacing w:line="200" w:lineRule="auto"/>
              <w:rPr>
                <w:sz w:val="20"/>
                <w:szCs w:val="20"/>
              </w:rPr>
            </w:pPr>
            <w:r w:rsidRPr="00F5353D">
              <w:rPr>
                <w:sz w:val="20"/>
                <w:szCs w:val="20"/>
              </w:rPr>
              <w:t>Middle Atlantic</w:t>
            </w:r>
          </w:p>
        </w:tc>
        <w:tc>
          <w:tcPr>
            <w:tcW w:w="209" w:type="pct"/>
            <w:tcBorders>
              <w:top w:val="single" w:sz="8" w:space="0" w:color="auto"/>
              <w:left w:val="single" w:sz="18" w:space="0" w:color="auto"/>
            </w:tcBorders>
            <w:tcMar>
              <w:top w:w="8" w:type="dxa"/>
              <w:left w:w="28" w:type="dxa"/>
              <w:bottom w:w="8" w:type="dxa"/>
              <w:right w:w="28" w:type="dxa"/>
            </w:tcMar>
            <w:vAlign w:val="center"/>
          </w:tcPr>
          <w:p w14:paraId="6916DDB5" w14:textId="66F778A5"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top w:val="single" w:sz="8" w:space="0" w:color="auto"/>
              <w:right w:val="single" w:sz="18" w:space="0" w:color="auto"/>
            </w:tcBorders>
            <w:tcMar>
              <w:top w:w="8" w:type="dxa"/>
              <w:left w:w="28" w:type="dxa"/>
              <w:bottom w:w="8" w:type="dxa"/>
              <w:right w:w="28" w:type="dxa"/>
            </w:tcMar>
            <w:vAlign w:val="center"/>
          </w:tcPr>
          <w:p w14:paraId="2D445600" w14:textId="3EDC32E6" w:rsidR="003D0A0E" w:rsidRPr="00F5353D" w:rsidRDefault="003D0A0E" w:rsidP="003D0A0E">
            <w:pPr>
              <w:tabs>
                <w:tab w:val="decimal" w:pos="360"/>
              </w:tabs>
              <w:spacing w:line="200" w:lineRule="auto"/>
              <w:rPr>
                <w:sz w:val="20"/>
                <w:szCs w:val="20"/>
              </w:rPr>
            </w:pPr>
            <w:r w:rsidRPr="00F5353D">
              <w:rPr>
                <w:sz w:val="20"/>
                <w:szCs w:val="20"/>
              </w:rPr>
              <w:t>—</w:t>
            </w:r>
          </w:p>
        </w:tc>
        <w:tc>
          <w:tcPr>
            <w:tcW w:w="211" w:type="pct"/>
            <w:tcBorders>
              <w:top w:val="single" w:sz="8" w:space="0" w:color="auto"/>
              <w:left w:val="single" w:sz="18" w:space="0" w:color="auto"/>
            </w:tcBorders>
            <w:tcMar>
              <w:top w:w="8" w:type="dxa"/>
              <w:left w:w="28" w:type="dxa"/>
              <w:bottom w:w="8" w:type="dxa"/>
              <w:right w:w="28" w:type="dxa"/>
            </w:tcMar>
            <w:vAlign w:val="bottom"/>
          </w:tcPr>
          <w:p w14:paraId="31A41165" w14:textId="18C5C378" w:rsidR="003D0A0E" w:rsidRPr="00F5353D" w:rsidRDefault="003D0A0E" w:rsidP="003D0A0E">
            <w:pPr>
              <w:tabs>
                <w:tab w:val="decimal" w:pos="360"/>
              </w:tabs>
              <w:spacing w:line="200" w:lineRule="auto"/>
              <w:rPr>
                <w:sz w:val="20"/>
                <w:szCs w:val="20"/>
              </w:rPr>
            </w:pPr>
            <w:r w:rsidRPr="00F5353D">
              <w:rPr>
                <w:color w:val="000000"/>
                <w:sz w:val="20"/>
                <w:szCs w:val="20"/>
              </w:rPr>
              <w:t>0.22</w:t>
            </w:r>
          </w:p>
        </w:tc>
        <w:tc>
          <w:tcPr>
            <w:tcW w:w="206" w:type="pct"/>
            <w:tcBorders>
              <w:top w:val="single" w:sz="8" w:space="0" w:color="auto"/>
              <w:right w:val="single" w:sz="8" w:space="0" w:color="auto"/>
            </w:tcBorders>
            <w:tcMar>
              <w:top w:w="8" w:type="dxa"/>
              <w:left w:w="28" w:type="dxa"/>
              <w:bottom w:w="8" w:type="dxa"/>
              <w:right w:w="28" w:type="dxa"/>
            </w:tcMar>
            <w:vAlign w:val="bottom"/>
          </w:tcPr>
          <w:p w14:paraId="7E3C2FE5" w14:textId="75E8980D" w:rsidR="003D0A0E" w:rsidRPr="00F5353D" w:rsidRDefault="003D0A0E" w:rsidP="003D0A0E">
            <w:pPr>
              <w:tabs>
                <w:tab w:val="decimal" w:pos="360"/>
              </w:tabs>
              <w:spacing w:line="200" w:lineRule="auto"/>
              <w:rPr>
                <w:sz w:val="20"/>
                <w:szCs w:val="20"/>
              </w:rPr>
            </w:pPr>
            <w:r w:rsidRPr="00F5353D">
              <w:rPr>
                <w:color w:val="000000"/>
                <w:sz w:val="20"/>
                <w:szCs w:val="20"/>
              </w:rPr>
              <w:t>1.95</w:t>
            </w:r>
          </w:p>
        </w:tc>
        <w:tc>
          <w:tcPr>
            <w:tcW w:w="209" w:type="pct"/>
            <w:tcBorders>
              <w:top w:val="single" w:sz="8" w:space="0" w:color="auto"/>
              <w:left w:val="single" w:sz="8" w:space="0" w:color="auto"/>
            </w:tcBorders>
            <w:tcMar>
              <w:top w:w="8" w:type="dxa"/>
              <w:left w:w="28" w:type="dxa"/>
              <w:bottom w:w="8" w:type="dxa"/>
              <w:right w:w="28" w:type="dxa"/>
            </w:tcMar>
            <w:vAlign w:val="center"/>
          </w:tcPr>
          <w:p w14:paraId="66066D15" w14:textId="724F3DFA"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top w:val="single" w:sz="8" w:space="0" w:color="auto"/>
              <w:right w:val="single" w:sz="18" w:space="0" w:color="auto"/>
            </w:tcBorders>
            <w:tcMar>
              <w:top w:w="8" w:type="dxa"/>
              <w:left w:w="28" w:type="dxa"/>
              <w:bottom w:w="8" w:type="dxa"/>
              <w:right w:w="28" w:type="dxa"/>
            </w:tcMar>
            <w:vAlign w:val="center"/>
          </w:tcPr>
          <w:p w14:paraId="1F93B970" w14:textId="65099A7A"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top w:val="single" w:sz="8" w:space="0" w:color="auto"/>
              <w:left w:val="single" w:sz="18" w:space="0" w:color="auto"/>
            </w:tcBorders>
            <w:tcMar>
              <w:top w:w="8" w:type="dxa"/>
              <w:left w:w="28" w:type="dxa"/>
              <w:bottom w:w="8" w:type="dxa"/>
              <w:right w:w="28" w:type="dxa"/>
            </w:tcMar>
            <w:vAlign w:val="center"/>
          </w:tcPr>
          <w:p w14:paraId="013DCC5E" w14:textId="3C78217F" w:rsidR="003D0A0E" w:rsidRPr="00F5353D" w:rsidRDefault="003D0A0E" w:rsidP="003D0A0E">
            <w:pPr>
              <w:tabs>
                <w:tab w:val="decimal" w:pos="360"/>
              </w:tabs>
              <w:spacing w:line="200" w:lineRule="auto"/>
              <w:rPr>
                <w:sz w:val="20"/>
                <w:szCs w:val="20"/>
              </w:rPr>
            </w:pPr>
            <w:r w:rsidRPr="00F5353D">
              <w:rPr>
                <w:sz w:val="20"/>
                <w:szCs w:val="20"/>
              </w:rPr>
              <w:t>—</w:t>
            </w:r>
          </w:p>
        </w:tc>
        <w:tc>
          <w:tcPr>
            <w:tcW w:w="210" w:type="pct"/>
            <w:tcBorders>
              <w:top w:val="single" w:sz="8" w:space="0" w:color="auto"/>
              <w:right w:val="single" w:sz="8" w:space="0" w:color="auto"/>
            </w:tcBorders>
            <w:tcMar>
              <w:top w:w="8" w:type="dxa"/>
              <w:left w:w="28" w:type="dxa"/>
              <w:bottom w:w="8" w:type="dxa"/>
              <w:right w:w="28" w:type="dxa"/>
            </w:tcMar>
            <w:vAlign w:val="center"/>
          </w:tcPr>
          <w:p w14:paraId="3AD5DAFC" w14:textId="67A9E38B"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top w:val="single" w:sz="8" w:space="0" w:color="auto"/>
              <w:left w:val="single" w:sz="8" w:space="0" w:color="auto"/>
            </w:tcBorders>
            <w:tcMar>
              <w:top w:w="8" w:type="dxa"/>
              <w:left w:w="28" w:type="dxa"/>
              <w:bottom w:w="8" w:type="dxa"/>
              <w:right w:w="28" w:type="dxa"/>
            </w:tcMar>
            <w:vAlign w:val="center"/>
          </w:tcPr>
          <w:p w14:paraId="393ECF2A" w14:textId="7B8B469A"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top w:val="single" w:sz="8" w:space="0" w:color="auto"/>
              <w:right w:val="single" w:sz="18" w:space="0" w:color="auto"/>
            </w:tcBorders>
            <w:tcMar>
              <w:top w:w="8" w:type="dxa"/>
              <w:left w:w="28" w:type="dxa"/>
              <w:bottom w:w="8" w:type="dxa"/>
              <w:right w:w="28" w:type="dxa"/>
            </w:tcMar>
            <w:vAlign w:val="center"/>
          </w:tcPr>
          <w:p w14:paraId="399E467D" w14:textId="29206C7F"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top w:val="single" w:sz="8" w:space="0" w:color="auto"/>
              <w:left w:val="single" w:sz="18" w:space="0" w:color="auto"/>
            </w:tcBorders>
            <w:tcMar>
              <w:top w:w="8" w:type="dxa"/>
              <w:left w:w="28" w:type="dxa"/>
              <w:bottom w:w="8" w:type="dxa"/>
              <w:right w:w="28" w:type="dxa"/>
            </w:tcMar>
            <w:vAlign w:val="center"/>
          </w:tcPr>
          <w:p w14:paraId="08030726" w14:textId="5BEF0300"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top w:val="single" w:sz="8" w:space="0" w:color="auto"/>
              <w:right w:val="single" w:sz="18" w:space="0" w:color="auto"/>
            </w:tcBorders>
            <w:tcMar>
              <w:top w:w="8" w:type="dxa"/>
              <w:left w:w="28" w:type="dxa"/>
              <w:bottom w:w="8" w:type="dxa"/>
              <w:right w:w="28" w:type="dxa"/>
            </w:tcMar>
            <w:vAlign w:val="center"/>
          </w:tcPr>
          <w:p w14:paraId="7735F932" w14:textId="7B53000C"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top w:val="single" w:sz="8" w:space="0" w:color="auto"/>
              <w:left w:val="single" w:sz="18" w:space="0" w:color="auto"/>
            </w:tcBorders>
            <w:tcMar>
              <w:top w:w="8" w:type="dxa"/>
              <w:left w:w="28" w:type="dxa"/>
              <w:bottom w:w="8" w:type="dxa"/>
              <w:right w:w="28" w:type="dxa"/>
            </w:tcMar>
            <w:vAlign w:val="center"/>
          </w:tcPr>
          <w:p w14:paraId="6CA5DC70" w14:textId="3A35BF86"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top w:val="single" w:sz="8" w:space="0" w:color="auto"/>
              <w:right w:val="single" w:sz="8" w:space="0" w:color="auto"/>
            </w:tcBorders>
            <w:tcMar>
              <w:top w:w="8" w:type="dxa"/>
              <w:left w:w="28" w:type="dxa"/>
              <w:bottom w:w="8" w:type="dxa"/>
              <w:right w:w="28" w:type="dxa"/>
            </w:tcMar>
            <w:vAlign w:val="center"/>
          </w:tcPr>
          <w:p w14:paraId="32069678" w14:textId="3B015890"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top w:val="single" w:sz="8" w:space="0" w:color="auto"/>
              <w:left w:val="single" w:sz="8" w:space="0" w:color="auto"/>
            </w:tcBorders>
            <w:tcMar>
              <w:top w:w="8" w:type="dxa"/>
              <w:left w:w="28" w:type="dxa"/>
              <w:bottom w:w="8" w:type="dxa"/>
              <w:right w:w="28" w:type="dxa"/>
            </w:tcMar>
            <w:vAlign w:val="bottom"/>
          </w:tcPr>
          <w:p w14:paraId="41C75515" w14:textId="19AC734D" w:rsidR="003D0A0E" w:rsidRPr="00F5353D" w:rsidRDefault="003D0A0E" w:rsidP="003D0A0E">
            <w:pPr>
              <w:tabs>
                <w:tab w:val="decimal" w:pos="360"/>
              </w:tabs>
              <w:spacing w:line="200" w:lineRule="auto"/>
              <w:rPr>
                <w:sz w:val="20"/>
                <w:szCs w:val="20"/>
              </w:rPr>
            </w:pPr>
            <w:r w:rsidRPr="00F5353D">
              <w:rPr>
                <w:color w:val="000000"/>
                <w:sz w:val="20"/>
                <w:szCs w:val="20"/>
              </w:rPr>
              <w:t>0.15</w:t>
            </w:r>
          </w:p>
        </w:tc>
        <w:tc>
          <w:tcPr>
            <w:tcW w:w="208" w:type="pct"/>
            <w:tcBorders>
              <w:top w:val="single" w:sz="8" w:space="0" w:color="auto"/>
            </w:tcBorders>
            <w:tcMar>
              <w:top w:w="8" w:type="dxa"/>
              <w:left w:w="28" w:type="dxa"/>
              <w:bottom w:w="8" w:type="dxa"/>
              <w:right w:w="28" w:type="dxa"/>
            </w:tcMar>
            <w:vAlign w:val="bottom"/>
          </w:tcPr>
          <w:p w14:paraId="1717D827" w14:textId="07D00739" w:rsidR="003D0A0E" w:rsidRPr="00F5353D" w:rsidRDefault="003D0A0E" w:rsidP="003D0A0E">
            <w:pPr>
              <w:tabs>
                <w:tab w:val="decimal" w:pos="360"/>
              </w:tabs>
              <w:spacing w:line="200" w:lineRule="auto"/>
              <w:rPr>
                <w:sz w:val="20"/>
                <w:szCs w:val="20"/>
              </w:rPr>
            </w:pPr>
            <w:r w:rsidRPr="00F5353D">
              <w:rPr>
                <w:color w:val="000000"/>
                <w:sz w:val="20"/>
                <w:szCs w:val="20"/>
              </w:rPr>
              <w:t>1.30</w:t>
            </w:r>
          </w:p>
        </w:tc>
      </w:tr>
      <w:tr w:rsidR="003D0A0E" w:rsidRPr="00F5353D" w14:paraId="16FF9A8C" w14:textId="77777777" w:rsidTr="007C4658">
        <w:trPr>
          <w:cantSplit/>
          <w:trHeight w:val="187"/>
        </w:trPr>
        <w:tc>
          <w:tcPr>
            <w:tcW w:w="860" w:type="pct"/>
            <w:gridSpan w:val="2"/>
            <w:vMerge/>
            <w:tcBorders>
              <w:right w:val="single" w:sz="8" w:space="0" w:color="auto"/>
            </w:tcBorders>
            <w:tcMar>
              <w:top w:w="8" w:type="dxa"/>
              <w:left w:w="28" w:type="dxa"/>
              <w:bottom w:w="8" w:type="dxa"/>
              <w:right w:w="28" w:type="dxa"/>
            </w:tcMar>
            <w:vAlign w:val="center"/>
          </w:tcPr>
          <w:p w14:paraId="2065D8EC" w14:textId="77777777" w:rsidR="003D0A0E" w:rsidRPr="00F5353D" w:rsidRDefault="003D0A0E" w:rsidP="003D0A0E">
            <w:pPr>
              <w:spacing w:line="200" w:lineRule="auto"/>
              <w:rPr>
                <w:sz w:val="20"/>
                <w:szCs w:val="20"/>
              </w:rPr>
            </w:pPr>
          </w:p>
        </w:tc>
        <w:tc>
          <w:tcPr>
            <w:tcW w:w="732" w:type="pct"/>
            <w:gridSpan w:val="2"/>
            <w:tcBorders>
              <w:left w:val="single" w:sz="8" w:space="0" w:color="auto"/>
              <w:right w:val="single" w:sz="18" w:space="0" w:color="auto"/>
            </w:tcBorders>
            <w:tcMar>
              <w:top w:w="8" w:type="dxa"/>
              <w:left w:w="28" w:type="dxa"/>
              <w:bottom w:w="8" w:type="dxa"/>
              <w:right w:w="28" w:type="dxa"/>
            </w:tcMar>
            <w:vAlign w:val="center"/>
          </w:tcPr>
          <w:p w14:paraId="7E3F9831" w14:textId="3C2DC22E" w:rsidR="003D0A0E" w:rsidRPr="00F5353D" w:rsidRDefault="003D0A0E" w:rsidP="003D0A0E">
            <w:pPr>
              <w:spacing w:line="200" w:lineRule="auto"/>
              <w:rPr>
                <w:sz w:val="20"/>
                <w:szCs w:val="20"/>
              </w:rPr>
            </w:pPr>
            <w:r w:rsidRPr="00F5353D">
              <w:rPr>
                <w:sz w:val="20"/>
                <w:szCs w:val="20"/>
              </w:rPr>
              <w:t>East North Central</w:t>
            </w:r>
          </w:p>
        </w:tc>
        <w:tc>
          <w:tcPr>
            <w:tcW w:w="209" w:type="pct"/>
            <w:tcBorders>
              <w:left w:val="single" w:sz="18" w:space="0" w:color="auto"/>
            </w:tcBorders>
            <w:tcMar>
              <w:top w:w="8" w:type="dxa"/>
              <w:left w:w="28" w:type="dxa"/>
              <w:bottom w:w="8" w:type="dxa"/>
              <w:right w:w="28" w:type="dxa"/>
            </w:tcMar>
            <w:vAlign w:val="center"/>
          </w:tcPr>
          <w:p w14:paraId="68BE946C" w14:textId="20997D0B"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right w:val="single" w:sz="18" w:space="0" w:color="auto"/>
            </w:tcBorders>
            <w:tcMar>
              <w:top w:w="8" w:type="dxa"/>
              <w:left w:w="28" w:type="dxa"/>
              <w:bottom w:w="8" w:type="dxa"/>
              <w:right w:w="28" w:type="dxa"/>
            </w:tcMar>
            <w:vAlign w:val="center"/>
          </w:tcPr>
          <w:p w14:paraId="7250E08D" w14:textId="3B5EE085" w:rsidR="003D0A0E" w:rsidRPr="00F5353D" w:rsidRDefault="003D0A0E" w:rsidP="003D0A0E">
            <w:pPr>
              <w:tabs>
                <w:tab w:val="decimal" w:pos="360"/>
              </w:tabs>
              <w:spacing w:line="200" w:lineRule="auto"/>
              <w:rPr>
                <w:sz w:val="20"/>
                <w:szCs w:val="20"/>
              </w:rPr>
            </w:pPr>
            <w:r w:rsidRPr="00F5353D">
              <w:rPr>
                <w:sz w:val="20"/>
                <w:szCs w:val="20"/>
              </w:rPr>
              <w:t>—</w:t>
            </w:r>
          </w:p>
        </w:tc>
        <w:tc>
          <w:tcPr>
            <w:tcW w:w="211" w:type="pct"/>
            <w:tcBorders>
              <w:left w:val="single" w:sz="18" w:space="0" w:color="auto"/>
            </w:tcBorders>
            <w:tcMar>
              <w:top w:w="8" w:type="dxa"/>
              <w:left w:w="28" w:type="dxa"/>
              <w:bottom w:w="8" w:type="dxa"/>
              <w:right w:w="28" w:type="dxa"/>
            </w:tcMar>
            <w:vAlign w:val="bottom"/>
          </w:tcPr>
          <w:p w14:paraId="23C381F4" w14:textId="101A6E10" w:rsidR="003D0A0E" w:rsidRPr="00F5353D" w:rsidRDefault="003D0A0E" w:rsidP="003D0A0E">
            <w:pPr>
              <w:tabs>
                <w:tab w:val="decimal" w:pos="360"/>
              </w:tabs>
              <w:spacing w:line="200" w:lineRule="auto"/>
              <w:rPr>
                <w:color w:val="000000"/>
                <w:sz w:val="20"/>
                <w:szCs w:val="20"/>
              </w:rPr>
            </w:pPr>
            <w:r w:rsidRPr="00F5353D">
              <w:rPr>
                <w:color w:val="000000"/>
                <w:sz w:val="20"/>
                <w:szCs w:val="20"/>
              </w:rPr>
              <w:t>-0.11</w:t>
            </w:r>
          </w:p>
        </w:tc>
        <w:tc>
          <w:tcPr>
            <w:tcW w:w="206" w:type="pct"/>
            <w:tcBorders>
              <w:right w:val="single" w:sz="8" w:space="0" w:color="auto"/>
            </w:tcBorders>
            <w:tcMar>
              <w:top w:w="8" w:type="dxa"/>
              <w:left w:w="28" w:type="dxa"/>
              <w:bottom w:w="8" w:type="dxa"/>
              <w:right w:w="28" w:type="dxa"/>
            </w:tcMar>
            <w:vAlign w:val="bottom"/>
          </w:tcPr>
          <w:p w14:paraId="1E5D2384" w14:textId="60FD270A" w:rsidR="003D0A0E" w:rsidRPr="00F5353D" w:rsidRDefault="003D0A0E" w:rsidP="003D0A0E">
            <w:pPr>
              <w:tabs>
                <w:tab w:val="decimal" w:pos="360"/>
              </w:tabs>
              <w:spacing w:line="200" w:lineRule="auto"/>
              <w:rPr>
                <w:color w:val="000000"/>
                <w:sz w:val="20"/>
                <w:szCs w:val="20"/>
              </w:rPr>
            </w:pPr>
            <w:r w:rsidRPr="00F5353D">
              <w:rPr>
                <w:color w:val="000000"/>
                <w:sz w:val="20"/>
                <w:szCs w:val="20"/>
              </w:rPr>
              <w:t>-1.01</w:t>
            </w:r>
          </w:p>
        </w:tc>
        <w:tc>
          <w:tcPr>
            <w:tcW w:w="209" w:type="pct"/>
            <w:tcBorders>
              <w:left w:val="single" w:sz="8" w:space="0" w:color="auto"/>
            </w:tcBorders>
            <w:tcMar>
              <w:top w:w="8" w:type="dxa"/>
              <w:left w:w="28" w:type="dxa"/>
              <w:bottom w:w="8" w:type="dxa"/>
              <w:right w:w="28" w:type="dxa"/>
            </w:tcMar>
            <w:vAlign w:val="center"/>
          </w:tcPr>
          <w:p w14:paraId="7628496E" w14:textId="0185B956"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right w:val="single" w:sz="18" w:space="0" w:color="auto"/>
            </w:tcBorders>
            <w:tcMar>
              <w:top w:w="8" w:type="dxa"/>
              <w:left w:w="28" w:type="dxa"/>
              <w:bottom w:w="8" w:type="dxa"/>
              <w:right w:w="28" w:type="dxa"/>
            </w:tcMar>
            <w:vAlign w:val="center"/>
          </w:tcPr>
          <w:p w14:paraId="0295EFEF" w14:textId="0223BBEA"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left w:val="single" w:sz="18" w:space="0" w:color="auto"/>
            </w:tcBorders>
            <w:tcMar>
              <w:top w:w="8" w:type="dxa"/>
              <w:left w:w="28" w:type="dxa"/>
              <w:bottom w:w="8" w:type="dxa"/>
              <w:right w:w="28" w:type="dxa"/>
            </w:tcMar>
            <w:vAlign w:val="center"/>
          </w:tcPr>
          <w:p w14:paraId="4D2257C0" w14:textId="2A83008F" w:rsidR="003D0A0E" w:rsidRPr="00F5353D" w:rsidRDefault="003D0A0E" w:rsidP="003D0A0E">
            <w:pPr>
              <w:tabs>
                <w:tab w:val="decimal" w:pos="360"/>
              </w:tabs>
              <w:spacing w:line="200" w:lineRule="auto"/>
              <w:rPr>
                <w:sz w:val="20"/>
                <w:szCs w:val="20"/>
              </w:rPr>
            </w:pPr>
            <w:r w:rsidRPr="00F5353D">
              <w:rPr>
                <w:sz w:val="20"/>
                <w:szCs w:val="20"/>
              </w:rPr>
              <w:t>—</w:t>
            </w:r>
          </w:p>
        </w:tc>
        <w:tc>
          <w:tcPr>
            <w:tcW w:w="210" w:type="pct"/>
            <w:tcBorders>
              <w:right w:val="single" w:sz="8" w:space="0" w:color="auto"/>
            </w:tcBorders>
            <w:tcMar>
              <w:top w:w="8" w:type="dxa"/>
              <w:left w:w="28" w:type="dxa"/>
              <w:bottom w:w="8" w:type="dxa"/>
              <w:right w:w="28" w:type="dxa"/>
            </w:tcMar>
            <w:vAlign w:val="center"/>
          </w:tcPr>
          <w:p w14:paraId="398D35DF" w14:textId="7EB92AFA"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left w:val="single" w:sz="8" w:space="0" w:color="auto"/>
            </w:tcBorders>
            <w:tcMar>
              <w:top w:w="8" w:type="dxa"/>
              <w:left w:w="28" w:type="dxa"/>
              <w:bottom w:w="8" w:type="dxa"/>
              <w:right w:w="28" w:type="dxa"/>
            </w:tcMar>
            <w:vAlign w:val="center"/>
          </w:tcPr>
          <w:p w14:paraId="795883AD" w14:textId="7F426C83"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right w:val="single" w:sz="18" w:space="0" w:color="auto"/>
            </w:tcBorders>
            <w:tcMar>
              <w:top w:w="8" w:type="dxa"/>
              <w:left w:w="28" w:type="dxa"/>
              <w:bottom w:w="8" w:type="dxa"/>
              <w:right w:w="28" w:type="dxa"/>
            </w:tcMar>
            <w:vAlign w:val="center"/>
          </w:tcPr>
          <w:p w14:paraId="53C0719E" w14:textId="3249EC2E"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left w:val="single" w:sz="18" w:space="0" w:color="auto"/>
            </w:tcBorders>
            <w:tcMar>
              <w:top w:w="8" w:type="dxa"/>
              <w:left w:w="28" w:type="dxa"/>
              <w:bottom w:w="8" w:type="dxa"/>
              <w:right w:w="28" w:type="dxa"/>
            </w:tcMar>
            <w:vAlign w:val="center"/>
          </w:tcPr>
          <w:p w14:paraId="18D39849" w14:textId="75882464"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right w:val="single" w:sz="18" w:space="0" w:color="auto"/>
            </w:tcBorders>
            <w:tcMar>
              <w:top w:w="8" w:type="dxa"/>
              <w:left w:w="28" w:type="dxa"/>
              <w:bottom w:w="8" w:type="dxa"/>
              <w:right w:w="28" w:type="dxa"/>
            </w:tcMar>
            <w:vAlign w:val="center"/>
          </w:tcPr>
          <w:p w14:paraId="0885F2DA" w14:textId="02E90C6A"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left w:val="single" w:sz="18" w:space="0" w:color="auto"/>
            </w:tcBorders>
            <w:tcMar>
              <w:top w:w="8" w:type="dxa"/>
              <w:left w:w="28" w:type="dxa"/>
              <w:bottom w:w="8" w:type="dxa"/>
              <w:right w:w="28" w:type="dxa"/>
            </w:tcMar>
            <w:vAlign w:val="center"/>
          </w:tcPr>
          <w:p w14:paraId="15C24FDE" w14:textId="710F106E"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5A7EB3BD" w14:textId="69F6372E"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left w:val="single" w:sz="8" w:space="0" w:color="auto"/>
            </w:tcBorders>
            <w:tcMar>
              <w:top w:w="8" w:type="dxa"/>
              <w:left w:w="28" w:type="dxa"/>
              <w:bottom w:w="8" w:type="dxa"/>
              <w:right w:w="28" w:type="dxa"/>
            </w:tcMar>
            <w:vAlign w:val="center"/>
          </w:tcPr>
          <w:p w14:paraId="49C24D6D" w14:textId="64EA3989" w:rsidR="003D0A0E" w:rsidRPr="00F5353D" w:rsidRDefault="003D0A0E" w:rsidP="003D0A0E">
            <w:pPr>
              <w:tabs>
                <w:tab w:val="decimal" w:pos="360"/>
              </w:tabs>
              <w:spacing w:line="200" w:lineRule="auto"/>
              <w:rPr>
                <w:color w:val="000000"/>
                <w:sz w:val="20"/>
                <w:szCs w:val="20"/>
              </w:rPr>
            </w:pPr>
            <w:r w:rsidRPr="00F5353D">
              <w:rPr>
                <w:sz w:val="20"/>
                <w:szCs w:val="20"/>
              </w:rPr>
              <w:t>—</w:t>
            </w:r>
          </w:p>
        </w:tc>
        <w:tc>
          <w:tcPr>
            <w:tcW w:w="208" w:type="pct"/>
            <w:tcMar>
              <w:top w:w="8" w:type="dxa"/>
              <w:left w:w="28" w:type="dxa"/>
              <w:bottom w:w="8" w:type="dxa"/>
              <w:right w:w="28" w:type="dxa"/>
            </w:tcMar>
            <w:vAlign w:val="center"/>
          </w:tcPr>
          <w:p w14:paraId="3E211A6D" w14:textId="08AE23E0" w:rsidR="003D0A0E" w:rsidRPr="00F5353D" w:rsidRDefault="003D0A0E" w:rsidP="003D0A0E">
            <w:pPr>
              <w:tabs>
                <w:tab w:val="decimal" w:pos="360"/>
              </w:tabs>
              <w:spacing w:line="200" w:lineRule="auto"/>
              <w:rPr>
                <w:color w:val="000000"/>
                <w:sz w:val="20"/>
                <w:szCs w:val="20"/>
              </w:rPr>
            </w:pPr>
            <w:r w:rsidRPr="00F5353D">
              <w:rPr>
                <w:sz w:val="20"/>
                <w:szCs w:val="20"/>
              </w:rPr>
              <w:t>—</w:t>
            </w:r>
          </w:p>
        </w:tc>
      </w:tr>
      <w:tr w:rsidR="003D0A0E" w:rsidRPr="00F5353D" w14:paraId="2EC0D9AC" w14:textId="77777777" w:rsidTr="007C4658">
        <w:trPr>
          <w:cantSplit/>
          <w:trHeight w:val="187"/>
        </w:trPr>
        <w:tc>
          <w:tcPr>
            <w:tcW w:w="860" w:type="pct"/>
            <w:gridSpan w:val="2"/>
            <w:vMerge/>
            <w:tcBorders>
              <w:right w:val="single" w:sz="8" w:space="0" w:color="auto"/>
            </w:tcBorders>
            <w:tcMar>
              <w:top w:w="8" w:type="dxa"/>
              <w:left w:w="28" w:type="dxa"/>
              <w:bottom w:w="8" w:type="dxa"/>
              <w:right w:w="28" w:type="dxa"/>
            </w:tcMar>
            <w:vAlign w:val="center"/>
          </w:tcPr>
          <w:p w14:paraId="194C793B" w14:textId="77777777" w:rsidR="003D0A0E" w:rsidRPr="00F5353D" w:rsidRDefault="003D0A0E" w:rsidP="003D0A0E">
            <w:pPr>
              <w:spacing w:line="200" w:lineRule="auto"/>
              <w:rPr>
                <w:sz w:val="20"/>
                <w:szCs w:val="20"/>
              </w:rPr>
            </w:pPr>
          </w:p>
        </w:tc>
        <w:tc>
          <w:tcPr>
            <w:tcW w:w="732" w:type="pct"/>
            <w:gridSpan w:val="2"/>
            <w:tcBorders>
              <w:left w:val="single" w:sz="8" w:space="0" w:color="auto"/>
              <w:right w:val="single" w:sz="18" w:space="0" w:color="auto"/>
            </w:tcBorders>
            <w:tcMar>
              <w:top w:w="8" w:type="dxa"/>
              <w:left w:w="28" w:type="dxa"/>
              <w:bottom w:w="8" w:type="dxa"/>
              <w:right w:w="28" w:type="dxa"/>
            </w:tcMar>
            <w:vAlign w:val="center"/>
          </w:tcPr>
          <w:p w14:paraId="25D39770" w14:textId="18D2B59B" w:rsidR="003D0A0E" w:rsidRPr="00F5353D" w:rsidRDefault="003D0A0E" w:rsidP="003D0A0E">
            <w:pPr>
              <w:spacing w:line="200" w:lineRule="auto"/>
              <w:rPr>
                <w:sz w:val="20"/>
                <w:szCs w:val="20"/>
              </w:rPr>
            </w:pPr>
            <w:r w:rsidRPr="00F5353D">
              <w:rPr>
                <w:sz w:val="20"/>
                <w:szCs w:val="20"/>
              </w:rPr>
              <w:t>West North Central</w:t>
            </w:r>
          </w:p>
        </w:tc>
        <w:tc>
          <w:tcPr>
            <w:tcW w:w="209" w:type="pct"/>
            <w:tcBorders>
              <w:left w:val="single" w:sz="18" w:space="0" w:color="auto"/>
            </w:tcBorders>
            <w:tcMar>
              <w:top w:w="8" w:type="dxa"/>
              <w:left w:w="28" w:type="dxa"/>
              <w:bottom w:w="8" w:type="dxa"/>
              <w:right w:w="28" w:type="dxa"/>
            </w:tcMar>
            <w:vAlign w:val="bottom"/>
          </w:tcPr>
          <w:p w14:paraId="416576B5" w14:textId="05213EE7" w:rsidR="003D0A0E" w:rsidRPr="00F5353D" w:rsidRDefault="003D0A0E" w:rsidP="003D0A0E">
            <w:pPr>
              <w:tabs>
                <w:tab w:val="decimal" w:pos="360"/>
              </w:tabs>
              <w:spacing w:line="200" w:lineRule="auto"/>
              <w:rPr>
                <w:sz w:val="20"/>
                <w:szCs w:val="20"/>
              </w:rPr>
            </w:pPr>
            <w:r w:rsidRPr="00F5353D">
              <w:rPr>
                <w:color w:val="000000"/>
                <w:sz w:val="20"/>
                <w:szCs w:val="20"/>
              </w:rPr>
              <w:t>-0.11</w:t>
            </w:r>
          </w:p>
        </w:tc>
        <w:tc>
          <w:tcPr>
            <w:tcW w:w="208" w:type="pct"/>
            <w:tcBorders>
              <w:right w:val="single" w:sz="18" w:space="0" w:color="auto"/>
            </w:tcBorders>
            <w:tcMar>
              <w:top w:w="8" w:type="dxa"/>
              <w:left w:w="28" w:type="dxa"/>
              <w:bottom w:w="8" w:type="dxa"/>
              <w:right w:w="28" w:type="dxa"/>
            </w:tcMar>
            <w:vAlign w:val="bottom"/>
          </w:tcPr>
          <w:p w14:paraId="6C87E17B" w14:textId="6776D119" w:rsidR="003D0A0E" w:rsidRPr="00F5353D" w:rsidRDefault="003D0A0E" w:rsidP="003D0A0E">
            <w:pPr>
              <w:tabs>
                <w:tab w:val="decimal" w:pos="360"/>
              </w:tabs>
              <w:spacing w:line="200" w:lineRule="auto"/>
              <w:rPr>
                <w:sz w:val="20"/>
                <w:szCs w:val="20"/>
              </w:rPr>
            </w:pPr>
            <w:r w:rsidRPr="00F5353D">
              <w:rPr>
                <w:color w:val="000000"/>
                <w:sz w:val="20"/>
                <w:szCs w:val="20"/>
              </w:rPr>
              <w:t>-1.68</w:t>
            </w:r>
          </w:p>
        </w:tc>
        <w:tc>
          <w:tcPr>
            <w:tcW w:w="211" w:type="pct"/>
            <w:tcBorders>
              <w:left w:val="single" w:sz="18" w:space="0" w:color="auto"/>
            </w:tcBorders>
            <w:tcMar>
              <w:top w:w="8" w:type="dxa"/>
              <w:left w:w="28" w:type="dxa"/>
              <w:bottom w:w="8" w:type="dxa"/>
              <w:right w:w="28" w:type="dxa"/>
            </w:tcMar>
            <w:vAlign w:val="center"/>
          </w:tcPr>
          <w:p w14:paraId="33E222D2" w14:textId="7E28E627" w:rsidR="003D0A0E" w:rsidRPr="00F5353D" w:rsidRDefault="003D0A0E" w:rsidP="003D0A0E">
            <w:pPr>
              <w:tabs>
                <w:tab w:val="decimal" w:pos="360"/>
              </w:tabs>
              <w:spacing w:line="200" w:lineRule="auto"/>
              <w:rPr>
                <w:sz w:val="20"/>
                <w:szCs w:val="20"/>
              </w:rPr>
            </w:pPr>
            <w:r w:rsidRPr="00F5353D">
              <w:rPr>
                <w:sz w:val="20"/>
                <w:szCs w:val="20"/>
              </w:rPr>
              <w:t>—</w:t>
            </w:r>
          </w:p>
        </w:tc>
        <w:tc>
          <w:tcPr>
            <w:tcW w:w="206" w:type="pct"/>
            <w:tcBorders>
              <w:right w:val="single" w:sz="8" w:space="0" w:color="auto"/>
            </w:tcBorders>
            <w:tcMar>
              <w:top w:w="8" w:type="dxa"/>
              <w:left w:w="28" w:type="dxa"/>
              <w:bottom w:w="8" w:type="dxa"/>
              <w:right w:w="28" w:type="dxa"/>
            </w:tcMar>
            <w:vAlign w:val="center"/>
          </w:tcPr>
          <w:p w14:paraId="055EA4F0" w14:textId="02125D15"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left w:val="single" w:sz="8" w:space="0" w:color="auto"/>
            </w:tcBorders>
            <w:tcMar>
              <w:top w:w="8" w:type="dxa"/>
              <w:left w:w="28" w:type="dxa"/>
              <w:bottom w:w="8" w:type="dxa"/>
              <w:right w:w="28" w:type="dxa"/>
            </w:tcMar>
            <w:vAlign w:val="center"/>
          </w:tcPr>
          <w:p w14:paraId="1AEA4C14" w14:textId="2FEC9ECE"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right w:val="single" w:sz="18" w:space="0" w:color="auto"/>
            </w:tcBorders>
            <w:tcMar>
              <w:top w:w="8" w:type="dxa"/>
              <w:left w:w="28" w:type="dxa"/>
              <w:bottom w:w="8" w:type="dxa"/>
              <w:right w:w="28" w:type="dxa"/>
            </w:tcMar>
            <w:vAlign w:val="center"/>
          </w:tcPr>
          <w:p w14:paraId="29755A48" w14:textId="23951CEA"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left w:val="single" w:sz="18" w:space="0" w:color="auto"/>
            </w:tcBorders>
            <w:tcMar>
              <w:top w:w="8" w:type="dxa"/>
              <w:left w:w="28" w:type="dxa"/>
              <w:bottom w:w="8" w:type="dxa"/>
              <w:right w:w="28" w:type="dxa"/>
            </w:tcMar>
            <w:vAlign w:val="center"/>
          </w:tcPr>
          <w:p w14:paraId="16154CC8" w14:textId="20B2A3C8" w:rsidR="003D0A0E" w:rsidRPr="00F5353D" w:rsidRDefault="003D0A0E" w:rsidP="003D0A0E">
            <w:pPr>
              <w:tabs>
                <w:tab w:val="decimal" w:pos="360"/>
              </w:tabs>
              <w:spacing w:line="200" w:lineRule="auto"/>
              <w:rPr>
                <w:sz w:val="20"/>
                <w:szCs w:val="20"/>
              </w:rPr>
            </w:pPr>
            <w:r w:rsidRPr="00F5353D">
              <w:rPr>
                <w:sz w:val="20"/>
                <w:szCs w:val="20"/>
              </w:rPr>
              <w:t>—</w:t>
            </w:r>
          </w:p>
        </w:tc>
        <w:tc>
          <w:tcPr>
            <w:tcW w:w="210" w:type="pct"/>
            <w:tcBorders>
              <w:right w:val="single" w:sz="8" w:space="0" w:color="auto"/>
            </w:tcBorders>
            <w:tcMar>
              <w:top w:w="8" w:type="dxa"/>
              <w:left w:w="28" w:type="dxa"/>
              <w:bottom w:w="8" w:type="dxa"/>
              <w:right w:w="28" w:type="dxa"/>
            </w:tcMar>
            <w:vAlign w:val="center"/>
          </w:tcPr>
          <w:p w14:paraId="4A2F5937" w14:textId="0042018F"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left w:val="single" w:sz="8" w:space="0" w:color="auto"/>
            </w:tcBorders>
            <w:tcMar>
              <w:top w:w="8" w:type="dxa"/>
              <w:left w:w="28" w:type="dxa"/>
              <w:bottom w:w="8" w:type="dxa"/>
              <w:right w:w="28" w:type="dxa"/>
            </w:tcMar>
            <w:vAlign w:val="center"/>
          </w:tcPr>
          <w:p w14:paraId="157E748A" w14:textId="58F67C0C"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right w:val="single" w:sz="18" w:space="0" w:color="auto"/>
            </w:tcBorders>
            <w:tcMar>
              <w:top w:w="8" w:type="dxa"/>
              <w:left w:w="28" w:type="dxa"/>
              <w:bottom w:w="8" w:type="dxa"/>
              <w:right w:w="28" w:type="dxa"/>
            </w:tcMar>
            <w:vAlign w:val="center"/>
          </w:tcPr>
          <w:p w14:paraId="2F4998A4" w14:textId="0301C250"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left w:val="single" w:sz="18" w:space="0" w:color="auto"/>
            </w:tcBorders>
            <w:tcMar>
              <w:top w:w="8" w:type="dxa"/>
              <w:left w:w="28" w:type="dxa"/>
              <w:bottom w:w="8" w:type="dxa"/>
              <w:right w:w="28" w:type="dxa"/>
            </w:tcMar>
            <w:vAlign w:val="center"/>
          </w:tcPr>
          <w:p w14:paraId="3571A27F" w14:textId="418E0145"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right w:val="single" w:sz="18" w:space="0" w:color="auto"/>
            </w:tcBorders>
            <w:tcMar>
              <w:top w:w="8" w:type="dxa"/>
              <w:left w:w="28" w:type="dxa"/>
              <w:bottom w:w="8" w:type="dxa"/>
              <w:right w:w="28" w:type="dxa"/>
            </w:tcMar>
            <w:vAlign w:val="center"/>
          </w:tcPr>
          <w:p w14:paraId="6373B096" w14:textId="7FD387D6"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left w:val="single" w:sz="18" w:space="0" w:color="auto"/>
            </w:tcBorders>
            <w:tcMar>
              <w:top w:w="8" w:type="dxa"/>
              <w:left w:w="28" w:type="dxa"/>
              <w:bottom w:w="8" w:type="dxa"/>
              <w:right w:w="28" w:type="dxa"/>
            </w:tcMar>
            <w:vAlign w:val="center"/>
          </w:tcPr>
          <w:p w14:paraId="684A4B26" w14:textId="25AFDD38"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0531D6C9" w14:textId="66C66A55"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left w:val="single" w:sz="8" w:space="0" w:color="auto"/>
            </w:tcBorders>
            <w:tcMar>
              <w:top w:w="8" w:type="dxa"/>
              <w:left w:w="28" w:type="dxa"/>
              <w:bottom w:w="8" w:type="dxa"/>
              <w:right w:w="28" w:type="dxa"/>
            </w:tcMar>
            <w:vAlign w:val="center"/>
          </w:tcPr>
          <w:p w14:paraId="640998A9" w14:textId="1BA2F975"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Mar>
              <w:top w:w="8" w:type="dxa"/>
              <w:left w:w="28" w:type="dxa"/>
              <w:bottom w:w="8" w:type="dxa"/>
              <w:right w:w="28" w:type="dxa"/>
            </w:tcMar>
            <w:vAlign w:val="center"/>
          </w:tcPr>
          <w:p w14:paraId="5F327BB6" w14:textId="5648B001" w:rsidR="003D0A0E" w:rsidRPr="00F5353D" w:rsidRDefault="003D0A0E" w:rsidP="003D0A0E">
            <w:pPr>
              <w:tabs>
                <w:tab w:val="decimal" w:pos="360"/>
              </w:tabs>
              <w:spacing w:line="200" w:lineRule="auto"/>
              <w:rPr>
                <w:sz w:val="20"/>
                <w:szCs w:val="20"/>
              </w:rPr>
            </w:pPr>
            <w:r w:rsidRPr="00F5353D">
              <w:rPr>
                <w:sz w:val="20"/>
                <w:szCs w:val="20"/>
              </w:rPr>
              <w:t>—</w:t>
            </w:r>
          </w:p>
        </w:tc>
      </w:tr>
      <w:tr w:rsidR="003D0A0E" w:rsidRPr="00F5353D" w14:paraId="6BD556F4" w14:textId="77777777" w:rsidTr="007C4658">
        <w:trPr>
          <w:cantSplit/>
          <w:trHeight w:val="187"/>
        </w:trPr>
        <w:tc>
          <w:tcPr>
            <w:tcW w:w="860" w:type="pct"/>
            <w:gridSpan w:val="2"/>
            <w:vMerge/>
            <w:tcBorders>
              <w:right w:val="single" w:sz="8" w:space="0" w:color="auto"/>
            </w:tcBorders>
            <w:tcMar>
              <w:top w:w="8" w:type="dxa"/>
              <w:left w:w="28" w:type="dxa"/>
              <w:bottom w:w="8" w:type="dxa"/>
              <w:right w:w="28" w:type="dxa"/>
            </w:tcMar>
            <w:vAlign w:val="center"/>
          </w:tcPr>
          <w:p w14:paraId="376B6C2F" w14:textId="77777777" w:rsidR="003D0A0E" w:rsidRPr="00F5353D" w:rsidRDefault="003D0A0E" w:rsidP="003D0A0E">
            <w:pPr>
              <w:spacing w:line="200" w:lineRule="auto"/>
              <w:rPr>
                <w:sz w:val="20"/>
                <w:szCs w:val="20"/>
              </w:rPr>
            </w:pPr>
          </w:p>
        </w:tc>
        <w:tc>
          <w:tcPr>
            <w:tcW w:w="732" w:type="pct"/>
            <w:gridSpan w:val="2"/>
            <w:tcBorders>
              <w:left w:val="single" w:sz="8" w:space="0" w:color="auto"/>
              <w:right w:val="single" w:sz="18" w:space="0" w:color="auto"/>
            </w:tcBorders>
            <w:tcMar>
              <w:top w:w="8" w:type="dxa"/>
              <w:left w:w="28" w:type="dxa"/>
              <w:bottom w:w="8" w:type="dxa"/>
              <w:right w:w="28" w:type="dxa"/>
            </w:tcMar>
            <w:vAlign w:val="center"/>
          </w:tcPr>
          <w:p w14:paraId="2F22129A" w14:textId="74C4B459" w:rsidR="003D0A0E" w:rsidRPr="00F5353D" w:rsidRDefault="003D0A0E" w:rsidP="003D0A0E">
            <w:pPr>
              <w:spacing w:line="200" w:lineRule="auto"/>
              <w:rPr>
                <w:sz w:val="20"/>
                <w:szCs w:val="20"/>
              </w:rPr>
            </w:pPr>
            <w:r w:rsidRPr="00F5353D">
              <w:rPr>
                <w:sz w:val="20"/>
                <w:szCs w:val="20"/>
              </w:rPr>
              <w:t>South Atlantic</w:t>
            </w:r>
          </w:p>
        </w:tc>
        <w:tc>
          <w:tcPr>
            <w:tcW w:w="209" w:type="pct"/>
            <w:tcBorders>
              <w:left w:val="single" w:sz="18" w:space="0" w:color="auto"/>
            </w:tcBorders>
            <w:tcMar>
              <w:top w:w="8" w:type="dxa"/>
              <w:left w:w="28" w:type="dxa"/>
              <w:bottom w:w="8" w:type="dxa"/>
              <w:right w:w="28" w:type="dxa"/>
            </w:tcMar>
            <w:vAlign w:val="center"/>
          </w:tcPr>
          <w:p w14:paraId="49307B61" w14:textId="68ED44F4"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right w:val="single" w:sz="18" w:space="0" w:color="auto"/>
            </w:tcBorders>
            <w:tcMar>
              <w:top w:w="8" w:type="dxa"/>
              <w:left w:w="28" w:type="dxa"/>
              <w:bottom w:w="8" w:type="dxa"/>
              <w:right w:w="28" w:type="dxa"/>
            </w:tcMar>
            <w:vAlign w:val="center"/>
          </w:tcPr>
          <w:p w14:paraId="63FA257B" w14:textId="717B3C39" w:rsidR="003D0A0E" w:rsidRPr="00F5353D" w:rsidRDefault="003D0A0E" w:rsidP="003D0A0E">
            <w:pPr>
              <w:tabs>
                <w:tab w:val="decimal" w:pos="360"/>
              </w:tabs>
              <w:spacing w:line="200" w:lineRule="auto"/>
              <w:rPr>
                <w:sz w:val="20"/>
                <w:szCs w:val="20"/>
              </w:rPr>
            </w:pPr>
            <w:r w:rsidRPr="00F5353D">
              <w:rPr>
                <w:sz w:val="20"/>
                <w:szCs w:val="20"/>
              </w:rPr>
              <w:t>—</w:t>
            </w:r>
          </w:p>
        </w:tc>
        <w:tc>
          <w:tcPr>
            <w:tcW w:w="211" w:type="pct"/>
            <w:tcBorders>
              <w:left w:val="single" w:sz="18" w:space="0" w:color="auto"/>
            </w:tcBorders>
            <w:tcMar>
              <w:top w:w="8" w:type="dxa"/>
              <w:left w:w="28" w:type="dxa"/>
              <w:bottom w:w="8" w:type="dxa"/>
              <w:right w:w="28" w:type="dxa"/>
            </w:tcMar>
            <w:vAlign w:val="center"/>
          </w:tcPr>
          <w:p w14:paraId="0E7CD972" w14:textId="37968A36" w:rsidR="003D0A0E" w:rsidRPr="00F5353D" w:rsidRDefault="003D0A0E" w:rsidP="003D0A0E">
            <w:pPr>
              <w:tabs>
                <w:tab w:val="decimal" w:pos="360"/>
              </w:tabs>
              <w:spacing w:line="200" w:lineRule="auto"/>
              <w:rPr>
                <w:sz w:val="20"/>
                <w:szCs w:val="20"/>
              </w:rPr>
            </w:pPr>
            <w:r w:rsidRPr="00F5353D">
              <w:rPr>
                <w:sz w:val="20"/>
                <w:szCs w:val="20"/>
              </w:rPr>
              <w:t>—</w:t>
            </w:r>
          </w:p>
        </w:tc>
        <w:tc>
          <w:tcPr>
            <w:tcW w:w="206" w:type="pct"/>
            <w:tcBorders>
              <w:right w:val="single" w:sz="8" w:space="0" w:color="auto"/>
            </w:tcBorders>
            <w:tcMar>
              <w:top w:w="8" w:type="dxa"/>
              <w:left w:w="28" w:type="dxa"/>
              <w:bottom w:w="8" w:type="dxa"/>
              <w:right w:w="28" w:type="dxa"/>
            </w:tcMar>
            <w:vAlign w:val="center"/>
          </w:tcPr>
          <w:p w14:paraId="66AEA442" w14:textId="2540F9FC"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left w:val="single" w:sz="8" w:space="0" w:color="auto"/>
            </w:tcBorders>
            <w:tcMar>
              <w:top w:w="8" w:type="dxa"/>
              <w:left w:w="28" w:type="dxa"/>
              <w:bottom w:w="8" w:type="dxa"/>
              <w:right w:w="28" w:type="dxa"/>
            </w:tcMar>
            <w:vAlign w:val="center"/>
          </w:tcPr>
          <w:p w14:paraId="54E05A82" w14:textId="4B94250E"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right w:val="single" w:sz="18" w:space="0" w:color="auto"/>
            </w:tcBorders>
            <w:tcMar>
              <w:top w:w="8" w:type="dxa"/>
              <w:left w:w="28" w:type="dxa"/>
              <w:bottom w:w="8" w:type="dxa"/>
              <w:right w:w="28" w:type="dxa"/>
            </w:tcMar>
            <w:vAlign w:val="center"/>
          </w:tcPr>
          <w:p w14:paraId="3DFD0199" w14:textId="0D5E6EF1"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left w:val="single" w:sz="18" w:space="0" w:color="auto"/>
            </w:tcBorders>
            <w:tcMar>
              <w:top w:w="8" w:type="dxa"/>
              <w:left w:w="28" w:type="dxa"/>
              <w:bottom w:w="8" w:type="dxa"/>
              <w:right w:w="28" w:type="dxa"/>
            </w:tcMar>
            <w:vAlign w:val="center"/>
          </w:tcPr>
          <w:p w14:paraId="2E33124A" w14:textId="5CFB917C" w:rsidR="003D0A0E" w:rsidRPr="00F5353D" w:rsidRDefault="003D0A0E" w:rsidP="003D0A0E">
            <w:pPr>
              <w:tabs>
                <w:tab w:val="decimal" w:pos="360"/>
              </w:tabs>
              <w:spacing w:line="200" w:lineRule="auto"/>
              <w:rPr>
                <w:sz w:val="20"/>
                <w:szCs w:val="20"/>
              </w:rPr>
            </w:pPr>
            <w:r w:rsidRPr="00F5353D">
              <w:rPr>
                <w:sz w:val="20"/>
                <w:szCs w:val="20"/>
              </w:rPr>
              <w:t>—</w:t>
            </w:r>
          </w:p>
        </w:tc>
        <w:tc>
          <w:tcPr>
            <w:tcW w:w="210" w:type="pct"/>
            <w:tcBorders>
              <w:right w:val="single" w:sz="8" w:space="0" w:color="auto"/>
            </w:tcBorders>
            <w:tcMar>
              <w:top w:w="8" w:type="dxa"/>
              <w:left w:w="28" w:type="dxa"/>
              <w:bottom w:w="8" w:type="dxa"/>
              <w:right w:w="28" w:type="dxa"/>
            </w:tcMar>
            <w:vAlign w:val="center"/>
          </w:tcPr>
          <w:p w14:paraId="78517433" w14:textId="3A093151"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left w:val="single" w:sz="8" w:space="0" w:color="auto"/>
            </w:tcBorders>
            <w:tcMar>
              <w:top w:w="8" w:type="dxa"/>
              <w:left w:w="28" w:type="dxa"/>
              <w:bottom w:w="8" w:type="dxa"/>
              <w:right w:w="28" w:type="dxa"/>
            </w:tcMar>
            <w:vAlign w:val="center"/>
          </w:tcPr>
          <w:p w14:paraId="67E3C821" w14:textId="24AF2A7C"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right w:val="single" w:sz="18" w:space="0" w:color="auto"/>
            </w:tcBorders>
            <w:tcMar>
              <w:top w:w="8" w:type="dxa"/>
              <w:left w:w="28" w:type="dxa"/>
              <w:bottom w:w="8" w:type="dxa"/>
              <w:right w:w="28" w:type="dxa"/>
            </w:tcMar>
            <w:vAlign w:val="center"/>
          </w:tcPr>
          <w:p w14:paraId="288180B7" w14:textId="6EFDA3B2"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left w:val="single" w:sz="18" w:space="0" w:color="auto"/>
            </w:tcBorders>
            <w:tcMar>
              <w:top w:w="8" w:type="dxa"/>
              <w:left w:w="28" w:type="dxa"/>
              <w:bottom w:w="8" w:type="dxa"/>
              <w:right w:w="28" w:type="dxa"/>
            </w:tcMar>
            <w:vAlign w:val="center"/>
          </w:tcPr>
          <w:p w14:paraId="0B33C772" w14:textId="3F0841B1"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right w:val="single" w:sz="18" w:space="0" w:color="auto"/>
            </w:tcBorders>
            <w:tcMar>
              <w:top w:w="8" w:type="dxa"/>
              <w:left w:w="28" w:type="dxa"/>
              <w:bottom w:w="8" w:type="dxa"/>
              <w:right w:w="28" w:type="dxa"/>
            </w:tcMar>
            <w:vAlign w:val="center"/>
          </w:tcPr>
          <w:p w14:paraId="5C772785" w14:textId="3ACCF6FF"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left w:val="single" w:sz="18" w:space="0" w:color="auto"/>
            </w:tcBorders>
            <w:tcMar>
              <w:top w:w="8" w:type="dxa"/>
              <w:left w:w="28" w:type="dxa"/>
              <w:bottom w:w="8" w:type="dxa"/>
              <w:right w:w="28" w:type="dxa"/>
            </w:tcMar>
            <w:vAlign w:val="bottom"/>
          </w:tcPr>
          <w:p w14:paraId="6234019D" w14:textId="434C3572" w:rsidR="003D0A0E" w:rsidRPr="00F5353D" w:rsidRDefault="003D0A0E" w:rsidP="003D0A0E">
            <w:pPr>
              <w:tabs>
                <w:tab w:val="decimal" w:pos="360"/>
              </w:tabs>
              <w:spacing w:line="200" w:lineRule="auto"/>
              <w:rPr>
                <w:sz w:val="20"/>
                <w:szCs w:val="20"/>
              </w:rPr>
            </w:pPr>
            <w:r w:rsidRPr="00F5353D">
              <w:rPr>
                <w:color w:val="000000"/>
                <w:sz w:val="20"/>
                <w:szCs w:val="20"/>
              </w:rPr>
              <w:t>-0.48</w:t>
            </w:r>
          </w:p>
        </w:tc>
        <w:tc>
          <w:tcPr>
            <w:tcW w:w="209" w:type="pct"/>
            <w:tcBorders>
              <w:right w:val="single" w:sz="8" w:space="0" w:color="auto"/>
            </w:tcBorders>
            <w:tcMar>
              <w:top w:w="8" w:type="dxa"/>
              <w:left w:w="28" w:type="dxa"/>
              <w:bottom w:w="8" w:type="dxa"/>
              <w:right w:w="28" w:type="dxa"/>
            </w:tcMar>
            <w:vAlign w:val="bottom"/>
          </w:tcPr>
          <w:p w14:paraId="002EDE3F" w14:textId="5DAB302D" w:rsidR="003D0A0E" w:rsidRPr="00F5353D" w:rsidRDefault="003D0A0E" w:rsidP="003D0A0E">
            <w:pPr>
              <w:tabs>
                <w:tab w:val="decimal" w:pos="360"/>
              </w:tabs>
              <w:spacing w:line="200" w:lineRule="auto"/>
              <w:rPr>
                <w:sz w:val="20"/>
                <w:szCs w:val="20"/>
              </w:rPr>
            </w:pPr>
            <w:r w:rsidRPr="00F5353D">
              <w:rPr>
                <w:color w:val="000000"/>
                <w:sz w:val="20"/>
                <w:szCs w:val="20"/>
              </w:rPr>
              <w:t>-3.98</w:t>
            </w:r>
          </w:p>
        </w:tc>
        <w:tc>
          <w:tcPr>
            <w:tcW w:w="208" w:type="pct"/>
            <w:tcBorders>
              <w:left w:val="single" w:sz="8" w:space="0" w:color="auto"/>
            </w:tcBorders>
            <w:tcMar>
              <w:top w:w="8" w:type="dxa"/>
              <w:left w:w="28" w:type="dxa"/>
              <w:bottom w:w="8" w:type="dxa"/>
              <w:right w:w="28" w:type="dxa"/>
            </w:tcMar>
            <w:vAlign w:val="bottom"/>
          </w:tcPr>
          <w:p w14:paraId="2110D42E" w14:textId="0E72F91A" w:rsidR="003D0A0E" w:rsidRPr="00F5353D" w:rsidRDefault="003D0A0E" w:rsidP="003D0A0E">
            <w:pPr>
              <w:tabs>
                <w:tab w:val="decimal" w:pos="360"/>
              </w:tabs>
              <w:spacing w:line="200" w:lineRule="auto"/>
              <w:rPr>
                <w:sz w:val="20"/>
                <w:szCs w:val="20"/>
              </w:rPr>
            </w:pPr>
            <w:r w:rsidRPr="00F5353D">
              <w:rPr>
                <w:color w:val="000000"/>
                <w:sz w:val="20"/>
                <w:szCs w:val="20"/>
              </w:rPr>
              <w:t>-0.24</w:t>
            </w:r>
          </w:p>
        </w:tc>
        <w:tc>
          <w:tcPr>
            <w:tcW w:w="208" w:type="pct"/>
            <w:tcMar>
              <w:top w:w="8" w:type="dxa"/>
              <w:left w:w="28" w:type="dxa"/>
              <w:bottom w:w="8" w:type="dxa"/>
              <w:right w:w="28" w:type="dxa"/>
            </w:tcMar>
            <w:vAlign w:val="bottom"/>
          </w:tcPr>
          <w:p w14:paraId="1DA8B285" w14:textId="6BCB109E" w:rsidR="003D0A0E" w:rsidRPr="00F5353D" w:rsidRDefault="003D0A0E" w:rsidP="003D0A0E">
            <w:pPr>
              <w:tabs>
                <w:tab w:val="decimal" w:pos="360"/>
              </w:tabs>
              <w:spacing w:line="200" w:lineRule="auto"/>
              <w:rPr>
                <w:sz w:val="20"/>
                <w:szCs w:val="20"/>
              </w:rPr>
            </w:pPr>
            <w:r w:rsidRPr="00F5353D">
              <w:rPr>
                <w:color w:val="000000"/>
                <w:sz w:val="20"/>
                <w:szCs w:val="20"/>
              </w:rPr>
              <w:t>-2.48</w:t>
            </w:r>
          </w:p>
        </w:tc>
      </w:tr>
      <w:tr w:rsidR="003D0A0E" w:rsidRPr="00F5353D" w14:paraId="2262E000" w14:textId="77777777" w:rsidTr="007C4658">
        <w:trPr>
          <w:cantSplit/>
          <w:trHeight w:val="187"/>
        </w:trPr>
        <w:tc>
          <w:tcPr>
            <w:tcW w:w="860" w:type="pct"/>
            <w:gridSpan w:val="2"/>
            <w:vMerge/>
            <w:tcBorders>
              <w:right w:val="single" w:sz="8" w:space="0" w:color="auto"/>
            </w:tcBorders>
            <w:tcMar>
              <w:top w:w="8" w:type="dxa"/>
              <w:left w:w="28" w:type="dxa"/>
              <w:bottom w:w="8" w:type="dxa"/>
              <w:right w:w="28" w:type="dxa"/>
            </w:tcMar>
            <w:vAlign w:val="center"/>
          </w:tcPr>
          <w:p w14:paraId="79D81C4E" w14:textId="77777777" w:rsidR="003D0A0E" w:rsidRPr="00F5353D" w:rsidRDefault="003D0A0E" w:rsidP="003D0A0E">
            <w:pPr>
              <w:spacing w:line="200" w:lineRule="auto"/>
              <w:rPr>
                <w:sz w:val="20"/>
                <w:szCs w:val="20"/>
              </w:rPr>
            </w:pPr>
          </w:p>
        </w:tc>
        <w:tc>
          <w:tcPr>
            <w:tcW w:w="732" w:type="pct"/>
            <w:gridSpan w:val="2"/>
            <w:tcBorders>
              <w:left w:val="single" w:sz="8" w:space="0" w:color="auto"/>
              <w:right w:val="single" w:sz="18" w:space="0" w:color="auto"/>
            </w:tcBorders>
            <w:tcMar>
              <w:top w:w="8" w:type="dxa"/>
              <w:left w:w="28" w:type="dxa"/>
              <w:bottom w:w="8" w:type="dxa"/>
              <w:right w:w="28" w:type="dxa"/>
            </w:tcMar>
            <w:vAlign w:val="center"/>
          </w:tcPr>
          <w:p w14:paraId="72C2C2AF" w14:textId="0D2F5890" w:rsidR="003D0A0E" w:rsidRPr="00F5353D" w:rsidRDefault="003D0A0E" w:rsidP="003D0A0E">
            <w:pPr>
              <w:spacing w:line="200" w:lineRule="auto"/>
              <w:rPr>
                <w:sz w:val="20"/>
                <w:szCs w:val="20"/>
              </w:rPr>
            </w:pPr>
            <w:r w:rsidRPr="00F5353D">
              <w:rPr>
                <w:sz w:val="20"/>
                <w:szCs w:val="20"/>
              </w:rPr>
              <w:t>East South Central</w:t>
            </w:r>
          </w:p>
        </w:tc>
        <w:tc>
          <w:tcPr>
            <w:tcW w:w="209" w:type="pct"/>
            <w:tcBorders>
              <w:left w:val="single" w:sz="18" w:space="0" w:color="auto"/>
            </w:tcBorders>
            <w:tcMar>
              <w:top w:w="8" w:type="dxa"/>
              <w:left w:w="28" w:type="dxa"/>
              <w:bottom w:w="8" w:type="dxa"/>
              <w:right w:w="28" w:type="dxa"/>
            </w:tcMar>
            <w:vAlign w:val="center"/>
          </w:tcPr>
          <w:p w14:paraId="34B3B893" w14:textId="1FC25304"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right w:val="single" w:sz="18" w:space="0" w:color="auto"/>
            </w:tcBorders>
            <w:tcMar>
              <w:top w:w="8" w:type="dxa"/>
              <w:left w:w="28" w:type="dxa"/>
              <w:bottom w:w="8" w:type="dxa"/>
              <w:right w:w="28" w:type="dxa"/>
            </w:tcMar>
            <w:vAlign w:val="center"/>
          </w:tcPr>
          <w:p w14:paraId="6DBCA2C3" w14:textId="7CF7811D" w:rsidR="003D0A0E" w:rsidRPr="00F5353D" w:rsidRDefault="003D0A0E" w:rsidP="003D0A0E">
            <w:pPr>
              <w:tabs>
                <w:tab w:val="decimal" w:pos="360"/>
              </w:tabs>
              <w:spacing w:line="200" w:lineRule="auto"/>
              <w:rPr>
                <w:sz w:val="20"/>
                <w:szCs w:val="20"/>
              </w:rPr>
            </w:pPr>
            <w:r w:rsidRPr="00F5353D">
              <w:rPr>
                <w:sz w:val="20"/>
                <w:szCs w:val="20"/>
              </w:rPr>
              <w:t>—</w:t>
            </w:r>
          </w:p>
        </w:tc>
        <w:tc>
          <w:tcPr>
            <w:tcW w:w="211" w:type="pct"/>
            <w:tcBorders>
              <w:left w:val="single" w:sz="18" w:space="0" w:color="auto"/>
            </w:tcBorders>
            <w:tcMar>
              <w:top w:w="8" w:type="dxa"/>
              <w:left w:w="28" w:type="dxa"/>
              <w:bottom w:w="8" w:type="dxa"/>
              <w:right w:w="28" w:type="dxa"/>
            </w:tcMar>
            <w:vAlign w:val="center"/>
          </w:tcPr>
          <w:p w14:paraId="78BCF7FD" w14:textId="48C2ED25" w:rsidR="003D0A0E" w:rsidRPr="00F5353D" w:rsidRDefault="003D0A0E" w:rsidP="003D0A0E">
            <w:pPr>
              <w:tabs>
                <w:tab w:val="decimal" w:pos="360"/>
              </w:tabs>
              <w:spacing w:line="200" w:lineRule="auto"/>
              <w:rPr>
                <w:sz w:val="20"/>
                <w:szCs w:val="20"/>
              </w:rPr>
            </w:pPr>
            <w:r w:rsidRPr="00F5353D">
              <w:rPr>
                <w:sz w:val="20"/>
                <w:szCs w:val="20"/>
              </w:rPr>
              <w:t>—</w:t>
            </w:r>
          </w:p>
        </w:tc>
        <w:tc>
          <w:tcPr>
            <w:tcW w:w="206" w:type="pct"/>
            <w:tcBorders>
              <w:right w:val="single" w:sz="8" w:space="0" w:color="auto"/>
            </w:tcBorders>
            <w:tcMar>
              <w:top w:w="8" w:type="dxa"/>
              <w:left w:w="28" w:type="dxa"/>
              <w:bottom w:w="8" w:type="dxa"/>
              <w:right w:w="28" w:type="dxa"/>
            </w:tcMar>
            <w:vAlign w:val="center"/>
          </w:tcPr>
          <w:p w14:paraId="0482AD82" w14:textId="791091E9"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left w:val="single" w:sz="8" w:space="0" w:color="auto"/>
            </w:tcBorders>
            <w:tcMar>
              <w:top w:w="8" w:type="dxa"/>
              <w:left w:w="28" w:type="dxa"/>
              <w:bottom w:w="8" w:type="dxa"/>
              <w:right w:w="28" w:type="dxa"/>
            </w:tcMar>
            <w:vAlign w:val="center"/>
          </w:tcPr>
          <w:p w14:paraId="24470CCD" w14:textId="7AD2D9C1"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right w:val="single" w:sz="18" w:space="0" w:color="auto"/>
            </w:tcBorders>
            <w:tcMar>
              <w:top w:w="8" w:type="dxa"/>
              <w:left w:w="28" w:type="dxa"/>
              <w:bottom w:w="8" w:type="dxa"/>
              <w:right w:w="28" w:type="dxa"/>
            </w:tcMar>
            <w:vAlign w:val="center"/>
          </w:tcPr>
          <w:p w14:paraId="54C2CD44" w14:textId="05F8C8E3"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left w:val="single" w:sz="18" w:space="0" w:color="auto"/>
            </w:tcBorders>
            <w:tcMar>
              <w:top w:w="8" w:type="dxa"/>
              <w:left w:w="28" w:type="dxa"/>
              <w:bottom w:w="8" w:type="dxa"/>
              <w:right w:w="28" w:type="dxa"/>
            </w:tcMar>
            <w:vAlign w:val="center"/>
          </w:tcPr>
          <w:p w14:paraId="50499DC4" w14:textId="0DB5C027" w:rsidR="003D0A0E" w:rsidRPr="00F5353D" w:rsidRDefault="003D0A0E" w:rsidP="003D0A0E">
            <w:pPr>
              <w:tabs>
                <w:tab w:val="decimal" w:pos="360"/>
              </w:tabs>
              <w:spacing w:line="200" w:lineRule="auto"/>
              <w:rPr>
                <w:sz w:val="20"/>
                <w:szCs w:val="20"/>
              </w:rPr>
            </w:pPr>
            <w:r w:rsidRPr="00F5353D">
              <w:rPr>
                <w:sz w:val="20"/>
                <w:szCs w:val="20"/>
              </w:rPr>
              <w:t>—</w:t>
            </w:r>
          </w:p>
        </w:tc>
        <w:tc>
          <w:tcPr>
            <w:tcW w:w="210" w:type="pct"/>
            <w:tcBorders>
              <w:right w:val="single" w:sz="8" w:space="0" w:color="auto"/>
            </w:tcBorders>
            <w:tcMar>
              <w:top w:w="8" w:type="dxa"/>
              <w:left w:w="28" w:type="dxa"/>
              <w:bottom w:w="8" w:type="dxa"/>
              <w:right w:w="28" w:type="dxa"/>
            </w:tcMar>
            <w:vAlign w:val="center"/>
          </w:tcPr>
          <w:p w14:paraId="33364FE8" w14:textId="109955D6"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left w:val="single" w:sz="8" w:space="0" w:color="auto"/>
            </w:tcBorders>
            <w:tcMar>
              <w:top w:w="8" w:type="dxa"/>
              <w:left w:w="28" w:type="dxa"/>
              <w:bottom w:w="8" w:type="dxa"/>
              <w:right w:w="28" w:type="dxa"/>
            </w:tcMar>
            <w:vAlign w:val="center"/>
          </w:tcPr>
          <w:p w14:paraId="45A439BE" w14:textId="137DDCE7"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right w:val="single" w:sz="18" w:space="0" w:color="auto"/>
            </w:tcBorders>
            <w:tcMar>
              <w:top w:w="8" w:type="dxa"/>
              <w:left w:w="28" w:type="dxa"/>
              <w:bottom w:w="8" w:type="dxa"/>
              <w:right w:w="28" w:type="dxa"/>
            </w:tcMar>
            <w:vAlign w:val="center"/>
          </w:tcPr>
          <w:p w14:paraId="48480C48" w14:textId="5E90397F"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left w:val="single" w:sz="18" w:space="0" w:color="auto"/>
            </w:tcBorders>
            <w:tcMar>
              <w:top w:w="8" w:type="dxa"/>
              <w:left w:w="28" w:type="dxa"/>
              <w:bottom w:w="8" w:type="dxa"/>
              <w:right w:w="28" w:type="dxa"/>
            </w:tcMar>
            <w:vAlign w:val="center"/>
          </w:tcPr>
          <w:p w14:paraId="0F0C1355" w14:textId="642C6A5A"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right w:val="single" w:sz="18" w:space="0" w:color="auto"/>
            </w:tcBorders>
            <w:tcMar>
              <w:top w:w="8" w:type="dxa"/>
              <w:left w:w="28" w:type="dxa"/>
              <w:bottom w:w="8" w:type="dxa"/>
              <w:right w:w="28" w:type="dxa"/>
            </w:tcMar>
            <w:vAlign w:val="center"/>
          </w:tcPr>
          <w:p w14:paraId="5D4E49F1" w14:textId="16F8F71C"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left w:val="single" w:sz="18" w:space="0" w:color="auto"/>
            </w:tcBorders>
            <w:tcMar>
              <w:top w:w="8" w:type="dxa"/>
              <w:left w:w="28" w:type="dxa"/>
              <w:bottom w:w="8" w:type="dxa"/>
              <w:right w:w="28" w:type="dxa"/>
            </w:tcMar>
            <w:vAlign w:val="bottom"/>
          </w:tcPr>
          <w:p w14:paraId="1F7786E2" w14:textId="0680C584" w:rsidR="003D0A0E" w:rsidRPr="00F5353D" w:rsidRDefault="003D0A0E" w:rsidP="003D0A0E">
            <w:pPr>
              <w:tabs>
                <w:tab w:val="decimal" w:pos="360"/>
              </w:tabs>
              <w:spacing w:line="200" w:lineRule="auto"/>
              <w:rPr>
                <w:color w:val="000000"/>
                <w:sz w:val="20"/>
                <w:szCs w:val="20"/>
              </w:rPr>
            </w:pPr>
            <w:r w:rsidRPr="00F5353D">
              <w:rPr>
                <w:color w:val="000000"/>
                <w:sz w:val="20"/>
                <w:szCs w:val="20"/>
              </w:rPr>
              <w:t>-0.46</w:t>
            </w:r>
          </w:p>
        </w:tc>
        <w:tc>
          <w:tcPr>
            <w:tcW w:w="209" w:type="pct"/>
            <w:tcBorders>
              <w:right w:val="single" w:sz="8" w:space="0" w:color="auto"/>
            </w:tcBorders>
            <w:tcMar>
              <w:top w:w="8" w:type="dxa"/>
              <w:left w:w="28" w:type="dxa"/>
              <w:bottom w:w="8" w:type="dxa"/>
              <w:right w:w="28" w:type="dxa"/>
            </w:tcMar>
            <w:vAlign w:val="bottom"/>
          </w:tcPr>
          <w:p w14:paraId="477E47E5" w14:textId="152609A9" w:rsidR="003D0A0E" w:rsidRPr="00F5353D" w:rsidRDefault="003D0A0E" w:rsidP="003D0A0E">
            <w:pPr>
              <w:tabs>
                <w:tab w:val="decimal" w:pos="360"/>
              </w:tabs>
              <w:spacing w:line="200" w:lineRule="auto"/>
              <w:rPr>
                <w:color w:val="000000"/>
                <w:sz w:val="20"/>
                <w:szCs w:val="20"/>
              </w:rPr>
            </w:pPr>
            <w:r w:rsidRPr="00F5353D">
              <w:rPr>
                <w:color w:val="000000"/>
                <w:sz w:val="20"/>
                <w:szCs w:val="20"/>
              </w:rPr>
              <w:t>-3.14</w:t>
            </w:r>
          </w:p>
        </w:tc>
        <w:tc>
          <w:tcPr>
            <w:tcW w:w="208" w:type="pct"/>
            <w:tcBorders>
              <w:left w:val="single" w:sz="8" w:space="0" w:color="auto"/>
            </w:tcBorders>
            <w:tcMar>
              <w:top w:w="8" w:type="dxa"/>
              <w:left w:w="28" w:type="dxa"/>
              <w:bottom w:w="8" w:type="dxa"/>
              <w:right w:w="28" w:type="dxa"/>
            </w:tcMar>
            <w:vAlign w:val="center"/>
          </w:tcPr>
          <w:p w14:paraId="5298F415" w14:textId="336946D7"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Mar>
              <w:top w:w="8" w:type="dxa"/>
              <w:left w:w="28" w:type="dxa"/>
              <w:bottom w:w="8" w:type="dxa"/>
              <w:right w:w="28" w:type="dxa"/>
            </w:tcMar>
            <w:vAlign w:val="center"/>
          </w:tcPr>
          <w:p w14:paraId="50D8A5F1" w14:textId="68CF6977" w:rsidR="003D0A0E" w:rsidRPr="00F5353D" w:rsidRDefault="003D0A0E" w:rsidP="003D0A0E">
            <w:pPr>
              <w:tabs>
                <w:tab w:val="decimal" w:pos="360"/>
              </w:tabs>
              <w:spacing w:line="200" w:lineRule="auto"/>
              <w:rPr>
                <w:sz w:val="20"/>
                <w:szCs w:val="20"/>
              </w:rPr>
            </w:pPr>
            <w:r w:rsidRPr="00F5353D">
              <w:rPr>
                <w:sz w:val="20"/>
                <w:szCs w:val="20"/>
              </w:rPr>
              <w:t>—</w:t>
            </w:r>
          </w:p>
        </w:tc>
      </w:tr>
      <w:tr w:rsidR="003D0A0E" w:rsidRPr="00F5353D" w14:paraId="70AEE453" w14:textId="77777777" w:rsidTr="007C4658">
        <w:trPr>
          <w:cantSplit/>
          <w:trHeight w:val="187"/>
        </w:trPr>
        <w:tc>
          <w:tcPr>
            <w:tcW w:w="860" w:type="pct"/>
            <w:gridSpan w:val="2"/>
            <w:vMerge/>
            <w:tcBorders>
              <w:right w:val="single" w:sz="8" w:space="0" w:color="auto"/>
            </w:tcBorders>
            <w:tcMar>
              <w:top w:w="8" w:type="dxa"/>
              <w:left w:w="28" w:type="dxa"/>
              <w:bottom w:w="8" w:type="dxa"/>
              <w:right w:w="28" w:type="dxa"/>
            </w:tcMar>
            <w:vAlign w:val="center"/>
          </w:tcPr>
          <w:p w14:paraId="7275C925" w14:textId="77777777" w:rsidR="003D0A0E" w:rsidRPr="00F5353D" w:rsidRDefault="003D0A0E" w:rsidP="003D0A0E">
            <w:pPr>
              <w:spacing w:line="200" w:lineRule="auto"/>
              <w:rPr>
                <w:sz w:val="20"/>
                <w:szCs w:val="20"/>
              </w:rPr>
            </w:pPr>
          </w:p>
        </w:tc>
        <w:tc>
          <w:tcPr>
            <w:tcW w:w="732" w:type="pct"/>
            <w:gridSpan w:val="2"/>
            <w:tcBorders>
              <w:left w:val="single" w:sz="8" w:space="0" w:color="auto"/>
              <w:right w:val="single" w:sz="18" w:space="0" w:color="auto"/>
            </w:tcBorders>
            <w:tcMar>
              <w:top w:w="8" w:type="dxa"/>
              <w:left w:w="28" w:type="dxa"/>
              <w:bottom w:w="8" w:type="dxa"/>
              <w:right w:w="28" w:type="dxa"/>
            </w:tcMar>
            <w:vAlign w:val="center"/>
          </w:tcPr>
          <w:p w14:paraId="2BB2900C" w14:textId="1C0851B8" w:rsidR="003D0A0E" w:rsidRPr="00F5353D" w:rsidRDefault="003D0A0E" w:rsidP="003D0A0E">
            <w:pPr>
              <w:spacing w:line="200" w:lineRule="auto"/>
              <w:rPr>
                <w:sz w:val="20"/>
                <w:szCs w:val="20"/>
              </w:rPr>
            </w:pPr>
            <w:r w:rsidRPr="00F5353D">
              <w:rPr>
                <w:sz w:val="20"/>
                <w:szCs w:val="20"/>
              </w:rPr>
              <w:t>West South Central</w:t>
            </w:r>
          </w:p>
        </w:tc>
        <w:tc>
          <w:tcPr>
            <w:tcW w:w="209" w:type="pct"/>
            <w:tcBorders>
              <w:left w:val="single" w:sz="18" w:space="0" w:color="auto"/>
            </w:tcBorders>
            <w:tcMar>
              <w:top w:w="8" w:type="dxa"/>
              <w:left w:w="28" w:type="dxa"/>
              <w:bottom w:w="8" w:type="dxa"/>
              <w:right w:w="28" w:type="dxa"/>
            </w:tcMar>
            <w:vAlign w:val="center"/>
          </w:tcPr>
          <w:p w14:paraId="7C4CDCB8" w14:textId="3E212C5F"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right w:val="single" w:sz="18" w:space="0" w:color="auto"/>
            </w:tcBorders>
            <w:tcMar>
              <w:top w:w="8" w:type="dxa"/>
              <w:left w:w="28" w:type="dxa"/>
              <w:bottom w:w="8" w:type="dxa"/>
              <w:right w:w="28" w:type="dxa"/>
            </w:tcMar>
            <w:vAlign w:val="center"/>
          </w:tcPr>
          <w:p w14:paraId="2BBC802C" w14:textId="19B015A6" w:rsidR="003D0A0E" w:rsidRPr="00F5353D" w:rsidRDefault="003D0A0E" w:rsidP="003D0A0E">
            <w:pPr>
              <w:tabs>
                <w:tab w:val="decimal" w:pos="360"/>
              </w:tabs>
              <w:spacing w:line="200" w:lineRule="auto"/>
              <w:rPr>
                <w:sz w:val="20"/>
                <w:szCs w:val="20"/>
              </w:rPr>
            </w:pPr>
            <w:r w:rsidRPr="00F5353D">
              <w:rPr>
                <w:sz w:val="20"/>
                <w:szCs w:val="20"/>
              </w:rPr>
              <w:t>—</w:t>
            </w:r>
          </w:p>
        </w:tc>
        <w:tc>
          <w:tcPr>
            <w:tcW w:w="211" w:type="pct"/>
            <w:tcBorders>
              <w:left w:val="single" w:sz="18" w:space="0" w:color="auto"/>
            </w:tcBorders>
            <w:tcMar>
              <w:top w:w="8" w:type="dxa"/>
              <w:left w:w="28" w:type="dxa"/>
              <w:bottom w:w="8" w:type="dxa"/>
              <w:right w:w="28" w:type="dxa"/>
            </w:tcMar>
            <w:vAlign w:val="center"/>
          </w:tcPr>
          <w:p w14:paraId="798DDF3D" w14:textId="0BBA7FF3" w:rsidR="003D0A0E" w:rsidRPr="00F5353D" w:rsidRDefault="003D0A0E" w:rsidP="003D0A0E">
            <w:pPr>
              <w:tabs>
                <w:tab w:val="decimal" w:pos="360"/>
              </w:tabs>
              <w:spacing w:line="200" w:lineRule="auto"/>
              <w:rPr>
                <w:sz w:val="20"/>
                <w:szCs w:val="20"/>
              </w:rPr>
            </w:pPr>
            <w:r w:rsidRPr="00F5353D">
              <w:rPr>
                <w:sz w:val="20"/>
                <w:szCs w:val="20"/>
              </w:rPr>
              <w:t>—</w:t>
            </w:r>
          </w:p>
        </w:tc>
        <w:tc>
          <w:tcPr>
            <w:tcW w:w="206" w:type="pct"/>
            <w:tcBorders>
              <w:right w:val="single" w:sz="8" w:space="0" w:color="auto"/>
            </w:tcBorders>
            <w:tcMar>
              <w:top w:w="8" w:type="dxa"/>
              <w:left w:w="28" w:type="dxa"/>
              <w:bottom w:w="8" w:type="dxa"/>
              <w:right w:w="28" w:type="dxa"/>
            </w:tcMar>
            <w:vAlign w:val="center"/>
          </w:tcPr>
          <w:p w14:paraId="52BA1D65" w14:textId="0CCB3AC3"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left w:val="single" w:sz="8" w:space="0" w:color="auto"/>
            </w:tcBorders>
            <w:tcMar>
              <w:top w:w="8" w:type="dxa"/>
              <w:left w:w="28" w:type="dxa"/>
              <w:bottom w:w="8" w:type="dxa"/>
              <w:right w:w="28" w:type="dxa"/>
            </w:tcMar>
            <w:vAlign w:val="center"/>
          </w:tcPr>
          <w:p w14:paraId="49069DCF" w14:textId="343F6509"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right w:val="single" w:sz="18" w:space="0" w:color="auto"/>
            </w:tcBorders>
            <w:tcMar>
              <w:top w:w="8" w:type="dxa"/>
              <w:left w:w="28" w:type="dxa"/>
              <w:bottom w:w="8" w:type="dxa"/>
              <w:right w:w="28" w:type="dxa"/>
            </w:tcMar>
            <w:vAlign w:val="center"/>
          </w:tcPr>
          <w:p w14:paraId="1DE0DA2E" w14:textId="7F13E96D"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left w:val="single" w:sz="18" w:space="0" w:color="auto"/>
            </w:tcBorders>
            <w:tcMar>
              <w:top w:w="8" w:type="dxa"/>
              <w:left w:w="28" w:type="dxa"/>
              <w:bottom w:w="8" w:type="dxa"/>
              <w:right w:w="28" w:type="dxa"/>
            </w:tcMar>
            <w:vAlign w:val="center"/>
          </w:tcPr>
          <w:p w14:paraId="561ED13B" w14:textId="657EB906" w:rsidR="003D0A0E" w:rsidRPr="00F5353D" w:rsidRDefault="003D0A0E" w:rsidP="003D0A0E">
            <w:pPr>
              <w:tabs>
                <w:tab w:val="decimal" w:pos="360"/>
              </w:tabs>
              <w:spacing w:line="200" w:lineRule="auto"/>
              <w:rPr>
                <w:sz w:val="20"/>
                <w:szCs w:val="20"/>
              </w:rPr>
            </w:pPr>
            <w:r w:rsidRPr="00F5353D">
              <w:rPr>
                <w:sz w:val="20"/>
                <w:szCs w:val="20"/>
              </w:rPr>
              <w:t>—</w:t>
            </w:r>
          </w:p>
        </w:tc>
        <w:tc>
          <w:tcPr>
            <w:tcW w:w="210" w:type="pct"/>
            <w:tcBorders>
              <w:right w:val="single" w:sz="8" w:space="0" w:color="auto"/>
            </w:tcBorders>
            <w:tcMar>
              <w:top w:w="8" w:type="dxa"/>
              <w:left w:w="28" w:type="dxa"/>
              <w:bottom w:w="8" w:type="dxa"/>
              <w:right w:w="28" w:type="dxa"/>
            </w:tcMar>
            <w:vAlign w:val="center"/>
          </w:tcPr>
          <w:p w14:paraId="774D98F3" w14:textId="498D038E"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left w:val="single" w:sz="8" w:space="0" w:color="auto"/>
            </w:tcBorders>
            <w:tcMar>
              <w:top w:w="8" w:type="dxa"/>
              <w:left w:w="28" w:type="dxa"/>
              <w:bottom w:w="8" w:type="dxa"/>
              <w:right w:w="28" w:type="dxa"/>
            </w:tcMar>
            <w:vAlign w:val="center"/>
          </w:tcPr>
          <w:p w14:paraId="76F19E48" w14:textId="5DFAA416"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right w:val="single" w:sz="18" w:space="0" w:color="auto"/>
            </w:tcBorders>
            <w:tcMar>
              <w:top w:w="8" w:type="dxa"/>
              <w:left w:w="28" w:type="dxa"/>
              <w:bottom w:w="8" w:type="dxa"/>
              <w:right w:w="28" w:type="dxa"/>
            </w:tcMar>
            <w:vAlign w:val="center"/>
          </w:tcPr>
          <w:p w14:paraId="2E5221AD" w14:textId="7375CFDB"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left w:val="single" w:sz="18" w:space="0" w:color="auto"/>
            </w:tcBorders>
            <w:tcMar>
              <w:top w:w="8" w:type="dxa"/>
              <w:left w:w="28" w:type="dxa"/>
              <w:bottom w:w="8" w:type="dxa"/>
              <w:right w:w="28" w:type="dxa"/>
            </w:tcMar>
            <w:vAlign w:val="center"/>
          </w:tcPr>
          <w:p w14:paraId="1FE2A485" w14:textId="682C9CAD"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right w:val="single" w:sz="18" w:space="0" w:color="auto"/>
            </w:tcBorders>
            <w:tcMar>
              <w:top w:w="8" w:type="dxa"/>
              <w:left w:w="28" w:type="dxa"/>
              <w:bottom w:w="8" w:type="dxa"/>
              <w:right w:w="28" w:type="dxa"/>
            </w:tcMar>
            <w:vAlign w:val="center"/>
          </w:tcPr>
          <w:p w14:paraId="54CE3E68" w14:textId="128378D5"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left w:val="single" w:sz="18" w:space="0" w:color="auto"/>
            </w:tcBorders>
            <w:tcMar>
              <w:top w:w="8" w:type="dxa"/>
              <w:left w:w="28" w:type="dxa"/>
              <w:bottom w:w="8" w:type="dxa"/>
              <w:right w:w="28" w:type="dxa"/>
            </w:tcMar>
            <w:vAlign w:val="bottom"/>
          </w:tcPr>
          <w:p w14:paraId="073D0F8D" w14:textId="7C95F31B" w:rsidR="003D0A0E" w:rsidRPr="00F5353D" w:rsidRDefault="003D0A0E" w:rsidP="003D0A0E">
            <w:pPr>
              <w:tabs>
                <w:tab w:val="decimal" w:pos="360"/>
              </w:tabs>
              <w:spacing w:line="200" w:lineRule="auto"/>
              <w:rPr>
                <w:sz w:val="20"/>
                <w:szCs w:val="20"/>
              </w:rPr>
            </w:pPr>
            <w:r w:rsidRPr="00F5353D">
              <w:rPr>
                <w:color w:val="000000"/>
                <w:sz w:val="20"/>
                <w:szCs w:val="20"/>
              </w:rPr>
              <w:t>-0.65</w:t>
            </w:r>
          </w:p>
        </w:tc>
        <w:tc>
          <w:tcPr>
            <w:tcW w:w="209" w:type="pct"/>
            <w:tcBorders>
              <w:right w:val="single" w:sz="8" w:space="0" w:color="auto"/>
            </w:tcBorders>
            <w:tcMar>
              <w:top w:w="8" w:type="dxa"/>
              <w:left w:w="28" w:type="dxa"/>
              <w:bottom w:w="8" w:type="dxa"/>
              <w:right w:w="28" w:type="dxa"/>
            </w:tcMar>
            <w:vAlign w:val="bottom"/>
          </w:tcPr>
          <w:p w14:paraId="4C8A39B0" w14:textId="1F9C3D22" w:rsidR="003D0A0E" w:rsidRPr="00F5353D" w:rsidRDefault="003D0A0E" w:rsidP="003D0A0E">
            <w:pPr>
              <w:tabs>
                <w:tab w:val="decimal" w:pos="360"/>
              </w:tabs>
              <w:spacing w:line="200" w:lineRule="auto"/>
              <w:rPr>
                <w:sz w:val="20"/>
                <w:szCs w:val="20"/>
              </w:rPr>
            </w:pPr>
            <w:r w:rsidRPr="00F5353D">
              <w:rPr>
                <w:color w:val="000000"/>
                <w:sz w:val="20"/>
                <w:szCs w:val="20"/>
              </w:rPr>
              <w:t>-4.89</w:t>
            </w:r>
          </w:p>
        </w:tc>
        <w:tc>
          <w:tcPr>
            <w:tcW w:w="208" w:type="pct"/>
            <w:tcBorders>
              <w:left w:val="single" w:sz="8" w:space="0" w:color="auto"/>
            </w:tcBorders>
            <w:tcMar>
              <w:top w:w="8" w:type="dxa"/>
              <w:left w:w="28" w:type="dxa"/>
              <w:bottom w:w="8" w:type="dxa"/>
              <w:right w:w="28" w:type="dxa"/>
            </w:tcMar>
            <w:vAlign w:val="center"/>
          </w:tcPr>
          <w:p w14:paraId="6DD3E7E1" w14:textId="780DDF61"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Mar>
              <w:top w:w="8" w:type="dxa"/>
              <w:left w:w="28" w:type="dxa"/>
              <w:bottom w:w="8" w:type="dxa"/>
              <w:right w:w="28" w:type="dxa"/>
            </w:tcMar>
            <w:vAlign w:val="center"/>
          </w:tcPr>
          <w:p w14:paraId="7573A5DC" w14:textId="473F94AF" w:rsidR="003D0A0E" w:rsidRPr="00F5353D" w:rsidRDefault="003D0A0E" w:rsidP="003D0A0E">
            <w:pPr>
              <w:tabs>
                <w:tab w:val="decimal" w:pos="360"/>
              </w:tabs>
              <w:spacing w:line="200" w:lineRule="auto"/>
              <w:rPr>
                <w:sz w:val="20"/>
                <w:szCs w:val="20"/>
              </w:rPr>
            </w:pPr>
            <w:r w:rsidRPr="00F5353D">
              <w:rPr>
                <w:sz w:val="20"/>
                <w:szCs w:val="20"/>
              </w:rPr>
              <w:t>—</w:t>
            </w:r>
          </w:p>
        </w:tc>
      </w:tr>
      <w:tr w:rsidR="003D0A0E" w:rsidRPr="00F5353D" w14:paraId="79C9A418" w14:textId="77777777" w:rsidTr="007C4658">
        <w:trPr>
          <w:cantSplit/>
          <w:trHeight w:val="187"/>
        </w:trPr>
        <w:tc>
          <w:tcPr>
            <w:tcW w:w="860" w:type="pct"/>
            <w:gridSpan w:val="2"/>
            <w:vMerge/>
            <w:tcBorders>
              <w:right w:val="single" w:sz="8" w:space="0" w:color="auto"/>
            </w:tcBorders>
            <w:tcMar>
              <w:top w:w="8" w:type="dxa"/>
              <w:left w:w="28" w:type="dxa"/>
              <w:bottom w:w="8" w:type="dxa"/>
              <w:right w:w="28" w:type="dxa"/>
            </w:tcMar>
            <w:vAlign w:val="center"/>
          </w:tcPr>
          <w:p w14:paraId="007A4AA7" w14:textId="77777777" w:rsidR="003D0A0E" w:rsidRPr="00F5353D" w:rsidRDefault="003D0A0E" w:rsidP="003D0A0E">
            <w:pPr>
              <w:spacing w:line="200" w:lineRule="auto"/>
              <w:rPr>
                <w:sz w:val="20"/>
                <w:szCs w:val="20"/>
              </w:rPr>
            </w:pPr>
          </w:p>
        </w:tc>
        <w:tc>
          <w:tcPr>
            <w:tcW w:w="732" w:type="pct"/>
            <w:gridSpan w:val="2"/>
            <w:tcBorders>
              <w:left w:val="single" w:sz="8" w:space="0" w:color="auto"/>
              <w:right w:val="single" w:sz="18" w:space="0" w:color="auto"/>
            </w:tcBorders>
            <w:tcMar>
              <w:top w:w="8" w:type="dxa"/>
              <w:left w:w="28" w:type="dxa"/>
              <w:bottom w:w="8" w:type="dxa"/>
              <w:right w:w="28" w:type="dxa"/>
            </w:tcMar>
            <w:vAlign w:val="center"/>
          </w:tcPr>
          <w:p w14:paraId="6E8E9DF1" w14:textId="56841ABF" w:rsidR="003D0A0E" w:rsidRPr="00F5353D" w:rsidRDefault="003D0A0E" w:rsidP="003D0A0E">
            <w:pPr>
              <w:spacing w:line="200" w:lineRule="auto"/>
              <w:rPr>
                <w:sz w:val="20"/>
                <w:szCs w:val="20"/>
              </w:rPr>
            </w:pPr>
            <w:r w:rsidRPr="00F5353D">
              <w:rPr>
                <w:sz w:val="20"/>
                <w:szCs w:val="20"/>
              </w:rPr>
              <w:t>Mountain</w:t>
            </w:r>
          </w:p>
        </w:tc>
        <w:tc>
          <w:tcPr>
            <w:tcW w:w="209" w:type="pct"/>
            <w:tcBorders>
              <w:left w:val="single" w:sz="18" w:space="0" w:color="auto"/>
            </w:tcBorders>
            <w:tcMar>
              <w:top w:w="8" w:type="dxa"/>
              <w:left w:w="28" w:type="dxa"/>
              <w:bottom w:w="8" w:type="dxa"/>
              <w:right w:w="28" w:type="dxa"/>
            </w:tcMar>
            <w:vAlign w:val="center"/>
          </w:tcPr>
          <w:p w14:paraId="704E0602" w14:textId="133B52AE"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right w:val="single" w:sz="18" w:space="0" w:color="auto"/>
            </w:tcBorders>
            <w:tcMar>
              <w:top w:w="8" w:type="dxa"/>
              <w:left w:w="28" w:type="dxa"/>
              <w:bottom w:w="8" w:type="dxa"/>
              <w:right w:w="28" w:type="dxa"/>
            </w:tcMar>
            <w:vAlign w:val="center"/>
          </w:tcPr>
          <w:p w14:paraId="7C496FD6" w14:textId="65DF9ABA" w:rsidR="003D0A0E" w:rsidRPr="00F5353D" w:rsidRDefault="003D0A0E" w:rsidP="003D0A0E">
            <w:pPr>
              <w:tabs>
                <w:tab w:val="decimal" w:pos="360"/>
              </w:tabs>
              <w:spacing w:line="200" w:lineRule="auto"/>
              <w:rPr>
                <w:sz w:val="20"/>
                <w:szCs w:val="20"/>
              </w:rPr>
            </w:pPr>
            <w:r w:rsidRPr="00F5353D">
              <w:rPr>
                <w:sz w:val="20"/>
                <w:szCs w:val="20"/>
              </w:rPr>
              <w:t>—</w:t>
            </w:r>
          </w:p>
        </w:tc>
        <w:tc>
          <w:tcPr>
            <w:tcW w:w="211" w:type="pct"/>
            <w:tcBorders>
              <w:left w:val="single" w:sz="18" w:space="0" w:color="auto"/>
            </w:tcBorders>
            <w:tcMar>
              <w:top w:w="8" w:type="dxa"/>
              <w:left w:w="28" w:type="dxa"/>
              <w:bottom w:w="8" w:type="dxa"/>
              <w:right w:w="28" w:type="dxa"/>
            </w:tcMar>
            <w:vAlign w:val="center"/>
          </w:tcPr>
          <w:p w14:paraId="2854615A" w14:textId="6B9A0821" w:rsidR="003D0A0E" w:rsidRPr="00F5353D" w:rsidRDefault="003D0A0E" w:rsidP="003D0A0E">
            <w:pPr>
              <w:tabs>
                <w:tab w:val="decimal" w:pos="360"/>
              </w:tabs>
              <w:spacing w:line="200" w:lineRule="auto"/>
              <w:rPr>
                <w:sz w:val="20"/>
                <w:szCs w:val="20"/>
              </w:rPr>
            </w:pPr>
            <w:r w:rsidRPr="00F5353D">
              <w:rPr>
                <w:sz w:val="20"/>
                <w:szCs w:val="20"/>
              </w:rPr>
              <w:t>—</w:t>
            </w:r>
          </w:p>
        </w:tc>
        <w:tc>
          <w:tcPr>
            <w:tcW w:w="206" w:type="pct"/>
            <w:tcBorders>
              <w:right w:val="single" w:sz="8" w:space="0" w:color="auto"/>
            </w:tcBorders>
            <w:tcMar>
              <w:top w:w="8" w:type="dxa"/>
              <w:left w:w="28" w:type="dxa"/>
              <w:bottom w:w="8" w:type="dxa"/>
              <w:right w:w="28" w:type="dxa"/>
            </w:tcMar>
            <w:vAlign w:val="center"/>
          </w:tcPr>
          <w:p w14:paraId="48276FDE" w14:textId="0F36CA29"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left w:val="single" w:sz="8" w:space="0" w:color="auto"/>
            </w:tcBorders>
            <w:tcMar>
              <w:top w:w="8" w:type="dxa"/>
              <w:left w:w="28" w:type="dxa"/>
              <w:bottom w:w="8" w:type="dxa"/>
              <w:right w:w="28" w:type="dxa"/>
            </w:tcMar>
            <w:vAlign w:val="center"/>
          </w:tcPr>
          <w:p w14:paraId="2BFB7E01" w14:textId="39EEEEAA"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right w:val="single" w:sz="18" w:space="0" w:color="auto"/>
            </w:tcBorders>
            <w:tcMar>
              <w:top w:w="8" w:type="dxa"/>
              <w:left w:w="28" w:type="dxa"/>
              <w:bottom w:w="8" w:type="dxa"/>
              <w:right w:w="28" w:type="dxa"/>
            </w:tcMar>
            <w:vAlign w:val="center"/>
          </w:tcPr>
          <w:p w14:paraId="6A1DA47B" w14:textId="1E46B12C"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left w:val="single" w:sz="18" w:space="0" w:color="auto"/>
            </w:tcBorders>
            <w:tcMar>
              <w:top w:w="8" w:type="dxa"/>
              <w:left w:w="28" w:type="dxa"/>
              <w:bottom w:w="8" w:type="dxa"/>
              <w:right w:w="28" w:type="dxa"/>
            </w:tcMar>
            <w:vAlign w:val="center"/>
          </w:tcPr>
          <w:p w14:paraId="0E3C04C3" w14:textId="41CE3966" w:rsidR="003D0A0E" w:rsidRPr="00F5353D" w:rsidRDefault="003D0A0E" w:rsidP="003D0A0E">
            <w:pPr>
              <w:tabs>
                <w:tab w:val="decimal" w:pos="360"/>
              </w:tabs>
              <w:spacing w:line="200" w:lineRule="auto"/>
              <w:rPr>
                <w:sz w:val="20"/>
                <w:szCs w:val="20"/>
              </w:rPr>
            </w:pPr>
            <w:r w:rsidRPr="00F5353D">
              <w:rPr>
                <w:sz w:val="20"/>
                <w:szCs w:val="20"/>
              </w:rPr>
              <w:t>—</w:t>
            </w:r>
          </w:p>
        </w:tc>
        <w:tc>
          <w:tcPr>
            <w:tcW w:w="210" w:type="pct"/>
            <w:tcBorders>
              <w:right w:val="single" w:sz="8" w:space="0" w:color="auto"/>
            </w:tcBorders>
            <w:tcMar>
              <w:top w:w="8" w:type="dxa"/>
              <w:left w:w="28" w:type="dxa"/>
              <w:bottom w:w="8" w:type="dxa"/>
              <w:right w:w="28" w:type="dxa"/>
            </w:tcMar>
            <w:vAlign w:val="center"/>
          </w:tcPr>
          <w:p w14:paraId="2F8F6CE8" w14:textId="1F7CDD97"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left w:val="single" w:sz="8" w:space="0" w:color="auto"/>
            </w:tcBorders>
            <w:tcMar>
              <w:top w:w="8" w:type="dxa"/>
              <w:left w:w="28" w:type="dxa"/>
              <w:bottom w:w="8" w:type="dxa"/>
              <w:right w:w="28" w:type="dxa"/>
            </w:tcMar>
            <w:vAlign w:val="center"/>
          </w:tcPr>
          <w:p w14:paraId="2C51BF5F" w14:textId="09B40C08"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right w:val="single" w:sz="18" w:space="0" w:color="auto"/>
            </w:tcBorders>
            <w:tcMar>
              <w:top w:w="8" w:type="dxa"/>
              <w:left w:w="28" w:type="dxa"/>
              <w:bottom w:w="8" w:type="dxa"/>
              <w:right w:w="28" w:type="dxa"/>
            </w:tcMar>
            <w:vAlign w:val="center"/>
          </w:tcPr>
          <w:p w14:paraId="5727771A" w14:textId="5B3E51F7"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left w:val="single" w:sz="18" w:space="0" w:color="auto"/>
            </w:tcBorders>
            <w:tcMar>
              <w:top w:w="8" w:type="dxa"/>
              <w:left w:w="28" w:type="dxa"/>
              <w:bottom w:w="8" w:type="dxa"/>
              <w:right w:w="28" w:type="dxa"/>
            </w:tcMar>
            <w:vAlign w:val="center"/>
          </w:tcPr>
          <w:p w14:paraId="20110740" w14:textId="58BF5101"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right w:val="single" w:sz="18" w:space="0" w:color="auto"/>
            </w:tcBorders>
            <w:tcMar>
              <w:top w:w="8" w:type="dxa"/>
              <w:left w:w="28" w:type="dxa"/>
              <w:bottom w:w="8" w:type="dxa"/>
              <w:right w:w="28" w:type="dxa"/>
            </w:tcMar>
            <w:vAlign w:val="center"/>
          </w:tcPr>
          <w:p w14:paraId="484FDDD1" w14:textId="3E937419"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left w:val="single" w:sz="18" w:space="0" w:color="auto"/>
            </w:tcBorders>
            <w:tcMar>
              <w:top w:w="8" w:type="dxa"/>
              <w:left w:w="28" w:type="dxa"/>
              <w:bottom w:w="8" w:type="dxa"/>
              <w:right w:w="28" w:type="dxa"/>
            </w:tcMar>
            <w:vAlign w:val="bottom"/>
          </w:tcPr>
          <w:p w14:paraId="3AFD8447" w14:textId="62C937FA" w:rsidR="003D0A0E" w:rsidRPr="00F5353D" w:rsidRDefault="003D0A0E" w:rsidP="003D0A0E">
            <w:pPr>
              <w:tabs>
                <w:tab w:val="decimal" w:pos="360"/>
              </w:tabs>
              <w:spacing w:line="200" w:lineRule="auto"/>
              <w:rPr>
                <w:sz w:val="20"/>
                <w:szCs w:val="20"/>
              </w:rPr>
            </w:pPr>
            <w:r w:rsidRPr="00F5353D">
              <w:rPr>
                <w:color w:val="000000"/>
                <w:sz w:val="20"/>
                <w:szCs w:val="20"/>
              </w:rPr>
              <w:t>-0.62</w:t>
            </w:r>
          </w:p>
        </w:tc>
        <w:tc>
          <w:tcPr>
            <w:tcW w:w="209" w:type="pct"/>
            <w:tcBorders>
              <w:right w:val="single" w:sz="8" w:space="0" w:color="auto"/>
            </w:tcBorders>
            <w:tcMar>
              <w:top w:w="8" w:type="dxa"/>
              <w:left w:w="28" w:type="dxa"/>
              <w:bottom w:w="8" w:type="dxa"/>
              <w:right w:w="28" w:type="dxa"/>
            </w:tcMar>
            <w:vAlign w:val="bottom"/>
          </w:tcPr>
          <w:p w14:paraId="2AC85A1B" w14:textId="5C754AC2" w:rsidR="003D0A0E" w:rsidRPr="00F5353D" w:rsidRDefault="003D0A0E" w:rsidP="003D0A0E">
            <w:pPr>
              <w:tabs>
                <w:tab w:val="decimal" w:pos="360"/>
              </w:tabs>
              <w:spacing w:line="200" w:lineRule="auto"/>
              <w:rPr>
                <w:sz w:val="20"/>
                <w:szCs w:val="20"/>
              </w:rPr>
            </w:pPr>
            <w:r w:rsidRPr="00F5353D">
              <w:rPr>
                <w:color w:val="000000"/>
                <w:sz w:val="20"/>
                <w:szCs w:val="20"/>
              </w:rPr>
              <w:t>-4.01</w:t>
            </w:r>
          </w:p>
        </w:tc>
        <w:tc>
          <w:tcPr>
            <w:tcW w:w="208" w:type="pct"/>
            <w:tcBorders>
              <w:left w:val="single" w:sz="8" w:space="0" w:color="auto"/>
            </w:tcBorders>
            <w:tcMar>
              <w:top w:w="8" w:type="dxa"/>
              <w:left w:w="28" w:type="dxa"/>
              <w:bottom w:w="8" w:type="dxa"/>
              <w:right w:w="28" w:type="dxa"/>
            </w:tcMar>
            <w:vAlign w:val="center"/>
          </w:tcPr>
          <w:p w14:paraId="63358E21" w14:textId="6D37CE92"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Mar>
              <w:top w:w="8" w:type="dxa"/>
              <w:left w:w="28" w:type="dxa"/>
              <w:bottom w:w="8" w:type="dxa"/>
              <w:right w:w="28" w:type="dxa"/>
            </w:tcMar>
            <w:vAlign w:val="center"/>
          </w:tcPr>
          <w:p w14:paraId="189A7D67" w14:textId="10FC9E71" w:rsidR="003D0A0E" w:rsidRPr="00F5353D" w:rsidRDefault="003D0A0E" w:rsidP="003D0A0E">
            <w:pPr>
              <w:tabs>
                <w:tab w:val="decimal" w:pos="360"/>
              </w:tabs>
              <w:spacing w:line="200" w:lineRule="auto"/>
              <w:rPr>
                <w:sz w:val="20"/>
                <w:szCs w:val="20"/>
              </w:rPr>
            </w:pPr>
            <w:r w:rsidRPr="00F5353D">
              <w:rPr>
                <w:sz w:val="20"/>
                <w:szCs w:val="20"/>
              </w:rPr>
              <w:t>—</w:t>
            </w:r>
          </w:p>
        </w:tc>
      </w:tr>
      <w:tr w:rsidR="003D0A0E" w:rsidRPr="00F5353D" w14:paraId="38FA248B" w14:textId="77777777" w:rsidTr="007C4658">
        <w:trPr>
          <w:cantSplit/>
          <w:trHeight w:val="187"/>
        </w:trPr>
        <w:tc>
          <w:tcPr>
            <w:tcW w:w="860" w:type="pct"/>
            <w:gridSpan w:val="2"/>
            <w:vMerge/>
            <w:tcBorders>
              <w:right w:val="single" w:sz="8" w:space="0" w:color="auto"/>
            </w:tcBorders>
            <w:tcMar>
              <w:top w:w="8" w:type="dxa"/>
              <w:left w:w="28" w:type="dxa"/>
              <w:bottom w:w="8" w:type="dxa"/>
              <w:right w:w="28" w:type="dxa"/>
            </w:tcMar>
            <w:vAlign w:val="center"/>
          </w:tcPr>
          <w:p w14:paraId="2CD1BB3F" w14:textId="77777777" w:rsidR="003D0A0E" w:rsidRPr="00F5353D" w:rsidRDefault="003D0A0E" w:rsidP="003D0A0E">
            <w:pPr>
              <w:spacing w:line="200" w:lineRule="auto"/>
              <w:rPr>
                <w:sz w:val="20"/>
                <w:szCs w:val="20"/>
              </w:rPr>
            </w:pPr>
          </w:p>
        </w:tc>
        <w:tc>
          <w:tcPr>
            <w:tcW w:w="732" w:type="pct"/>
            <w:gridSpan w:val="2"/>
            <w:tcBorders>
              <w:left w:val="single" w:sz="8" w:space="0" w:color="auto"/>
              <w:right w:val="single" w:sz="18" w:space="0" w:color="auto"/>
            </w:tcBorders>
            <w:tcMar>
              <w:top w:w="8" w:type="dxa"/>
              <w:left w:w="28" w:type="dxa"/>
              <w:bottom w:w="8" w:type="dxa"/>
              <w:right w:w="28" w:type="dxa"/>
            </w:tcMar>
            <w:vAlign w:val="center"/>
          </w:tcPr>
          <w:p w14:paraId="05091DDB" w14:textId="7A06CE49" w:rsidR="003D0A0E" w:rsidRPr="00F5353D" w:rsidRDefault="003D0A0E" w:rsidP="003D0A0E">
            <w:pPr>
              <w:spacing w:line="200" w:lineRule="auto"/>
              <w:rPr>
                <w:sz w:val="20"/>
                <w:szCs w:val="20"/>
              </w:rPr>
            </w:pPr>
            <w:r w:rsidRPr="00F5353D">
              <w:rPr>
                <w:sz w:val="20"/>
                <w:szCs w:val="20"/>
              </w:rPr>
              <w:t>Pacific</w:t>
            </w:r>
          </w:p>
        </w:tc>
        <w:tc>
          <w:tcPr>
            <w:tcW w:w="209" w:type="pct"/>
            <w:tcBorders>
              <w:left w:val="single" w:sz="18" w:space="0" w:color="auto"/>
            </w:tcBorders>
            <w:tcMar>
              <w:top w:w="8" w:type="dxa"/>
              <w:left w:w="28" w:type="dxa"/>
              <w:bottom w:w="8" w:type="dxa"/>
              <w:right w:w="28" w:type="dxa"/>
            </w:tcMar>
            <w:vAlign w:val="center"/>
          </w:tcPr>
          <w:p w14:paraId="49CB165A" w14:textId="4E3FB047"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right w:val="single" w:sz="18" w:space="0" w:color="auto"/>
            </w:tcBorders>
            <w:tcMar>
              <w:top w:w="8" w:type="dxa"/>
              <w:left w:w="28" w:type="dxa"/>
              <w:bottom w:w="8" w:type="dxa"/>
              <w:right w:w="28" w:type="dxa"/>
            </w:tcMar>
            <w:vAlign w:val="center"/>
          </w:tcPr>
          <w:p w14:paraId="0F255297" w14:textId="7C5A8468" w:rsidR="003D0A0E" w:rsidRPr="00F5353D" w:rsidRDefault="003D0A0E" w:rsidP="003D0A0E">
            <w:pPr>
              <w:tabs>
                <w:tab w:val="decimal" w:pos="360"/>
              </w:tabs>
              <w:spacing w:line="200" w:lineRule="auto"/>
              <w:rPr>
                <w:sz w:val="20"/>
                <w:szCs w:val="20"/>
              </w:rPr>
            </w:pPr>
            <w:r w:rsidRPr="00F5353D">
              <w:rPr>
                <w:sz w:val="20"/>
                <w:szCs w:val="20"/>
              </w:rPr>
              <w:t>—</w:t>
            </w:r>
          </w:p>
        </w:tc>
        <w:tc>
          <w:tcPr>
            <w:tcW w:w="211" w:type="pct"/>
            <w:tcBorders>
              <w:left w:val="single" w:sz="18" w:space="0" w:color="auto"/>
            </w:tcBorders>
            <w:tcMar>
              <w:top w:w="8" w:type="dxa"/>
              <w:left w:w="28" w:type="dxa"/>
              <w:bottom w:w="8" w:type="dxa"/>
              <w:right w:w="28" w:type="dxa"/>
            </w:tcMar>
            <w:vAlign w:val="center"/>
          </w:tcPr>
          <w:p w14:paraId="25DE20CE" w14:textId="43F63739" w:rsidR="003D0A0E" w:rsidRPr="00F5353D" w:rsidRDefault="003D0A0E" w:rsidP="003D0A0E">
            <w:pPr>
              <w:tabs>
                <w:tab w:val="decimal" w:pos="360"/>
              </w:tabs>
              <w:spacing w:line="200" w:lineRule="auto"/>
              <w:rPr>
                <w:sz w:val="20"/>
                <w:szCs w:val="20"/>
              </w:rPr>
            </w:pPr>
            <w:r w:rsidRPr="00F5353D">
              <w:rPr>
                <w:sz w:val="20"/>
                <w:szCs w:val="20"/>
              </w:rPr>
              <w:t>—</w:t>
            </w:r>
          </w:p>
        </w:tc>
        <w:tc>
          <w:tcPr>
            <w:tcW w:w="206" w:type="pct"/>
            <w:tcBorders>
              <w:right w:val="single" w:sz="8" w:space="0" w:color="auto"/>
            </w:tcBorders>
            <w:tcMar>
              <w:top w:w="8" w:type="dxa"/>
              <w:left w:w="28" w:type="dxa"/>
              <w:bottom w:w="8" w:type="dxa"/>
              <w:right w:w="28" w:type="dxa"/>
            </w:tcMar>
            <w:vAlign w:val="center"/>
          </w:tcPr>
          <w:p w14:paraId="559D5048" w14:textId="57B1659D"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left w:val="single" w:sz="8" w:space="0" w:color="auto"/>
            </w:tcBorders>
            <w:tcMar>
              <w:top w:w="8" w:type="dxa"/>
              <w:left w:w="28" w:type="dxa"/>
              <w:bottom w:w="8" w:type="dxa"/>
              <w:right w:w="28" w:type="dxa"/>
            </w:tcMar>
            <w:vAlign w:val="center"/>
          </w:tcPr>
          <w:p w14:paraId="0F1DC502" w14:textId="1907AE6B"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right w:val="single" w:sz="18" w:space="0" w:color="auto"/>
            </w:tcBorders>
            <w:tcMar>
              <w:top w:w="8" w:type="dxa"/>
              <w:left w:w="28" w:type="dxa"/>
              <w:bottom w:w="8" w:type="dxa"/>
              <w:right w:w="28" w:type="dxa"/>
            </w:tcMar>
            <w:vAlign w:val="center"/>
          </w:tcPr>
          <w:p w14:paraId="041B91F5" w14:textId="56BAF2A5"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left w:val="single" w:sz="18" w:space="0" w:color="auto"/>
            </w:tcBorders>
            <w:tcMar>
              <w:top w:w="8" w:type="dxa"/>
              <w:left w:w="28" w:type="dxa"/>
              <w:bottom w:w="8" w:type="dxa"/>
              <w:right w:w="28" w:type="dxa"/>
            </w:tcMar>
            <w:vAlign w:val="center"/>
          </w:tcPr>
          <w:p w14:paraId="30BB0845" w14:textId="144DB40A" w:rsidR="003D0A0E" w:rsidRPr="00F5353D" w:rsidRDefault="003D0A0E" w:rsidP="003D0A0E">
            <w:pPr>
              <w:tabs>
                <w:tab w:val="decimal" w:pos="360"/>
              </w:tabs>
              <w:spacing w:line="200" w:lineRule="auto"/>
              <w:rPr>
                <w:sz w:val="20"/>
                <w:szCs w:val="20"/>
              </w:rPr>
            </w:pPr>
            <w:r w:rsidRPr="00F5353D">
              <w:rPr>
                <w:sz w:val="20"/>
                <w:szCs w:val="20"/>
              </w:rPr>
              <w:t>—</w:t>
            </w:r>
          </w:p>
        </w:tc>
        <w:tc>
          <w:tcPr>
            <w:tcW w:w="210" w:type="pct"/>
            <w:tcBorders>
              <w:right w:val="single" w:sz="8" w:space="0" w:color="auto"/>
            </w:tcBorders>
            <w:tcMar>
              <w:top w:w="8" w:type="dxa"/>
              <w:left w:w="28" w:type="dxa"/>
              <w:bottom w:w="8" w:type="dxa"/>
              <w:right w:w="28" w:type="dxa"/>
            </w:tcMar>
            <w:vAlign w:val="center"/>
          </w:tcPr>
          <w:p w14:paraId="1239159D" w14:textId="0400905E"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left w:val="single" w:sz="8" w:space="0" w:color="auto"/>
            </w:tcBorders>
            <w:tcMar>
              <w:top w:w="8" w:type="dxa"/>
              <w:left w:w="28" w:type="dxa"/>
              <w:bottom w:w="8" w:type="dxa"/>
              <w:right w:w="28" w:type="dxa"/>
            </w:tcMar>
            <w:vAlign w:val="center"/>
          </w:tcPr>
          <w:p w14:paraId="32FED3A5" w14:textId="00DB6061"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right w:val="single" w:sz="18" w:space="0" w:color="auto"/>
            </w:tcBorders>
            <w:tcMar>
              <w:top w:w="8" w:type="dxa"/>
              <w:left w:w="28" w:type="dxa"/>
              <w:bottom w:w="8" w:type="dxa"/>
              <w:right w:w="28" w:type="dxa"/>
            </w:tcMar>
            <w:vAlign w:val="center"/>
          </w:tcPr>
          <w:p w14:paraId="750A2FD7" w14:textId="7B0D0F13"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left w:val="single" w:sz="18" w:space="0" w:color="auto"/>
            </w:tcBorders>
            <w:tcMar>
              <w:top w:w="8" w:type="dxa"/>
              <w:left w:w="28" w:type="dxa"/>
              <w:bottom w:w="8" w:type="dxa"/>
              <w:right w:w="28" w:type="dxa"/>
            </w:tcMar>
            <w:vAlign w:val="center"/>
          </w:tcPr>
          <w:p w14:paraId="22DA2F36" w14:textId="39D9A9AA"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right w:val="single" w:sz="18" w:space="0" w:color="auto"/>
            </w:tcBorders>
            <w:tcMar>
              <w:top w:w="8" w:type="dxa"/>
              <w:left w:w="28" w:type="dxa"/>
              <w:bottom w:w="8" w:type="dxa"/>
              <w:right w:w="28" w:type="dxa"/>
            </w:tcMar>
            <w:vAlign w:val="center"/>
          </w:tcPr>
          <w:p w14:paraId="2751F7DF" w14:textId="6E4EBCA4"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left w:val="single" w:sz="18" w:space="0" w:color="auto"/>
            </w:tcBorders>
            <w:tcMar>
              <w:top w:w="8" w:type="dxa"/>
              <w:left w:w="28" w:type="dxa"/>
              <w:bottom w:w="8" w:type="dxa"/>
              <w:right w:w="28" w:type="dxa"/>
            </w:tcMar>
            <w:vAlign w:val="bottom"/>
          </w:tcPr>
          <w:p w14:paraId="0E9EE3E8" w14:textId="5320A08B" w:rsidR="003D0A0E" w:rsidRPr="00F5353D" w:rsidRDefault="003D0A0E" w:rsidP="003D0A0E">
            <w:pPr>
              <w:tabs>
                <w:tab w:val="decimal" w:pos="360"/>
              </w:tabs>
              <w:spacing w:line="200" w:lineRule="auto"/>
              <w:rPr>
                <w:color w:val="000000"/>
                <w:sz w:val="20"/>
                <w:szCs w:val="20"/>
              </w:rPr>
            </w:pPr>
            <w:r w:rsidRPr="00F5353D">
              <w:rPr>
                <w:color w:val="000000"/>
                <w:sz w:val="20"/>
                <w:szCs w:val="20"/>
              </w:rPr>
              <w:t>-0.78</w:t>
            </w:r>
          </w:p>
        </w:tc>
        <w:tc>
          <w:tcPr>
            <w:tcW w:w="209" w:type="pct"/>
            <w:tcBorders>
              <w:right w:val="single" w:sz="8" w:space="0" w:color="auto"/>
            </w:tcBorders>
            <w:tcMar>
              <w:top w:w="8" w:type="dxa"/>
              <w:left w:w="28" w:type="dxa"/>
              <w:bottom w:w="8" w:type="dxa"/>
              <w:right w:w="28" w:type="dxa"/>
            </w:tcMar>
            <w:vAlign w:val="bottom"/>
          </w:tcPr>
          <w:p w14:paraId="0099F01C" w14:textId="25BBDE99" w:rsidR="003D0A0E" w:rsidRPr="00F5353D" w:rsidRDefault="003D0A0E" w:rsidP="003D0A0E">
            <w:pPr>
              <w:tabs>
                <w:tab w:val="decimal" w:pos="360"/>
              </w:tabs>
              <w:spacing w:line="200" w:lineRule="auto"/>
              <w:rPr>
                <w:color w:val="000000"/>
                <w:sz w:val="20"/>
                <w:szCs w:val="20"/>
              </w:rPr>
            </w:pPr>
            <w:r w:rsidRPr="00F5353D">
              <w:rPr>
                <w:color w:val="000000"/>
                <w:sz w:val="20"/>
                <w:szCs w:val="20"/>
              </w:rPr>
              <w:t>-4.95</w:t>
            </w:r>
          </w:p>
        </w:tc>
        <w:tc>
          <w:tcPr>
            <w:tcW w:w="208" w:type="pct"/>
            <w:tcBorders>
              <w:left w:val="single" w:sz="8" w:space="0" w:color="auto"/>
            </w:tcBorders>
            <w:tcMar>
              <w:top w:w="8" w:type="dxa"/>
              <w:left w:w="28" w:type="dxa"/>
              <w:bottom w:w="8" w:type="dxa"/>
              <w:right w:w="28" w:type="dxa"/>
            </w:tcMar>
            <w:vAlign w:val="center"/>
          </w:tcPr>
          <w:p w14:paraId="2C9D17D2" w14:textId="46572201"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Mar>
              <w:top w:w="8" w:type="dxa"/>
              <w:left w:w="28" w:type="dxa"/>
              <w:bottom w:w="8" w:type="dxa"/>
              <w:right w:w="28" w:type="dxa"/>
            </w:tcMar>
            <w:vAlign w:val="center"/>
          </w:tcPr>
          <w:p w14:paraId="21A7AF3B" w14:textId="17C048BF" w:rsidR="003D0A0E" w:rsidRPr="00F5353D" w:rsidRDefault="003D0A0E" w:rsidP="003D0A0E">
            <w:pPr>
              <w:tabs>
                <w:tab w:val="decimal" w:pos="360"/>
              </w:tabs>
              <w:spacing w:line="200" w:lineRule="auto"/>
              <w:rPr>
                <w:sz w:val="20"/>
                <w:szCs w:val="20"/>
              </w:rPr>
            </w:pPr>
            <w:r w:rsidRPr="00F5353D">
              <w:rPr>
                <w:sz w:val="20"/>
                <w:szCs w:val="20"/>
              </w:rPr>
              <w:t>—</w:t>
            </w:r>
          </w:p>
        </w:tc>
      </w:tr>
      <w:tr w:rsidR="002B4539" w:rsidRPr="00F5353D" w14:paraId="48EBDE9C" w14:textId="77777777" w:rsidTr="007C4658">
        <w:trPr>
          <w:cantSplit/>
          <w:trHeight w:val="187"/>
        </w:trPr>
        <w:tc>
          <w:tcPr>
            <w:tcW w:w="5000" w:type="pct"/>
            <w:gridSpan w:val="20"/>
            <w:tcBorders>
              <w:top w:val="single" w:sz="18" w:space="0" w:color="auto"/>
            </w:tcBorders>
            <w:tcMar>
              <w:top w:w="8" w:type="dxa"/>
              <w:left w:w="28" w:type="dxa"/>
              <w:bottom w:w="8" w:type="dxa"/>
              <w:right w:w="28" w:type="dxa"/>
            </w:tcMar>
            <w:vAlign w:val="center"/>
          </w:tcPr>
          <w:p w14:paraId="347A0A5A" w14:textId="1F71E5C4" w:rsidR="002B4539" w:rsidRPr="00F5353D" w:rsidRDefault="002B4539" w:rsidP="002B4539">
            <w:pPr>
              <w:tabs>
                <w:tab w:val="decimal" w:pos="360"/>
              </w:tabs>
              <w:spacing w:line="200" w:lineRule="auto"/>
              <w:rPr>
                <w:sz w:val="20"/>
                <w:szCs w:val="20"/>
              </w:rPr>
            </w:pPr>
            <w:r w:rsidRPr="00F5353D">
              <w:rPr>
                <w:b/>
                <w:bCs/>
                <w:i/>
                <w:iCs/>
                <w:sz w:val="20"/>
                <w:szCs w:val="20"/>
              </w:rPr>
              <w:t>Residential built-environment characteristics</w:t>
            </w:r>
          </w:p>
        </w:tc>
      </w:tr>
      <w:tr w:rsidR="003D0A0E" w:rsidRPr="00F5353D" w14:paraId="1C13CCA7" w14:textId="77777777" w:rsidTr="00AD79F7">
        <w:trPr>
          <w:cantSplit/>
          <w:trHeight w:val="274"/>
        </w:trPr>
        <w:tc>
          <w:tcPr>
            <w:tcW w:w="443" w:type="pct"/>
            <w:vMerge w:val="restart"/>
            <w:tcBorders>
              <w:top w:val="single" w:sz="8" w:space="0" w:color="auto"/>
              <w:right w:val="single" w:sz="8" w:space="0" w:color="auto"/>
            </w:tcBorders>
            <w:tcMar>
              <w:top w:w="8" w:type="dxa"/>
              <w:left w:w="28" w:type="dxa"/>
              <w:bottom w:w="8" w:type="dxa"/>
              <w:right w:w="28" w:type="dxa"/>
            </w:tcMar>
            <w:vAlign w:val="center"/>
          </w:tcPr>
          <w:p w14:paraId="3A2A5AF0" w14:textId="157C79C3" w:rsidR="003D0A0E" w:rsidRPr="00F5353D" w:rsidRDefault="003D0A0E" w:rsidP="003D0A0E">
            <w:pPr>
              <w:spacing w:line="200" w:lineRule="auto"/>
              <w:rPr>
                <w:sz w:val="20"/>
                <w:szCs w:val="20"/>
              </w:rPr>
            </w:pPr>
            <w:r w:rsidRPr="00F5353D">
              <w:rPr>
                <w:sz w:val="20"/>
                <w:szCs w:val="20"/>
              </w:rPr>
              <w:t>Socio-economic variables</w:t>
            </w:r>
          </w:p>
        </w:tc>
        <w:tc>
          <w:tcPr>
            <w:tcW w:w="1149" w:type="pct"/>
            <w:gridSpan w:val="3"/>
            <w:tcBorders>
              <w:top w:val="single" w:sz="8" w:space="0" w:color="auto"/>
              <w:right w:val="single" w:sz="18" w:space="0" w:color="auto"/>
            </w:tcBorders>
            <w:vAlign w:val="center"/>
          </w:tcPr>
          <w:p w14:paraId="1BC7DE31" w14:textId="5F471DF5" w:rsidR="003D0A0E" w:rsidRPr="00F5353D" w:rsidRDefault="003D0A0E" w:rsidP="003D0A0E">
            <w:pPr>
              <w:spacing w:line="200" w:lineRule="auto"/>
              <w:rPr>
                <w:sz w:val="20"/>
                <w:szCs w:val="20"/>
              </w:rPr>
            </w:pPr>
            <w:r w:rsidRPr="00F5353D">
              <w:rPr>
                <w:color w:val="000000"/>
                <w:sz w:val="20"/>
                <w:szCs w:val="20"/>
              </w:rPr>
              <w:t>No-vehicle households</w:t>
            </w:r>
          </w:p>
        </w:tc>
        <w:tc>
          <w:tcPr>
            <w:tcW w:w="209" w:type="pct"/>
            <w:tcBorders>
              <w:top w:val="single" w:sz="8" w:space="0" w:color="auto"/>
              <w:left w:val="single" w:sz="18" w:space="0" w:color="auto"/>
            </w:tcBorders>
            <w:tcMar>
              <w:top w:w="8" w:type="dxa"/>
              <w:left w:w="28" w:type="dxa"/>
              <w:bottom w:w="8" w:type="dxa"/>
              <w:right w:w="28" w:type="dxa"/>
            </w:tcMar>
            <w:vAlign w:val="bottom"/>
          </w:tcPr>
          <w:p w14:paraId="5DA3B745" w14:textId="0927D663" w:rsidR="003D0A0E" w:rsidRPr="00F5353D" w:rsidRDefault="003D0A0E" w:rsidP="003D0A0E">
            <w:pPr>
              <w:tabs>
                <w:tab w:val="decimal" w:pos="360"/>
              </w:tabs>
              <w:spacing w:line="200" w:lineRule="auto"/>
              <w:rPr>
                <w:sz w:val="20"/>
                <w:szCs w:val="20"/>
              </w:rPr>
            </w:pPr>
            <w:r w:rsidRPr="00F5353D">
              <w:rPr>
                <w:color w:val="000000"/>
                <w:sz w:val="20"/>
                <w:szCs w:val="20"/>
              </w:rPr>
              <w:t>-0.87</w:t>
            </w:r>
          </w:p>
        </w:tc>
        <w:tc>
          <w:tcPr>
            <w:tcW w:w="208" w:type="pct"/>
            <w:tcBorders>
              <w:top w:val="single" w:sz="8" w:space="0" w:color="auto"/>
              <w:right w:val="single" w:sz="18" w:space="0" w:color="auto"/>
            </w:tcBorders>
            <w:tcMar>
              <w:top w:w="8" w:type="dxa"/>
              <w:left w:w="28" w:type="dxa"/>
              <w:bottom w:w="8" w:type="dxa"/>
              <w:right w:w="28" w:type="dxa"/>
            </w:tcMar>
            <w:vAlign w:val="bottom"/>
          </w:tcPr>
          <w:p w14:paraId="6CBAB81E" w14:textId="58584BA3" w:rsidR="003D0A0E" w:rsidRPr="00F5353D" w:rsidRDefault="003D0A0E" w:rsidP="003D0A0E">
            <w:pPr>
              <w:tabs>
                <w:tab w:val="decimal" w:pos="360"/>
              </w:tabs>
              <w:spacing w:line="200" w:lineRule="auto"/>
              <w:rPr>
                <w:sz w:val="20"/>
                <w:szCs w:val="20"/>
              </w:rPr>
            </w:pPr>
            <w:r w:rsidRPr="00F5353D">
              <w:rPr>
                <w:color w:val="000000"/>
                <w:sz w:val="20"/>
                <w:szCs w:val="20"/>
              </w:rPr>
              <w:t>-3.76</w:t>
            </w:r>
          </w:p>
        </w:tc>
        <w:tc>
          <w:tcPr>
            <w:tcW w:w="211" w:type="pct"/>
            <w:tcBorders>
              <w:top w:val="single" w:sz="8" w:space="0" w:color="auto"/>
              <w:left w:val="single" w:sz="18" w:space="0" w:color="auto"/>
            </w:tcBorders>
            <w:tcMar>
              <w:top w:w="8" w:type="dxa"/>
              <w:left w:w="28" w:type="dxa"/>
              <w:bottom w:w="8" w:type="dxa"/>
              <w:right w:w="28" w:type="dxa"/>
            </w:tcMar>
            <w:vAlign w:val="center"/>
          </w:tcPr>
          <w:p w14:paraId="52363FDF" w14:textId="26FBFACA" w:rsidR="003D0A0E" w:rsidRPr="00F5353D" w:rsidRDefault="003D0A0E" w:rsidP="003D0A0E">
            <w:pPr>
              <w:tabs>
                <w:tab w:val="decimal" w:pos="360"/>
              </w:tabs>
              <w:spacing w:line="200" w:lineRule="auto"/>
              <w:rPr>
                <w:sz w:val="20"/>
                <w:szCs w:val="20"/>
              </w:rPr>
            </w:pPr>
            <w:r w:rsidRPr="00F5353D">
              <w:rPr>
                <w:sz w:val="20"/>
                <w:szCs w:val="20"/>
              </w:rPr>
              <w:t>—</w:t>
            </w:r>
          </w:p>
        </w:tc>
        <w:tc>
          <w:tcPr>
            <w:tcW w:w="206" w:type="pct"/>
            <w:tcBorders>
              <w:top w:val="single" w:sz="8" w:space="0" w:color="auto"/>
              <w:right w:val="single" w:sz="8" w:space="0" w:color="auto"/>
            </w:tcBorders>
            <w:tcMar>
              <w:top w:w="8" w:type="dxa"/>
              <w:left w:w="28" w:type="dxa"/>
              <w:bottom w:w="8" w:type="dxa"/>
              <w:right w:w="28" w:type="dxa"/>
            </w:tcMar>
            <w:vAlign w:val="center"/>
          </w:tcPr>
          <w:p w14:paraId="063D3A49" w14:textId="2BD0ED8D"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top w:val="single" w:sz="8" w:space="0" w:color="auto"/>
              <w:left w:val="single" w:sz="8" w:space="0" w:color="auto"/>
            </w:tcBorders>
            <w:tcMar>
              <w:top w:w="8" w:type="dxa"/>
              <w:left w:w="28" w:type="dxa"/>
              <w:bottom w:w="8" w:type="dxa"/>
              <w:right w:w="28" w:type="dxa"/>
            </w:tcMar>
            <w:vAlign w:val="center"/>
          </w:tcPr>
          <w:p w14:paraId="75F1C80D" w14:textId="4A161FC7"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top w:val="single" w:sz="8" w:space="0" w:color="auto"/>
              <w:right w:val="single" w:sz="18" w:space="0" w:color="auto"/>
            </w:tcBorders>
            <w:tcMar>
              <w:top w:w="8" w:type="dxa"/>
              <w:left w:w="28" w:type="dxa"/>
              <w:bottom w:w="8" w:type="dxa"/>
              <w:right w:w="28" w:type="dxa"/>
            </w:tcMar>
            <w:vAlign w:val="center"/>
          </w:tcPr>
          <w:p w14:paraId="57948A24" w14:textId="4DCDF43A"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top w:val="single" w:sz="8" w:space="0" w:color="auto"/>
              <w:left w:val="single" w:sz="18" w:space="0" w:color="auto"/>
            </w:tcBorders>
            <w:tcMar>
              <w:top w:w="8" w:type="dxa"/>
              <w:left w:w="28" w:type="dxa"/>
              <w:bottom w:w="8" w:type="dxa"/>
              <w:right w:w="28" w:type="dxa"/>
            </w:tcMar>
            <w:vAlign w:val="center"/>
          </w:tcPr>
          <w:p w14:paraId="788464CF" w14:textId="4F50C520" w:rsidR="003D0A0E" w:rsidRPr="00F5353D" w:rsidRDefault="003D0A0E" w:rsidP="003D0A0E">
            <w:pPr>
              <w:tabs>
                <w:tab w:val="decimal" w:pos="360"/>
              </w:tabs>
              <w:spacing w:line="200" w:lineRule="auto"/>
              <w:rPr>
                <w:sz w:val="20"/>
                <w:szCs w:val="20"/>
              </w:rPr>
            </w:pPr>
            <w:r w:rsidRPr="00F5353D">
              <w:rPr>
                <w:sz w:val="20"/>
                <w:szCs w:val="20"/>
              </w:rPr>
              <w:t>—</w:t>
            </w:r>
          </w:p>
        </w:tc>
        <w:tc>
          <w:tcPr>
            <w:tcW w:w="210" w:type="pct"/>
            <w:tcBorders>
              <w:top w:val="single" w:sz="8" w:space="0" w:color="auto"/>
              <w:right w:val="single" w:sz="8" w:space="0" w:color="auto"/>
            </w:tcBorders>
            <w:tcMar>
              <w:top w:w="8" w:type="dxa"/>
              <w:left w:w="28" w:type="dxa"/>
              <w:bottom w:w="8" w:type="dxa"/>
              <w:right w:w="28" w:type="dxa"/>
            </w:tcMar>
            <w:vAlign w:val="center"/>
          </w:tcPr>
          <w:p w14:paraId="0A1C6252" w14:textId="68A74C6A"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top w:val="single" w:sz="8" w:space="0" w:color="auto"/>
              <w:left w:val="single" w:sz="8" w:space="0" w:color="auto"/>
            </w:tcBorders>
            <w:tcMar>
              <w:top w:w="8" w:type="dxa"/>
              <w:left w:w="28" w:type="dxa"/>
              <w:bottom w:w="8" w:type="dxa"/>
              <w:right w:w="28" w:type="dxa"/>
            </w:tcMar>
            <w:vAlign w:val="center"/>
          </w:tcPr>
          <w:p w14:paraId="7DF4A6D9" w14:textId="426B0F7C"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top w:val="single" w:sz="8" w:space="0" w:color="auto"/>
              <w:right w:val="single" w:sz="18" w:space="0" w:color="auto"/>
            </w:tcBorders>
            <w:tcMar>
              <w:top w:w="8" w:type="dxa"/>
              <w:left w:w="28" w:type="dxa"/>
              <w:bottom w:w="8" w:type="dxa"/>
              <w:right w:w="28" w:type="dxa"/>
            </w:tcMar>
            <w:vAlign w:val="center"/>
          </w:tcPr>
          <w:p w14:paraId="2DB1C27A" w14:textId="203DE5B6"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top w:val="single" w:sz="8" w:space="0" w:color="auto"/>
              <w:left w:val="single" w:sz="18" w:space="0" w:color="auto"/>
            </w:tcBorders>
            <w:tcMar>
              <w:top w:w="8" w:type="dxa"/>
              <w:left w:w="28" w:type="dxa"/>
              <w:bottom w:w="8" w:type="dxa"/>
              <w:right w:w="28" w:type="dxa"/>
            </w:tcMar>
            <w:vAlign w:val="center"/>
          </w:tcPr>
          <w:p w14:paraId="177E8EAD" w14:textId="4A28F760"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top w:val="single" w:sz="8" w:space="0" w:color="auto"/>
              <w:right w:val="single" w:sz="18" w:space="0" w:color="auto"/>
            </w:tcBorders>
            <w:tcMar>
              <w:top w:w="8" w:type="dxa"/>
              <w:left w:w="28" w:type="dxa"/>
              <w:bottom w:w="8" w:type="dxa"/>
              <w:right w:w="28" w:type="dxa"/>
            </w:tcMar>
            <w:vAlign w:val="center"/>
          </w:tcPr>
          <w:p w14:paraId="6D3439D8" w14:textId="20A7014F"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top w:val="single" w:sz="8" w:space="0" w:color="auto"/>
              <w:left w:val="single" w:sz="18" w:space="0" w:color="auto"/>
            </w:tcBorders>
            <w:tcMar>
              <w:top w:w="8" w:type="dxa"/>
              <w:left w:w="28" w:type="dxa"/>
              <w:bottom w:w="8" w:type="dxa"/>
              <w:right w:w="28" w:type="dxa"/>
            </w:tcMar>
            <w:vAlign w:val="center"/>
          </w:tcPr>
          <w:p w14:paraId="079BF9C0" w14:textId="50F42421"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top w:val="single" w:sz="8" w:space="0" w:color="auto"/>
              <w:right w:val="single" w:sz="8" w:space="0" w:color="auto"/>
            </w:tcBorders>
            <w:tcMar>
              <w:top w:w="8" w:type="dxa"/>
              <w:left w:w="28" w:type="dxa"/>
              <w:bottom w:w="8" w:type="dxa"/>
              <w:right w:w="28" w:type="dxa"/>
            </w:tcMar>
            <w:vAlign w:val="center"/>
          </w:tcPr>
          <w:p w14:paraId="05C8EBFB" w14:textId="411ADB55"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top w:val="single" w:sz="8" w:space="0" w:color="auto"/>
              <w:left w:val="single" w:sz="8" w:space="0" w:color="auto"/>
            </w:tcBorders>
            <w:tcMar>
              <w:top w:w="8" w:type="dxa"/>
              <w:left w:w="28" w:type="dxa"/>
              <w:bottom w:w="8" w:type="dxa"/>
              <w:right w:w="28" w:type="dxa"/>
            </w:tcMar>
            <w:vAlign w:val="center"/>
          </w:tcPr>
          <w:p w14:paraId="0811BCA0" w14:textId="406A6E93"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top w:val="single" w:sz="8" w:space="0" w:color="auto"/>
            </w:tcBorders>
            <w:tcMar>
              <w:top w:w="8" w:type="dxa"/>
              <w:left w:w="28" w:type="dxa"/>
              <w:bottom w:w="8" w:type="dxa"/>
              <w:right w:w="28" w:type="dxa"/>
            </w:tcMar>
            <w:vAlign w:val="center"/>
          </w:tcPr>
          <w:p w14:paraId="2B7E01B2" w14:textId="4E20DCA3" w:rsidR="003D0A0E" w:rsidRPr="00F5353D" w:rsidRDefault="003D0A0E" w:rsidP="003D0A0E">
            <w:pPr>
              <w:tabs>
                <w:tab w:val="decimal" w:pos="360"/>
              </w:tabs>
              <w:spacing w:line="200" w:lineRule="auto"/>
              <w:rPr>
                <w:sz w:val="20"/>
                <w:szCs w:val="20"/>
              </w:rPr>
            </w:pPr>
            <w:r w:rsidRPr="00F5353D">
              <w:rPr>
                <w:sz w:val="20"/>
                <w:szCs w:val="20"/>
              </w:rPr>
              <w:t>—</w:t>
            </w:r>
          </w:p>
        </w:tc>
      </w:tr>
      <w:tr w:rsidR="003D0A0E" w:rsidRPr="00F5353D" w14:paraId="4E03A94F" w14:textId="77777777" w:rsidTr="00AD79F7">
        <w:trPr>
          <w:cantSplit/>
          <w:trHeight w:val="275"/>
        </w:trPr>
        <w:tc>
          <w:tcPr>
            <w:tcW w:w="443" w:type="pct"/>
            <w:vMerge/>
            <w:tcBorders>
              <w:bottom w:val="single" w:sz="8" w:space="0" w:color="auto"/>
              <w:right w:val="single" w:sz="8" w:space="0" w:color="auto"/>
            </w:tcBorders>
            <w:tcMar>
              <w:top w:w="8" w:type="dxa"/>
              <w:left w:w="28" w:type="dxa"/>
              <w:bottom w:w="8" w:type="dxa"/>
              <w:right w:w="28" w:type="dxa"/>
            </w:tcMar>
            <w:vAlign w:val="center"/>
          </w:tcPr>
          <w:p w14:paraId="03744E6F" w14:textId="77777777" w:rsidR="003D0A0E" w:rsidRPr="00F5353D" w:rsidRDefault="003D0A0E" w:rsidP="003D0A0E">
            <w:pPr>
              <w:spacing w:line="200" w:lineRule="auto"/>
              <w:rPr>
                <w:sz w:val="20"/>
                <w:szCs w:val="20"/>
              </w:rPr>
            </w:pPr>
          </w:p>
        </w:tc>
        <w:tc>
          <w:tcPr>
            <w:tcW w:w="1149" w:type="pct"/>
            <w:gridSpan w:val="3"/>
            <w:tcBorders>
              <w:bottom w:val="single" w:sz="8" w:space="0" w:color="auto"/>
              <w:right w:val="single" w:sz="18" w:space="0" w:color="auto"/>
            </w:tcBorders>
            <w:vAlign w:val="center"/>
          </w:tcPr>
          <w:p w14:paraId="3E9EE4FB" w14:textId="6F23B553" w:rsidR="003D0A0E" w:rsidRPr="00F5353D" w:rsidRDefault="003D0A0E" w:rsidP="003D0A0E">
            <w:pPr>
              <w:spacing w:line="200" w:lineRule="auto"/>
              <w:rPr>
                <w:sz w:val="20"/>
                <w:szCs w:val="20"/>
              </w:rPr>
            </w:pPr>
            <w:r w:rsidRPr="00F5353D">
              <w:rPr>
                <w:sz w:val="20"/>
                <w:szCs w:val="20"/>
              </w:rPr>
              <w:t>Medium-wage workers</w:t>
            </w:r>
          </w:p>
        </w:tc>
        <w:tc>
          <w:tcPr>
            <w:tcW w:w="209" w:type="pct"/>
            <w:tcBorders>
              <w:left w:val="single" w:sz="18" w:space="0" w:color="auto"/>
              <w:bottom w:val="single" w:sz="8" w:space="0" w:color="auto"/>
            </w:tcBorders>
            <w:tcMar>
              <w:top w:w="8" w:type="dxa"/>
              <w:left w:w="28" w:type="dxa"/>
              <w:bottom w:w="8" w:type="dxa"/>
              <w:right w:w="28" w:type="dxa"/>
            </w:tcMar>
            <w:vAlign w:val="bottom"/>
          </w:tcPr>
          <w:p w14:paraId="70C34181" w14:textId="6FDEBA06" w:rsidR="003D0A0E" w:rsidRPr="00F5353D" w:rsidRDefault="003D0A0E" w:rsidP="003D0A0E">
            <w:pPr>
              <w:tabs>
                <w:tab w:val="decimal" w:pos="360"/>
              </w:tabs>
              <w:spacing w:line="200" w:lineRule="auto"/>
              <w:rPr>
                <w:sz w:val="20"/>
                <w:szCs w:val="20"/>
              </w:rPr>
            </w:pPr>
            <w:r w:rsidRPr="00F5353D">
              <w:rPr>
                <w:color w:val="000000"/>
                <w:sz w:val="20"/>
                <w:szCs w:val="20"/>
              </w:rPr>
              <w:t>0.84</w:t>
            </w:r>
          </w:p>
        </w:tc>
        <w:tc>
          <w:tcPr>
            <w:tcW w:w="208" w:type="pct"/>
            <w:tcBorders>
              <w:bottom w:val="single" w:sz="8" w:space="0" w:color="auto"/>
              <w:right w:val="single" w:sz="18" w:space="0" w:color="auto"/>
            </w:tcBorders>
            <w:tcMar>
              <w:top w:w="8" w:type="dxa"/>
              <w:left w:w="28" w:type="dxa"/>
              <w:bottom w:w="8" w:type="dxa"/>
              <w:right w:w="28" w:type="dxa"/>
            </w:tcMar>
            <w:vAlign w:val="bottom"/>
          </w:tcPr>
          <w:p w14:paraId="0DB4E748" w14:textId="4E937323" w:rsidR="003D0A0E" w:rsidRPr="00F5353D" w:rsidRDefault="003D0A0E" w:rsidP="003D0A0E">
            <w:pPr>
              <w:tabs>
                <w:tab w:val="decimal" w:pos="360"/>
              </w:tabs>
              <w:spacing w:line="200" w:lineRule="auto"/>
              <w:rPr>
                <w:sz w:val="20"/>
                <w:szCs w:val="20"/>
              </w:rPr>
            </w:pPr>
            <w:r w:rsidRPr="00F5353D">
              <w:rPr>
                <w:color w:val="000000"/>
                <w:sz w:val="20"/>
                <w:szCs w:val="20"/>
              </w:rPr>
              <w:t>3.26</w:t>
            </w:r>
          </w:p>
        </w:tc>
        <w:tc>
          <w:tcPr>
            <w:tcW w:w="211" w:type="pct"/>
            <w:tcBorders>
              <w:left w:val="single" w:sz="18" w:space="0" w:color="auto"/>
              <w:bottom w:val="single" w:sz="8" w:space="0" w:color="auto"/>
            </w:tcBorders>
            <w:tcMar>
              <w:top w:w="8" w:type="dxa"/>
              <w:left w:w="28" w:type="dxa"/>
              <w:bottom w:w="8" w:type="dxa"/>
              <w:right w:w="28" w:type="dxa"/>
            </w:tcMar>
            <w:vAlign w:val="center"/>
          </w:tcPr>
          <w:p w14:paraId="70195A8B" w14:textId="09360FB8" w:rsidR="003D0A0E" w:rsidRPr="00F5353D" w:rsidRDefault="003D0A0E" w:rsidP="003D0A0E">
            <w:pPr>
              <w:tabs>
                <w:tab w:val="decimal" w:pos="360"/>
              </w:tabs>
              <w:spacing w:line="200" w:lineRule="auto"/>
              <w:rPr>
                <w:sz w:val="20"/>
                <w:szCs w:val="20"/>
              </w:rPr>
            </w:pPr>
            <w:r w:rsidRPr="00F5353D">
              <w:rPr>
                <w:sz w:val="20"/>
                <w:szCs w:val="20"/>
              </w:rPr>
              <w:t>—</w:t>
            </w:r>
          </w:p>
        </w:tc>
        <w:tc>
          <w:tcPr>
            <w:tcW w:w="206" w:type="pct"/>
            <w:tcBorders>
              <w:bottom w:val="single" w:sz="8" w:space="0" w:color="auto"/>
              <w:right w:val="single" w:sz="8" w:space="0" w:color="auto"/>
            </w:tcBorders>
            <w:tcMar>
              <w:top w:w="8" w:type="dxa"/>
              <w:left w:w="28" w:type="dxa"/>
              <w:bottom w:w="8" w:type="dxa"/>
              <w:right w:w="28" w:type="dxa"/>
            </w:tcMar>
            <w:vAlign w:val="center"/>
          </w:tcPr>
          <w:p w14:paraId="17B378D7" w14:textId="7A05C2FB"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left w:val="single" w:sz="8" w:space="0" w:color="auto"/>
              <w:bottom w:val="single" w:sz="8" w:space="0" w:color="auto"/>
            </w:tcBorders>
            <w:tcMar>
              <w:top w:w="8" w:type="dxa"/>
              <w:left w:w="28" w:type="dxa"/>
              <w:bottom w:w="8" w:type="dxa"/>
              <w:right w:w="28" w:type="dxa"/>
            </w:tcMar>
            <w:vAlign w:val="center"/>
          </w:tcPr>
          <w:p w14:paraId="5B2F8AC6" w14:textId="711F343A"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bottom w:val="single" w:sz="8" w:space="0" w:color="auto"/>
              <w:right w:val="single" w:sz="18" w:space="0" w:color="auto"/>
            </w:tcBorders>
            <w:tcMar>
              <w:top w:w="8" w:type="dxa"/>
              <w:left w:w="28" w:type="dxa"/>
              <w:bottom w:w="8" w:type="dxa"/>
              <w:right w:w="28" w:type="dxa"/>
            </w:tcMar>
            <w:vAlign w:val="center"/>
          </w:tcPr>
          <w:p w14:paraId="49EBB063" w14:textId="55238922"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left w:val="single" w:sz="18" w:space="0" w:color="auto"/>
              <w:bottom w:val="single" w:sz="8" w:space="0" w:color="auto"/>
            </w:tcBorders>
            <w:tcMar>
              <w:top w:w="8" w:type="dxa"/>
              <w:left w:w="28" w:type="dxa"/>
              <w:bottom w:w="8" w:type="dxa"/>
              <w:right w:w="28" w:type="dxa"/>
            </w:tcMar>
            <w:vAlign w:val="center"/>
          </w:tcPr>
          <w:p w14:paraId="71DA935D" w14:textId="752B7F02" w:rsidR="003D0A0E" w:rsidRPr="00F5353D" w:rsidRDefault="003D0A0E" w:rsidP="003D0A0E">
            <w:pPr>
              <w:tabs>
                <w:tab w:val="decimal" w:pos="360"/>
              </w:tabs>
              <w:spacing w:line="200" w:lineRule="auto"/>
              <w:rPr>
                <w:sz w:val="20"/>
                <w:szCs w:val="20"/>
              </w:rPr>
            </w:pPr>
            <w:r w:rsidRPr="00F5353D">
              <w:rPr>
                <w:sz w:val="20"/>
                <w:szCs w:val="20"/>
              </w:rPr>
              <w:t>—</w:t>
            </w:r>
          </w:p>
        </w:tc>
        <w:tc>
          <w:tcPr>
            <w:tcW w:w="210" w:type="pct"/>
            <w:tcBorders>
              <w:bottom w:val="single" w:sz="8" w:space="0" w:color="auto"/>
              <w:right w:val="single" w:sz="8" w:space="0" w:color="auto"/>
            </w:tcBorders>
            <w:tcMar>
              <w:top w:w="8" w:type="dxa"/>
              <w:left w:w="28" w:type="dxa"/>
              <w:bottom w:w="8" w:type="dxa"/>
              <w:right w:w="28" w:type="dxa"/>
            </w:tcMar>
            <w:vAlign w:val="center"/>
          </w:tcPr>
          <w:p w14:paraId="695448F9" w14:textId="20B45D46"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left w:val="single" w:sz="8" w:space="0" w:color="auto"/>
              <w:bottom w:val="single" w:sz="8" w:space="0" w:color="auto"/>
            </w:tcBorders>
            <w:tcMar>
              <w:top w:w="8" w:type="dxa"/>
              <w:left w:w="28" w:type="dxa"/>
              <w:bottom w:w="8" w:type="dxa"/>
              <w:right w:w="28" w:type="dxa"/>
            </w:tcMar>
            <w:vAlign w:val="center"/>
          </w:tcPr>
          <w:p w14:paraId="618071C4" w14:textId="01A22C8C"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bottom w:val="single" w:sz="8" w:space="0" w:color="auto"/>
              <w:right w:val="single" w:sz="18" w:space="0" w:color="auto"/>
            </w:tcBorders>
            <w:tcMar>
              <w:top w:w="8" w:type="dxa"/>
              <w:left w:w="28" w:type="dxa"/>
              <w:bottom w:w="8" w:type="dxa"/>
              <w:right w:w="28" w:type="dxa"/>
            </w:tcMar>
            <w:vAlign w:val="center"/>
          </w:tcPr>
          <w:p w14:paraId="179948F8" w14:textId="45939787"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left w:val="single" w:sz="18" w:space="0" w:color="auto"/>
              <w:bottom w:val="single" w:sz="8" w:space="0" w:color="auto"/>
            </w:tcBorders>
            <w:tcMar>
              <w:top w:w="8" w:type="dxa"/>
              <w:left w:w="28" w:type="dxa"/>
              <w:bottom w:w="8" w:type="dxa"/>
              <w:right w:w="28" w:type="dxa"/>
            </w:tcMar>
            <w:vAlign w:val="center"/>
          </w:tcPr>
          <w:p w14:paraId="6E91009F" w14:textId="41E9E899"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bottom w:val="single" w:sz="8" w:space="0" w:color="auto"/>
              <w:right w:val="single" w:sz="18" w:space="0" w:color="auto"/>
            </w:tcBorders>
            <w:tcMar>
              <w:top w:w="8" w:type="dxa"/>
              <w:left w:w="28" w:type="dxa"/>
              <w:bottom w:w="8" w:type="dxa"/>
              <w:right w:w="28" w:type="dxa"/>
            </w:tcMar>
            <w:vAlign w:val="center"/>
          </w:tcPr>
          <w:p w14:paraId="4BD1CC3F" w14:textId="458D1890"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left w:val="single" w:sz="18" w:space="0" w:color="auto"/>
              <w:bottom w:val="single" w:sz="8" w:space="0" w:color="auto"/>
            </w:tcBorders>
            <w:tcMar>
              <w:top w:w="8" w:type="dxa"/>
              <w:left w:w="28" w:type="dxa"/>
              <w:bottom w:w="8" w:type="dxa"/>
              <w:right w:w="28" w:type="dxa"/>
            </w:tcMar>
            <w:vAlign w:val="center"/>
          </w:tcPr>
          <w:p w14:paraId="4A9569B9" w14:textId="3E5D2173"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bottom w:val="single" w:sz="8" w:space="0" w:color="auto"/>
              <w:right w:val="single" w:sz="8" w:space="0" w:color="auto"/>
            </w:tcBorders>
            <w:tcMar>
              <w:top w:w="8" w:type="dxa"/>
              <w:left w:w="28" w:type="dxa"/>
              <w:bottom w:w="8" w:type="dxa"/>
              <w:right w:w="28" w:type="dxa"/>
            </w:tcMar>
            <w:vAlign w:val="center"/>
          </w:tcPr>
          <w:p w14:paraId="6105BA11" w14:textId="15D8FCE4"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left w:val="single" w:sz="8" w:space="0" w:color="auto"/>
              <w:bottom w:val="single" w:sz="8" w:space="0" w:color="auto"/>
            </w:tcBorders>
            <w:tcMar>
              <w:top w:w="8" w:type="dxa"/>
              <w:left w:w="28" w:type="dxa"/>
              <w:bottom w:w="8" w:type="dxa"/>
              <w:right w:w="28" w:type="dxa"/>
            </w:tcMar>
            <w:vAlign w:val="center"/>
          </w:tcPr>
          <w:p w14:paraId="33C0128A" w14:textId="5DBD2DE2"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bottom w:val="single" w:sz="8" w:space="0" w:color="auto"/>
            </w:tcBorders>
            <w:tcMar>
              <w:top w:w="8" w:type="dxa"/>
              <w:left w:w="28" w:type="dxa"/>
              <w:bottom w:w="8" w:type="dxa"/>
              <w:right w:w="28" w:type="dxa"/>
            </w:tcMar>
            <w:vAlign w:val="center"/>
          </w:tcPr>
          <w:p w14:paraId="6A941557" w14:textId="3D961AAF" w:rsidR="003D0A0E" w:rsidRPr="00F5353D" w:rsidRDefault="003D0A0E" w:rsidP="003D0A0E">
            <w:pPr>
              <w:tabs>
                <w:tab w:val="decimal" w:pos="360"/>
              </w:tabs>
              <w:spacing w:line="200" w:lineRule="auto"/>
              <w:rPr>
                <w:sz w:val="20"/>
                <w:szCs w:val="20"/>
              </w:rPr>
            </w:pPr>
            <w:r w:rsidRPr="00F5353D">
              <w:rPr>
                <w:sz w:val="20"/>
                <w:szCs w:val="20"/>
              </w:rPr>
              <w:t>—</w:t>
            </w:r>
          </w:p>
        </w:tc>
      </w:tr>
      <w:tr w:rsidR="003D0A0E" w:rsidRPr="00F5353D" w14:paraId="3F317B49" w14:textId="77777777" w:rsidTr="00AD79F7">
        <w:trPr>
          <w:cantSplit/>
          <w:trHeight w:val="369"/>
        </w:trPr>
        <w:tc>
          <w:tcPr>
            <w:tcW w:w="443" w:type="pct"/>
            <w:vMerge w:val="restart"/>
            <w:tcBorders>
              <w:top w:val="single" w:sz="8" w:space="0" w:color="auto"/>
              <w:right w:val="single" w:sz="8" w:space="0" w:color="auto"/>
            </w:tcBorders>
            <w:tcMar>
              <w:top w:w="8" w:type="dxa"/>
              <w:left w:w="28" w:type="dxa"/>
              <w:bottom w:w="8" w:type="dxa"/>
              <w:right w:w="28" w:type="dxa"/>
            </w:tcMar>
            <w:vAlign w:val="center"/>
          </w:tcPr>
          <w:p w14:paraId="684A5FB3" w14:textId="1DE5B20C" w:rsidR="003D0A0E" w:rsidRPr="00F5353D" w:rsidRDefault="003D0A0E" w:rsidP="003D0A0E">
            <w:pPr>
              <w:spacing w:line="200" w:lineRule="auto"/>
              <w:rPr>
                <w:sz w:val="20"/>
                <w:szCs w:val="20"/>
              </w:rPr>
            </w:pPr>
            <w:r w:rsidRPr="00F5353D">
              <w:rPr>
                <w:sz w:val="20"/>
                <w:szCs w:val="20"/>
              </w:rPr>
              <w:t xml:space="preserve">Development </w:t>
            </w:r>
            <w:r w:rsidR="00E11C33" w:rsidRPr="00F5353D">
              <w:rPr>
                <w:sz w:val="20"/>
                <w:szCs w:val="20"/>
              </w:rPr>
              <w:t>d</w:t>
            </w:r>
            <w:r w:rsidRPr="00F5353D">
              <w:rPr>
                <w:sz w:val="20"/>
                <w:szCs w:val="20"/>
              </w:rPr>
              <w:t>ensity</w:t>
            </w:r>
            <w:r w:rsidR="00E11C33" w:rsidRPr="00F5353D">
              <w:rPr>
                <w:sz w:val="20"/>
                <w:szCs w:val="20"/>
              </w:rPr>
              <w:t xml:space="preserve"> measures</w:t>
            </w:r>
          </w:p>
        </w:tc>
        <w:tc>
          <w:tcPr>
            <w:tcW w:w="662" w:type="pct"/>
            <w:gridSpan w:val="2"/>
            <w:tcBorders>
              <w:top w:val="single" w:sz="8" w:space="0" w:color="auto"/>
              <w:right w:val="single" w:sz="8" w:space="0" w:color="auto"/>
            </w:tcBorders>
            <w:vAlign w:val="center"/>
          </w:tcPr>
          <w:p w14:paraId="08E69421" w14:textId="1127E094" w:rsidR="003D0A0E" w:rsidRPr="00F5353D" w:rsidRDefault="003D0A0E" w:rsidP="003D0A0E">
            <w:pPr>
              <w:spacing w:line="200" w:lineRule="auto"/>
              <w:rPr>
                <w:sz w:val="20"/>
                <w:szCs w:val="20"/>
              </w:rPr>
            </w:pPr>
            <w:r w:rsidRPr="00F5353D">
              <w:rPr>
                <w:sz w:val="20"/>
                <w:szCs w:val="20"/>
              </w:rPr>
              <w:t>Population density (Not low, &gt; 10)</w:t>
            </w:r>
          </w:p>
        </w:tc>
        <w:tc>
          <w:tcPr>
            <w:tcW w:w="487" w:type="pct"/>
            <w:tcBorders>
              <w:top w:val="single" w:sz="8" w:space="0" w:color="auto"/>
              <w:left w:val="single" w:sz="8" w:space="0" w:color="auto"/>
              <w:right w:val="single" w:sz="18" w:space="0" w:color="auto"/>
            </w:tcBorders>
            <w:vAlign w:val="center"/>
          </w:tcPr>
          <w:p w14:paraId="745805A9" w14:textId="0B4AE229" w:rsidR="003D0A0E" w:rsidRPr="00F5353D" w:rsidRDefault="003D0A0E" w:rsidP="003D0A0E">
            <w:pPr>
              <w:spacing w:line="200" w:lineRule="auto"/>
              <w:rPr>
                <w:sz w:val="20"/>
                <w:szCs w:val="20"/>
              </w:rPr>
            </w:pPr>
            <w:r w:rsidRPr="00F5353D">
              <w:rPr>
                <w:sz w:val="20"/>
                <w:szCs w:val="20"/>
              </w:rPr>
              <w:t>Low (≤ 10)</w:t>
            </w:r>
          </w:p>
        </w:tc>
        <w:tc>
          <w:tcPr>
            <w:tcW w:w="209" w:type="pct"/>
            <w:tcBorders>
              <w:top w:val="single" w:sz="8" w:space="0" w:color="auto"/>
              <w:left w:val="single" w:sz="18" w:space="0" w:color="auto"/>
            </w:tcBorders>
            <w:tcMar>
              <w:top w:w="8" w:type="dxa"/>
              <w:left w:w="28" w:type="dxa"/>
              <w:bottom w:w="8" w:type="dxa"/>
              <w:right w:w="28" w:type="dxa"/>
            </w:tcMar>
            <w:vAlign w:val="center"/>
          </w:tcPr>
          <w:p w14:paraId="6FDE172F" w14:textId="54C3F8B8"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top w:val="single" w:sz="8" w:space="0" w:color="auto"/>
              <w:right w:val="single" w:sz="18" w:space="0" w:color="auto"/>
            </w:tcBorders>
            <w:tcMar>
              <w:top w:w="8" w:type="dxa"/>
              <w:left w:w="28" w:type="dxa"/>
              <w:bottom w:w="8" w:type="dxa"/>
              <w:right w:w="28" w:type="dxa"/>
            </w:tcMar>
            <w:vAlign w:val="center"/>
          </w:tcPr>
          <w:p w14:paraId="362C4A67" w14:textId="7D29904B" w:rsidR="003D0A0E" w:rsidRPr="00F5353D" w:rsidRDefault="003D0A0E" w:rsidP="003D0A0E">
            <w:pPr>
              <w:tabs>
                <w:tab w:val="decimal" w:pos="360"/>
              </w:tabs>
              <w:spacing w:line="200" w:lineRule="auto"/>
              <w:rPr>
                <w:sz w:val="20"/>
                <w:szCs w:val="20"/>
              </w:rPr>
            </w:pPr>
            <w:r w:rsidRPr="00F5353D">
              <w:rPr>
                <w:sz w:val="20"/>
                <w:szCs w:val="20"/>
              </w:rPr>
              <w:t>—</w:t>
            </w:r>
          </w:p>
        </w:tc>
        <w:tc>
          <w:tcPr>
            <w:tcW w:w="211" w:type="pct"/>
            <w:tcBorders>
              <w:top w:val="single" w:sz="8" w:space="0" w:color="auto"/>
              <w:left w:val="single" w:sz="18" w:space="0" w:color="auto"/>
            </w:tcBorders>
            <w:tcMar>
              <w:top w:w="8" w:type="dxa"/>
              <w:left w:w="28" w:type="dxa"/>
              <w:bottom w:w="8" w:type="dxa"/>
              <w:right w:w="28" w:type="dxa"/>
            </w:tcMar>
            <w:vAlign w:val="center"/>
          </w:tcPr>
          <w:p w14:paraId="5C2F33A6" w14:textId="1F5BD3D1" w:rsidR="003D0A0E" w:rsidRPr="00F5353D" w:rsidRDefault="003D0A0E" w:rsidP="003D0A0E">
            <w:pPr>
              <w:tabs>
                <w:tab w:val="decimal" w:pos="360"/>
              </w:tabs>
              <w:spacing w:line="200" w:lineRule="auto"/>
              <w:rPr>
                <w:sz w:val="20"/>
                <w:szCs w:val="20"/>
              </w:rPr>
            </w:pPr>
            <w:r w:rsidRPr="00F5353D">
              <w:rPr>
                <w:color w:val="000000"/>
                <w:sz w:val="20"/>
                <w:szCs w:val="20"/>
              </w:rPr>
              <w:t>0.29</w:t>
            </w:r>
          </w:p>
        </w:tc>
        <w:tc>
          <w:tcPr>
            <w:tcW w:w="206" w:type="pct"/>
            <w:tcBorders>
              <w:top w:val="single" w:sz="8" w:space="0" w:color="auto"/>
              <w:right w:val="single" w:sz="8" w:space="0" w:color="auto"/>
            </w:tcBorders>
            <w:tcMar>
              <w:top w:w="8" w:type="dxa"/>
              <w:left w:w="28" w:type="dxa"/>
              <w:bottom w:w="8" w:type="dxa"/>
              <w:right w:w="28" w:type="dxa"/>
            </w:tcMar>
            <w:vAlign w:val="center"/>
          </w:tcPr>
          <w:p w14:paraId="19DD462B" w14:textId="20D9C042" w:rsidR="003D0A0E" w:rsidRPr="00F5353D" w:rsidRDefault="003D0A0E" w:rsidP="003D0A0E">
            <w:pPr>
              <w:tabs>
                <w:tab w:val="decimal" w:pos="360"/>
              </w:tabs>
              <w:spacing w:line="200" w:lineRule="auto"/>
              <w:rPr>
                <w:sz w:val="20"/>
                <w:szCs w:val="20"/>
              </w:rPr>
            </w:pPr>
            <w:r w:rsidRPr="00F5353D">
              <w:rPr>
                <w:color w:val="000000"/>
                <w:sz w:val="20"/>
                <w:szCs w:val="20"/>
              </w:rPr>
              <w:t>1.95</w:t>
            </w:r>
          </w:p>
        </w:tc>
        <w:tc>
          <w:tcPr>
            <w:tcW w:w="209" w:type="pct"/>
            <w:tcBorders>
              <w:top w:val="single" w:sz="8" w:space="0" w:color="auto"/>
              <w:left w:val="single" w:sz="8" w:space="0" w:color="auto"/>
            </w:tcBorders>
            <w:tcMar>
              <w:top w:w="8" w:type="dxa"/>
              <w:left w:w="28" w:type="dxa"/>
              <w:bottom w:w="8" w:type="dxa"/>
              <w:right w:w="28" w:type="dxa"/>
            </w:tcMar>
            <w:vAlign w:val="center"/>
          </w:tcPr>
          <w:p w14:paraId="58D99172" w14:textId="75C51AC5" w:rsidR="003D0A0E" w:rsidRPr="00F5353D" w:rsidRDefault="003D0A0E" w:rsidP="003D0A0E">
            <w:pPr>
              <w:tabs>
                <w:tab w:val="decimal" w:pos="360"/>
              </w:tabs>
              <w:spacing w:line="200" w:lineRule="auto"/>
              <w:rPr>
                <w:sz w:val="20"/>
                <w:szCs w:val="20"/>
              </w:rPr>
            </w:pPr>
            <w:r w:rsidRPr="00F5353D">
              <w:rPr>
                <w:color w:val="000000"/>
                <w:sz w:val="20"/>
                <w:szCs w:val="20"/>
              </w:rPr>
              <w:t>0.64</w:t>
            </w:r>
          </w:p>
        </w:tc>
        <w:tc>
          <w:tcPr>
            <w:tcW w:w="209" w:type="pct"/>
            <w:tcBorders>
              <w:top w:val="single" w:sz="8" w:space="0" w:color="auto"/>
              <w:right w:val="single" w:sz="18" w:space="0" w:color="auto"/>
            </w:tcBorders>
            <w:tcMar>
              <w:top w:w="8" w:type="dxa"/>
              <w:left w:w="28" w:type="dxa"/>
              <w:bottom w:w="8" w:type="dxa"/>
              <w:right w:w="28" w:type="dxa"/>
            </w:tcMar>
            <w:vAlign w:val="center"/>
          </w:tcPr>
          <w:p w14:paraId="2DADBA9A" w14:textId="25A0EC75" w:rsidR="003D0A0E" w:rsidRPr="00F5353D" w:rsidRDefault="003D0A0E" w:rsidP="003D0A0E">
            <w:pPr>
              <w:tabs>
                <w:tab w:val="decimal" w:pos="360"/>
              </w:tabs>
              <w:spacing w:line="200" w:lineRule="auto"/>
              <w:rPr>
                <w:sz w:val="20"/>
                <w:szCs w:val="20"/>
              </w:rPr>
            </w:pPr>
            <w:r w:rsidRPr="00F5353D">
              <w:rPr>
                <w:color w:val="000000"/>
                <w:sz w:val="20"/>
                <w:szCs w:val="20"/>
              </w:rPr>
              <w:t>3.01</w:t>
            </w:r>
          </w:p>
        </w:tc>
        <w:tc>
          <w:tcPr>
            <w:tcW w:w="207" w:type="pct"/>
            <w:tcBorders>
              <w:top w:val="single" w:sz="8" w:space="0" w:color="auto"/>
              <w:left w:val="single" w:sz="18" w:space="0" w:color="auto"/>
            </w:tcBorders>
            <w:tcMar>
              <w:top w:w="8" w:type="dxa"/>
              <w:left w:w="28" w:type="dxa"/>
              <w:bottom w:w="8" w:type="dxa"/>
              <w:right w:w="28" w:type="dxa"/>
            </w:tcMar>
            <w:vAlign w:val="center"/>
          </w:tcPr>
          <w:p w14:paraId="7CDC66E8" w14:textId="564A00A5" w:rsidR="003D0A0E" w:rsidRPr="00F5353D" w:rsidRDefault="003D0A0E" w:rsidP="003D0A0E">
            <w:pPr>
              <w:tabs>
                <w:tab w:val="decimal" w:pos="360"/>
              </w:tabs>
              <w:spacing w:line="200" w:lineRule="auto"/>
              <w:rPr>
                <w:sz w:val="20"/>
                <w:szCs w:val="20"/>
              </w:rPr>
            </w:pPr>
            <w:r w:rsidRPr="00F5353D">
              <w:rPr>
                <w:color w:val="000000"/>
                <w:sz w:val="20"/>
                <w:szCs w:val="20"/>
              </w:rPr>
              <w:t>-0.22</w:t>
            </w:r>
          </w:p>
        </w:tc>
        <w:tc>
          <w:tcPr>
            <w:tcW w:w="210" w:type="pct"/>
            <w:tcBorders>
              <w:top w:val="single" w:sz="8" w:space="0" w:color="auto"/>
              <w:right w:val="single" w:sz="8" w:space="0" w:color="auto"/>
            </w:tcBorders>
            <w:tcMar>
              <w:top w:w="8" w:type="dxa"/>
              <w:left w:w="28" w:type="dxa"/>
              <w:bottom w:w="8" w:type="dxa"/>
              <w:right w:w="28" w:type="dxa"/>
            </w:tcMar>
            <w:vAlign w:val="center"/>
          </w:tcPr>
          <w:p w14:paraId="2E64BEA1" w14:textId="7007A935" w:rsidR="003D0A0E" w:rsidRPr="00F5353D" w:rsidRDefault="003D0A0E" w:rsidP="003D0A0E">
            <w:pPr>
              <w:tabs>
                <w:tab w:val="decimal" w:pos="360"/>
              </w:tabs>
              <w:spacing w:line="200" w:lineRule="auto"/>
              <w:rPr>
                <w:sz w:val="20"/>
                <w:szCs w:val="20"/>
              </w:rPr>
            </w:pPr>
            <w:r w:rsidRPr="00F5353D">
              <w:rPr>
                <w:color w:val="000000"/>
                <w:sz w:val="20"/>
                <w:szCs w:val="20"/>
              </w:rPr>
              <w:t>-3.38</w:t>
            </w:r>
          </w:p>
        </w:tc>
        <w:tc>
          <w:tcPr>
            <w:tcW w:w="208" w:type="pct"/>
            <w:tcBorders>
              <w:top w:val="single" w:sz="8" w:space="0" w:color="auto"/>
              <w:left w:val="single" w:sz="8" w:space="0" w:color="auto"/>
            </w:tcBorders>
            <w:tcMar>
              <w:top w:w="8" w:type="dxa"/>
              <w:left w:w="28" w:type="dxa"/>
              <w:bottom w:w="8" w:type="dxa"/>
              <w:right w:w="28" w:type="dxa"/>
            </w:tcMar>
            <w:vAlign w:val="center"/>
          </w:tcPr>
          <w:p w14:paraId="69F1F323" w14:textId="06BB3523"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top w:val="single" w:sz="8" w:space="0" w:color="auto"/>
              <w:right w:val="single" w:sz="18" w:space="0" w:color="auto"/>
            </w:tcBorders>
            <w:tcMar>
              <w:top w:w="8" w:type="dxa"/>
              <w:left w:w="28" w:type="dxa"/>
              <w:bottom w:w="8" w:type="dxa"/>
              <w:right w:w="28" w:type="dxa"/>
            </w:tcMar>
            <w:vAlign w:val="center"/>
          </w:tcPr>
          <w:p w14:paraId="02097EF4" w14:textId="56F22926"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top w:val="single" w:sz="8" w:space="0" w:color="auto"/>
              <w:left w:val="single" w:sz="18" w:space="0" w:color="auto"/>
            </w:tcBorders>
            <w:tcMar>
              <w:top w:w="8" w:type="dxa"/>
              <w:left w:w="28" w:type="dxa"/>
              <w:bottom w:w="8" w:type="dxa"/>
              <w:right w:w="28" w:type="dxa"/>
            </w:tcMar>
            <w:vAlign w:val="center"/>
          </w:tcPr>
          <w:p w14:paraId="41580612" w14:textId="52F5EB56" w:rsidR="003D0A0E" w:rsidRPr="00F5353D" w:rsidRDefault="003D0A0E" w:rsidP="003D0A0E">
            <w:pPr>
              <w:tabs>
                <w:tab w:val="decimal" w:pos="360"/>
              </w:tabs>
              <w:spacing w:line="200" w:lineRule="auto"/>
              <w:rPr>
                <w:sz w:val="20"/>
                <w:szCs w:val="20"/>
              </w:rPr>
            </w:pPr>
            <w:r w:rsidRPr="00F5353D">
              <w:rPr>
                <w:color w:val="000000"/>
                <w:sz w:val="20"/>
                <w:szCs w:val="20"/>
              </w:rPr>
              <w:t>-0.18</w:t>
            </w:r>
          </w:p>
        </w:tc>
        <w:tc>
          <w:tcPr>
            <w:tcW w:w="245" w:type="pct"/>
            <w:tcBorders>
              <w:top w:val="single" w:sz="8" w:space="0" w:color="auto"/>
              <w:right w:val="single" w:sz="18" w:space="0" w:color="auto"/>
            </w:tcBorders>
            <w:tcMar>
              <w:top w:w="8" w:type="dxa"/>
              <w:left w:w="28" w:type="dxa"/>
              <w:bottom w:w="8" w:type="dxa"/>
              <w:right w:w="28" w:type="dxa"/>
            </w:tcMar>
            <w:vAlign w:val="center"/>
          </w:tcPr>
          <w:p w14:paraId="68EDB98E" w14:textId="3F52169D" w:rsidR="003D0A0E" w:rsidRPr="00F5353D" w:rsidRDefault="003D0A0E" w:rsidP="003D0A0E">
            <w:pPr>
              <w:tabs>
                <w:tab w:val="decimal" w:pos="360"/>
              </w:tabs>
              <w:spacing w:line="200" w:lineRule="auto"/>
              <w:rPr>
                <w:sz w:val="20"/>
                <w:szCs w:val="20"/>
              </w:rPr>
            </w:pPr>
            <w:r w:rsidRPr="00F5353D">
              <w:rPr>
                <w:color w:val="000000"/>
                <w:sz w:val="20"/>
                <w:szCs w:val="20"/>
              </w:rPr>
              <w:t>-1.31</w:t>
            </w:r>
          </w:p>
        </w:tc>
        <w:tc>
          <w:tcPr>
            <w:tcW w:w="209" w:type="pct"/>
            <w:tcBorders>
              <w:top w:val="single" w:sz="8" w:space="0" w:color="auto"/>
              <w:left w:val="single" w:sz="18" w:space="0" w:color="auto"/>
            </w:tcBorders>
            <w:tcMar>
              <w:top w:w="8" w:type="dxa"/>
              <w:left w:w="28" w:type="dxa"/>
              <w:bottom w:w="8" w:type="dxa"/>
              <w:right w:w="28" w:type="dxa"/>
            </w:tcMar>
            <w:vAlign w:val="center"/>
          </w:tcPr>
          <w:p w14:paraId="02F46557" w14:textId="7561708C"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top w:val="single" w:sz="8" w:space="0" w:color="auto"/>
              <w:right w:val="single" w:sz="8" w:space="0" w:color="auto"/>
            </w:tcBorders>
            <w:tcMar>
              <w:top w:w="8" w:type="dxa"/>
              <w:left w:w="28" w:type="dxa"/>
              <w:bottom w:w="8" w:type="dxa"/>
              <w:right w:w="28" w:type="dxa"/>
            </w:tcMar>
            <w:vAlign w:val="center"/>
          </w:tcPr>
          <w:p w14:paraId="74E06B88" w14:textId="3627A60B"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top w:val="single" w:sz="8" w:space="0" w:color="auto"/>
              <w:left w:val="single" w:sz="8" w:space="0" w:color="auto"/>
            </w:tcBorders>
            <w:tcMar>
              <w:top w:w="8" w:type="dxa"/>
              <w:left w:w="28" w:type="dxa"/>
              <w:bottom w:w="8" w:type="dxa"/>
              <w:right w:w="28" w:type="dxa"/>
            </w:tcMar>
            <w:vAlign w:val="center"/>
          </w:tcPr>
          <w:p w14:paraId="608A31B3" w14:textId="46F9623C"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top w:val="single" w:sz="8" w:space="0" w:color="auto"/>
            </w:tcBorders>
            <w:tcMar>
              <w:top w:w="8" w:type="dxa"/>
              <w:left w:w="28" w:type="dxa"/>
              <w:bottom w:w="8" w:type="dxa"/>
              <w:right w:w="28" w:type="dxa"/>
            </w:tcMar>
            <w:vAlign w:val="center"/>
          </w:tcPr>
          <w:p w14:paraId="30A18329" w14:textId="683A8318" w:rsidR="003D0A0E" w:rsidRPr="00F5353D" w:rsidRDefault="003D0A0E" w:rsidP="003D0A0E">
            <w:pPr>
              <w:tabs>
                <w:tab w:val="decimal" w:pos="360"/>
              </w:tabs>
              <w:spacing w:line="200" w:lineRule="auto"/>
              <w:rPr>
                <w:sz w:val="20"/>
                <w:szCs w:val="20"/>
              </w:rPr>
            </w:pPr>
            <w:r w:rsidRPr="00F5353D">
              <w:rPr>
                <w:sz w:val="20"/>
                <w:szCs w:val="20"/>
              </w:rPr>
              <w:t>—</w:t>
            </w:r>
          </w:p>
        </w:tc>
      </w:tr>
      <w:tr w:rsidR="003D0A0E" w:rsidRPr="00F5353D" w14:paraId="712E126C" w14:textId="77777777" w:rsidTr="00AD79F7">
        <w:trPr>
          <w:cantSplit/>
          <w:trHeight w:val="315"/>
        </w:trPr>
        <w:tc>
          <w:tcPr>
            <w:tcW w:w="443" w:type="pct"/>
            <w:vMerge/>
            <w:tcBorders>
              <w:bottom w:val="single" w:sz="8" w:space="0" w:color="auto"/>
              <w:right w:val="single" w:sz="8" w:space="0" w:color="auto"/>
            </w:tcBorders>
            <w:tcMar>
              <w:top w:w="8" w:type="dxa"/>
              <w:left w:w="28" w:type="dxa"/>
              <w:bottom w:w="8" w:type="dxa"/>
              <w:right w:w="28" w:type="dxa"/>
            </w:tcMar>
            <w:vAlign w:val="center"/>
          </w:tcPr>
          <w:p w14:paraId="0E5D1C76" w14:textId="77777777" w:rsidR="003D0A0E" w:rsidRPr="00F5353D" w:rsidRDefault="003D0A0E" w:rsidP="003D0A0E">
            <w:pPr>
              <w:spacing w:line="200" w:lineRule="auto"/>
              <w:rPr>
                <w:sz w:val="20"/>
                <w:szCs w:val="20"/>
              </w:rPr>
            </w:pPr>
          </w:p>
        </w:tc>
        <w:tc>
          <w:tcPr>
            <w:tcW w:w="662" w:type="pct"/>
            <w:gridSpan w:val="2"/>
            <w:tcBorders>
              <w:bottom w:val="single" w:sz="8" w:space="0" w:color="auto"/>
              <w:right w:val="single" w:sz="8" w:space="0" w:color="auto"/>
            </w:tcBorders>
            <w:vAlign w:val="center"/>
          </w:tcPr>
          <w:p w14:paraId="25198222" w14:textId="599B2188" w:rsidR="003D0A0E" w:rsidRPr="00F5353D" w:rsidRDefault="003D0A0E" w:rsidP="003D0A0E">
            <w:pPr>
              <w:spacing w:line="200" w:lineRule="auto"/>
              <w:rPr>
                <w:sz w:val="20"/>
                <w:szCs w:val="20"/>
              </w:rPr>
            </w:pPr>
            <w:r w:rsidRPr="00F5353D">
              <w:rPr>
                <w:sz w:val="20"/>
                <w:szCs w:val="20"/>
              </w:rPr>
              <w:t>Activity density (Not low, &gt; 6)</w:t>
            </w:r>
          </w:p>
        </w:tc>
        <w:tc>
          <w:tcPr>
            <w:tcW w:w="487" w:type="pct"/>
            <w:tcBorders>
              <w:left w:val="single" w:sz="8" w:space="0" w:color="auto"/>
              <w:bottom w:val="single" w:sz="8" w:space="0" w:color="auto"/>
              <w:right w:val="single" w:sz="18" w:space="0" w:color="auto"/>
            </w:tcBorders>
            <w:vAlign w:val="center"/>
          </w:tcPr>
          <w:p w14:paraId="5EA21838" w14:textId="082574E2" w:rsidR="003D0A0E" w:rsidRPr="00F5353D" w:rsidRDefault="003D0A0E" w:rsidP="003D0A0E">
            <w:pPr>
              <w:spacing w:line="200" w:lineRule="auto"/>
              <w:rPr>
                <w:sz w:val="20"/>
                <w:szCs w:val="20"/>
              </w:rPr>
            </w:pPr>
            <w:r w:rsidRPr="00F5353D">
              <w:rPr>
                <w:sz w:val="20"/>
                <w:szCs w:val="20"/>
              </w:rPr>
              <w:t>Low (≤ 6)</w:t>
            </w:r>
          </w:p>
        </w:tc>
        <w:tc>
          <w:tcPr>
            <w:tcW w:w="209" w:type="pct"/>
            <w:tcBorders>
              <w:left w:val="single" w:sz="18" w:space="0" w:color="auto"/>
              <w:bottom w:val="single" w:sz="8" w:space="0" w:color="auto"/>
            </w:tcBorders>
            <w:tcMar>
              <w:top w:w="8" w:type="dxa"/>
              <w:left w:w="28" w:type="dxa"/>
              <w:bottom w:w="8" w:type="dxa"/>
              <w:right w:w="28" w:type="dxa"/>
            </w:tcMar>
            <w:vAlign w:val="center"/>
          </w:tcPr>
          <w:p w14:paraId="0B8817F1" w14:textId="7D80FFF5"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bottom w:val="single" w:sz="8" w:space="0" w:color="auto"/>
              <w:right w:val="single" w:sz="18" w:space="0" w:color="auto"/>
            </w:tcBorders>
            <w:tcMar>
              <w:top w:w="8" w:type="dxa"/>
              <w:left w:w="28" w:type="dxa"/>
              <w:bottom w:w="8" w:type="dxa"/>
              <w:right w:w="28" w:type="dxa"/>
            </w:tcMar>
            <w:vAlign w:val="center"/>
          </w:tcPr>
          <w:p w14:paraId="7F0B3072" w14:textId="58E86764" w:rsidR="003D0A0E" w:rsidRPr="00F5353D" w:rsidRDefault="003D0A0E" w:rsidP="003D0A0E">
            <w:pPr>
              <w:tabs>
                <w:tab w:val="decimal" w:pos="360"/>
              </w:tabs>
              <w:spacing w:line="200" w:lineRule="auto"/>
              <w:rPr>
                <w:sz w:val="20"/>
                <w:szCs w:val="20"/>
              </w:rPr>
            </w:pPr>
            <w:r w:rsidRPr="00F5353D">
              <w:rPr>
                <w:sz w:val="20"/>
                <w:szCs w:val="20"/>
              </w:rPr>
              <w:t>—</w:t>
            </w:r>
          </w:p>
        </w:tc>
        <w:tc>
          <w:tcPr>
            <w:tcW w:w="211" w:type="pct"/>
            <w:tcBorders>
              <w:left w:val="single" w:sz="18" w:space="0" w:color="auto"/>
              <w:bottom w:val="single" w:sz="8" w:space="0" w:color="auto"/>
            </w:tcBorders>
            <w:tcMar>
              <w:top w:w="8" w:type="dxa"/>
              <w:left w:w="28" w:type="dxa"/>
              <w:bottom w:w="8" w:type="dxa"/>
              <w:right w:w="28" w:type="dxa"/>
            </w:tcMar>
            <w:vAlign w:val="center"/>
          </w:tcPr>
          <w:p w14:paraId="6B4E7295" w14:textId="7B672ABB" w:rsidR="003D0A0E" w:rsidRPr="00F5353D" w:rsidRDefault="003D0A0E" w:rsidP="003D0A0E">
            <w:pPr>
              <w:tabs>
                <w:tab w:val="decimal" w:pos="360"/>
              </w:tabs>
              <w:spacing w:line="200" w:lineRule="auto"/>
              <w:rPr>
                <w:sz w:val="20"/>
                <w:szCs w:val="20"/>
              </w:rPr>
            </w:pPr>
            <w:r w:rsidRPr="00F5353D">
              <w:rPr>
                <w:color w:val="000000"/>
                <w:sz w:val="20"/>
                <w:szCs w:val="20"/>
              </w:rPr>
              <w:t>0.16</w:t>
            </w:r>
          </w:p>
        </w:tc>
        <w:tc>
          <w:tcPr>
            <w:tcW w:w="206" w:type="pct"/>
            <w:tcBorders>
              <w:bottom w:val="single" w:sz="8" w:space="0" w:color="auto"/>
              <w:right w:val="single" w:sz="8" w:space="0" w:color="auto"/>
            </w:tcBorders>
            <w:tcMar>
              <w:top w:w="8" w:type="dxa"/>
              <w:left w:w="28" w:type="dxa"/>
              <w:bottom w:w="8" w:type="dxa"/>
              <w:right w:w="28" w:type="dxa"/>
            </w:tcMar>
            <w:vAlign w:val="center"/>
          </w:tcPr>
          <w:p w14:paraId="3B8EB0FF" w14:textId="3FDF4C1C" w:rsidR="003D0A0E" w:rsidRPr="00F5353D" w:rsidRDefault="003D0A0E" w:rsidP="003D0A0E">
            <w:pPr>
              <w:tabs>
                <w:tab w:val="decimal" w:pos="360"/>
              </w:tabs>
              <w:spacing w:line="200" w:lineRule="auto"/>
              <w:rPr>
                <w:sz w:val="20"/>
                <w:szCs w:val="20"/>
              </w:rPr>
            </w:pPr>
            <w:r w:rsidRPr="00F5353D">
              <w:rPr>
                <w:color w:val="000000"/>
                <w:sz w:val="20"/>
                <w:szCs w:val="20"/>
              </w:rPr>
              <w:t>1.63</w:t>
            </w:r>
          </w:p>
        </w:tc>
        <w:tc>
          <w:tcPr>
            <w:tcW w:w="209" w:type="pct"/>
            <w:tcBorders>
              <w:left w:val="single" w:sz="8" w:space="0" w:color="auto"/>
              <w:bottom w:val="single" w:sz="8" w:space="0" w:color="auto"/>
            </w:tcBorders>
            <w:tcMar>
              <w:top w:w="8" w:type="dxa"/>
              <w:left w:w="28" w:type="dxa"/>
              <w:bottom w:w="8" w:type="dxa"/>
              <w:right w:w="28" w:type="dxa"/>
            </w:tcMar>
            <w:vAlign w:val="center"/>
          </w:tcPr>
          <w:p w14:paraId="6C28EBA5" w14:textId="15C01B79" w:rsidR="003D0A0E" w:rsidRPr="00F5353D" w:rsidRDefault="003D0A0E" w:rsidP="003D0A0E">
            <w:pPr>
              <w:tabs>
                <w:tab w:val="decimal" w:pos="360"/>
              </w:tabs>
              <w:spacing w:line="200" w:lineRule="auto"/>
              <w:rPr>
                <w:sz w:val="20"/>
                <w:szCs w:val="20"/>
              </w:rPr>
            </w:pPr>
            <w:r w:rsidRPr="00F5353D">
              <w:rPr>
                <w:color w:val="000000"/>
                <w:sz w:val="20"/>
                <w:szCs w:val="20"/>
              </w:rPr>
              <w:t>-0.39</w:t>
            </w:r>
          </w:p>
        </w:tc>
        <w:tc>
          <w:tcPr>
            <w:tcW w:w="209" w:type="pct"/>
            <w:tcBorders>
              <w:bottom w:val="single" w:sz="8" w:space="0" w:color="auto"/>
              <w:right w:val="single" w:sz="18" w:space="0" w:color="auto"/>
            </w:tcBorders>
            <w:tcMar>
              <w:top w:w="8" w:type="dxa"/>
              <w:left w:w="28" w:type="dxa"/>
              <w:bottom w:w="8" w:type="dxa"/>
              <w:right w:w="28" w:type="dxa"/>
            </w:tcMar>
            <w:vAlign w:val="center"/>
          </w:tcPr>
          <w:p w14:paraId="78E4FDF1" w14:textId="05EAB5D2" w:rsidR="003D0A0E" w:rsidRPr="00F5353D" w:rsidRDefault="003D0A0E" w:rsidP="003D0A0E">
            <w:pPr>
              <w:tabs>
                <w:tab w:val="decimal" w:pos="360"/>
              </w:tabs>
              <w:spacing w:line="200" w:lineRule="auto"/>
              <w:rPr>
                <w:sz w:val="20"/>
                <w:szCs w:val="20"/>
              </w:rPr>
            </w:pPr>
            <w:r w:rsidRPr="00F5353D">
              <w:rPr>
                <w:color w:val="000000"/>
                <w:sz w:val="20"/>
                <w:szCs w:val="20"/>
              </w:rPr>
              <w:t>-2.46</w:t>
            </w:r>
          </w:p>
        </w:tc>
        <w:tc>
          <w:tcPr>
            <w:tcW w:w="207" w:type="pct"/>
            <w:tcBorders>
              <w:left w:val="single" w:sz="18" w:space="0" w:color="auto"/>
              <w:bottom w:val="single" w:sz="8" w:space="0" w:color="auto"/>
            </w:tcBorders>
            <w:tcMar>
              <w:top w:w="8" w:type="dxa"/>
              <w:left w:w="28" w:type="dxa"/>
              <w:bottom w:w="8" w:type="dxa"/>
              <w:right w:w="28" w:type="dxa"/>
            </w:tcMar>
            <w:vAlign w:val="center"/>
          </w:tcPr>
          <w:p w14:paraId="03EF0110" w14:textId="58AC80B2" w:rsidR="003D0A0E" w:rsidRPr="00F5353D" w:rsidRDefault="003D0A0E" w:rsidP="003D0A0E">
            <w:pPr>
              <w:tabs>
                <w:tab w:val="decimal" w:pos="360"/>
              </w:tabs>
              <w:spacing w:line="200" w:lineRule="auto"/>
              <w:rPr>
                <w:sz w:val="20"/>
                <w:szCs w:val="20"/>
              </w:rPr>
            </w:pPr>
            <w:r w:rsidRPr="00F5353D">
              <w:rPr>
                <w:sz w:val="20"/>
                <w:szCs w:val="20"/>
              </w:rPr>
              <w:t>—</w:t>
            </w:r>
          </w:p>
        </w:tc>
        <w:tc>
          <w:tcPr>
            <w:tcW w:w="210" w:type="pct"/>
            <w:tcBorders>
              <w:bottom w:val="single" w:sz="8" w:space="0" w:color="auto"/>
              <w:right w:val="single" w:sz="8" w:space="0" w:color="auto"/>
            </w:tcBorders>
            <w:tcMar>
              <w:top w:w="8" w:type="dxa"/>
              <w:left w:w="28" w:type="dxa"/>
              <w:bottom w:w="8" w:type="dxa"/>
              <w:right w:w="28" w:type="dxa"/>
            </w:tcMar>
            <w:vAlign w:val="center"/>
          </w:tcPr>
          <w:p w14:paraId="030875B1" w14:textId="6CD204DA"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left w:val="single" w:sz="8" w:space="0" w:color="auto"/>
              <w:bottom w:val="single" w:sz="8" w:space="0" w:color="auto"/>
            </w:tcBorders>
            <w:tcMar>
              <w:top w:w="8" w:type="dxa"/>
              <w:left w:w="28" w:type="dxa"/>
              <w:bottom w:w="8" w:type="dxa"/>
              <w:right w:w="28" w:type="dxa"/>
            </w:tcMar>
            <w:vAlign w:val="center"/>
          </w:tcPr>
          <w:p w14:paraId="7697C796" w14:textId="50111761"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bottom w:val="single" w:sz="8" w:space="0" w:color="auto"/>
              <w:right w:val="single" w:sz="18" w:space="0" w:color="auto"/>
            </w:tcBorders>
            <w:tcMar>
              <w:top w:w="8" w:type="dxa"/>
              <w:left w:w="28" w:type="dxa"/>
              <w:bottom w:w="8" w:type="dxa"/>
              <w:right w:w="28" w:type="dxa"/>
            </w:tcMar>
            <w:vAlign w:val="center"/>
          </w:tcPr>
          <w:p w14:paraId="37D0BFDA" w14:textId="3ABACB91"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left w:val="single" w:sz="18" w:space="0" w:color="auto"/>
              <w:bottom w:val="single" w:sz="8" w:space="0" w:color="auto"/>
            </w:tcBorders>
            <w:tcMar>
              <w:top w:w="8" w:type="dxa"/>
              <w:left w:w="28" w:type="dxa"/>
              <w:bottom w:w="8" w:type="dxa"/>
              <w:right w:w="28" w:type="dxa"/>
            </w:tcMar>
            <w:vAlign w:val="center"/>
          </w:tcPr>
          <w:p w14:paraId="5E5CF06D" w14:textId="2B203FA9"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bottom w:val="single" w:sz="8" w:space="0" w:color="auto"/>
              <w:right w:val="single" w:sz="18" w:space="0" w:color="auto"/>
            </w:tcBorders>
            <w:tcMar>
              <w:top w:w="8" w:type="dxa"/>
              <w:left w:w="28" w:type="dxa"/>
              <w:bottom w:w="8" w:type="dxa"/>
              <w:right w:w="28" w:type="dxa"/>
            </w:tcMar>
            <w:vAlign w:val="center"/>
          </w:tcPr>
          <w:p w14:paraId="2E806475" w14:textId="0F3702E6"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left w:val="single" w:sz="18" w:space="0" w:color="auto"/>
              <w:bottom w:val="single" w:sz="8" w:space="0" w:color="auto"/>
            </w:tcBorders>
            <w:tcMar>
              <w:top w:w="8" w:type="dxa"/>
              <w:left w:w="28" w:type="dxa"/>
              <w:bottom w:w="8" w:type="dxa"/>
              <w:right w:w="28" w:type="dxa"/>
            </w:tcMar>
            <w:vAlign w:val="center"/>
          </w:tcPr>
          <w:p w14:paraId="0E9AB4B3" w14:textId="4E81AEDF" w:rsidR="003D0A0E" w:rsidRPr="00F5353D" w:rsidRDefault="003D0A0E" w:rsidP="003D0A0E">
            <w:pPr>
              <w:tabs>
                <w:tab w:val="decimal" w:pos="360"/>
              </w:tabs>
              <w:spacing w:line="200" w:lineRule="auto"/>
              <w:rPr>
                <w:sz w:val="20"/>
                <w:szCs w:val="20"/>
              </w:rPr>
            </w:pPr>
            <w:r w:rsidRPr="00F5353D">
              <w:rPr>
                <w:color w:val="000000"/>
                <w:sz w:val="20"/>
                <w:szCs w:val="20"/>
              </w:rPr>
              <w:t>-0.15</w:t>
            </w:r>
          </w:p>
        </w:tc>
        <w:tc>
          <w:tcPr>
            <w:tcW w:w="209" w:type="pct"/>
            <w:tcBorders>
              <w:bottom w:val="single" w:sz="8" w:space="0" w:color="auto"/>
              <w:right w:val="single" w:sz="8" w:space="0" w:color="auto"/>
            </w:tcBorders>
            <w:tcMar>
              <w:top w:w="8" w:type="dxa"/>
              <w:left w:w="28" w:type="dxa"/>
              <w:bottom w:w="8" w:type="dxa"/>
              <w:right w:w="28" w:type="dxa"/>
            </w:tcMar>
            <w:vAlign w:val="center"/>
          </w:tcPr>
          <w:p w14:paraId="6012E27C" w14:textId="601E7B13" w:rsidR="003D0A0E" w:rsidRPr="00F5353D" w:rsidRDefault="003D0A0E" w:rsidP="003D0A0E">
            <w:pPr>
              <w:tabs>
                <w:tab w:val="decimal" w:pos="360"/>
              </w:tabs>
              <w:spacing w:line="200" w:lineRule="auto"/>
              <w:rPr>
                <w:sz w:val="20"/>
                <w:szCs w:val="20"/>
              </w:rPr>
            </w:pPr>
            <w:r w:rsidRPr="00F5353D">
              <w:rPr>
                <w:color w:val="000000"/>
                <w:sz w:val="20"/>
                <w:szCs w:val="20"/>
              </w:rPr>
              <w:t>-1.20</w:t>
            </w:r>
          </w:p>
        </w:tc>
        <w:tc>
          <w:tcPr>
            <w:tcW w:w="208" w:type="pct"/>
            <w:tcBorders>
              <w:left w:val="single" w:sz="8" w:space="0" w:color="auto"/>
              <w:bottom w:val="single" w:sz="8" w:space="0" w:color="auto"/>
            </w:tcBorders>
            <w:tcMar>
              <w:top w:w="8" w:type="dxa"/>
              <w:left w:w="28" w:type="dxa"/>
              <w:bottom w:w="8" w:type="dxa"/>
              <w:right w:w="28" w:type="dxa"/>
            </w:tcMar>
            <w:vAlign w:val="center"/>
          </w:tcPr>
          <w:p w14:paraId="4F87965F" w14:textId="08CBCAF4"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bottom w:val="single" w:sz="8" w:space="0" w:color="auto"/>
            </w:tcBorders>
            <w:tcMar>
              <w:top w:w="8" w:type="dxa"/>
              <w:left w:w="28" w:type="dxa"/>
              <w:bottom w:w="8" w:type="dxa"/>
              <w:right w:w="28" w:type="dxa"/>
            </w:tcMar>
            <w:vAlign w:val="center"/>
          </w:tcPr>
          <w:p w14:paraId="1FA0A6DC" w14:textId="0D35B8C7" w:rsidR="003D0A0E" w:rsidRPr="00F5353D" w:rsidRDefault="003D0A0E" w:rsidP="003D0A0E">
            <w:pPr>
              <w:tabs>
                <w:tab w:val="decimal" w:pos="360"/>
              </w:tabs>
              <w:spacing w:line="200" w:lineRule="auto"/>
              <w:rPr>
                <w:sz w:val="20"/>
                <w:szCs w:val="20"/>
              </w:rPr>
            </w:pPr>
            <w:r w:rsidRPr="00F5353D">
              <w:rPr>
                <w:sz w:val="20"/>
                <w:szCs w:val="20"/>
              </w:rPr>
              <w:t>—</w:t>
            </w:r>
          </w:p>
        </w:tc>
      </w:tr>
      <w:tr w:rsidR="003D0A0E" w:rsidRPr="00F5353D" w14:paraId="0D78384F" w14:textId="77777777" w:rsidTr="00AD79F7">
        <w:trPr>
          <w:cantSplit/>
          <w:trHeight w:val="369"/>
        </w:trPr>
        <w:tc>
          <w:tcPr>
            <w:tcW w:w="443" w:type="pct"/>
            <w:vMerge w:val="restart"/>
            <w:tcBorders>
              <w:top w:val="single" w:sz="8" w:space="0" w:color="auto"/>
              <w:right w:val="single" w:sz="8" w:space="0" w:color="auto"/>
            </w:tcBorders>
            <w:tcMar>
              <w:top w:w="8" w:type="dxa"/>
              <w:left w:w="28" w:type="dxa"/>
              <w:bottom w:w="8" w:type="dxa"/>
              <w:right w:w="28" w:type="dxa"/>
            </w:tcMar>
            <w:vAlign w:val="center"/>
          </w:tcPr>
          <w:p w14:paraId="40361D1B" w14:textId="4262ACF6" w:rsidR="003D0A0E" w:rsidRPr="00F5353D" w:rsidRDefault="003D0A0E" w:rsidP="003D0A0E">
            <w:pPr>
              <w:spacing w:line="200" w:lineRule="auto"/>
              <w:rPr>
                <w:sz w:val="20"/>
                <w:szCs w:val="20"/>
              </w:rPr>
            </w:pPr>
            <w:r w:rsidRPr="00F5353D">
              <w:rPr>
                <w:sz w:val="20"/>
                <w:szCs w:val="20"/>
              </w:rPr>
              <w:t>Local activity mix attributes</w:t>
            </w:r>
          </w:p>
        </w:tc>
        <w:tc>
          <w:tcPr>
            <w:tcW w:w="662" w:type="pct"/>
            <w:gridSpan w:val="2"/>
            <w:tcBorders>
              <w:top w:val="single" w:sz="8" w:space="0" w:color="auto"/>
              <w:right w:val="single" w:sz="8" w:space="0" w:color="auto"/>
            </w:tcBorders>
            <w:vAlign w:val="center"/>
          </w:tcPr>
          <w:p w14:paraId="1F8D325C" w14:textId="628B65E5" w:rsidR="003D0A0E" w:rsidRPr="00F5353D" w:rsidRDefault="003D0A0E" w:rsidP="003D0A0E">
            <w:pPr>
              <w:spacing w:line="200" w:lineRule="auto"/>
              <w:rPr>
                <w:sz w:val="20"/>
                <w:szCs w:val="20"/>
              </w:rPr>
            </w:pPr>
            <w:r w:rsidRPr="00F5353D">
              <w:rPr>
                <w:sz w:val="20"/>
                <w:szCs w:val="20"/>
              </w:rPr>
              <w:t>Employment mix (Not low, &gt; 0.50)</w:t>
            </w:r>
          </w:p>
        </w:tc>
        <w:tc>
          <w:tcPr>
            <w:tcW w:w="487" w:type="pct"/>
            <w:tcBorders>
              <w:top w:val="single" w:sz="8" w:space="0" w:color="auto"/>
              <w:left w:val="single" w:sz="8" w:space="0" w:color="auto"/>
              <w:right w:val="single" w:sz="18" w:space="0" w:color="auto"/>
            </w:tcBorders>
            <w:vAlign w:val="center"/>
          </w:tcPr>
          <w:p w14:paraId="6902894D" w14:textId="550BFFE1" w:rsidR="003D0A0E" w:rsidRPr="00F5353D" w:rsidRDefault="003D0A0E" w:rsidP="003D0A0E">
            <w:pPr>
              <w:spacing w:line="200" w:lineRule="auto"/>
              <w:rPr>
                <w:sz w:val="20"/>
                <w:szCs w:val="20"/>
              </w:rPr>
            </w:pPr>
            <w:r w:rsidRPr="00F5353D">
              <w:rPr>
                <w:sz w:val="20"/>
                <w:szCs w:val="20"/>
              </w:rPr>
              <w:t>Low (≤ 0.50)</w:t>
            </w:r>
          </w:p>
        </w:tc>
        <w:tc>
          <w:tcPr>
            <w:tcW w:w="209" w:type="pct"/>
            <w:tcBorders>
              <w:top w:val="single" w:sz="8" w:space="0" w:color="auto"/>
              <w:left w:val="single" w:sz="18" w:space="0" w:color="auto"/>
            </w:tcBorders>
            <w:tcMar>
              <w:top w:w="8" w:type="dxa"/>
              <w:left w:w="28" w:type="dxa"/>
              <w:bottom w:w="8" w:type="dxa"/>
              <w:right w:w="28" w:type="dxa"/>
            </w:tcMar>
            <w:vAlign w:val="center"/>
          </w:tcPr>
          <w:p w14:paraId="215A2DAF" w14:textId="7248B490"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top w:val="single" w:sz="8" w:space="0" w:color="auto"/>
              <w:right w:val="single" w:sz="18" w:space="0" w:color="auto"/>
            </w:tcBorders>
            <w:tcMar>
              <w:top w:w="8" w:type="dxa"/>
              <w:left w:w="28" w:type="dxa"/>
              <w:bottom w:w="8" w:type="dxa"/>
              <w:right w:w="28" w:type="dxa"/>
            </w:tcMar>
            <w:vAlign w:val="center"/>
          </w:tcPr>
          <w:p w14:paraId="1B975CD5" w14:textId="6A43DE84" w:rsidR="003D0A0E" w:rsidRPr="00F5353D" w:rsidRDefault="003D0A0E" w:rsidP="003D0A0E">
            <w:pPr>
              <w:tabs>
                <w:tab w:val="decimal" w:pos="360"/>
              </w:tabs>
              <w:spacing w:line="200" w:lineRule="auto"/>
              <w:rPr>
                <w:sz w:val="20"/>
                <w:szCs w:val="20"/>
              </w:rPr>
            </w:pPr>
            <w:r w:rsidRPr="00F5353D">
              <w:rPr>
                <w:sz w:val="20"/>
                <w:szCs w:val="20"/>
              </w:rPr>
              <w:t>—</w:t>
            </w:r>
          </w:p>
        </w:tc>
        <w:tc>
          <w:tcPr>
            <w:tcW w:w="211" w:type="pct"/>
            <w:tcBorders>
              <w:top w:val="single" w:sz="8" w:space="0" w:color="auto"/>
              <w:left w:val="single" w:sz="18" w:space="0" w:color="auto"/>
            </w:tcBorders>
            <w:tcMar>
              <w:top w:w="8" w:type="dxa"/>
              <w:left w:w="28" w:type="dxa"/>
              <w:bottom w:w="8" w:type="dxa"/>
              <w:right w:w="28" w:type="dxa"/>
            </w:tcMar>
            <w:vAlign w:val="center"/>
          </w:tcPr>
          <w:p w14:paraId="18D10B15" w14:textId="48BC5594" w:rsidR="003D0A0E" w:rsidRPr="00F5353D" w:rsidRDefault="003D0A0E" w:rsidP="003D0A0E">
            <w:pPr>
              <w:tabs>
                <w:tab w:val="decimal" w:pos="360"/>
              </w:tabs>
              <w:spacing w:line="200" w:lineRule="auto"/>
              <w:rPr>
                <w:sz w:val="20"/>
                <w:szCs w:val="20"/>
              </w:rPr>
            </w:pPr>
            <w:r w:rsidRPr="00F5353D">
              <w:rPr>
                <w:sz w:val="20"/>
                <w:szCs w:val="20"/>
              </w:rPr>
              <w:t>—</w:t>
            </w:r>
          </w:p>
        </w:tc>
        <w:tc>
          <w:tcPr>
            <w:tcW w:w="206" w:type="pct"/>
            <w:tcBorders>
              <w:top w:val="single" w:sz="8" w:space="0" w:color="auto"/>
              <w:right w:val="single" w:sz="8" w:space="0" w:color="auto"/>
            </w:tcBorders>
            <w:tcMar>
              <w:top w:w="8" w:type="dxa"/>
              <w:left w:w="28" w:type="dxa"/>
              <w:bottom w:w="8" w:type="dxa"/>
              <w:right w:w="28" w:type="dxa"/>
            </w:tcMar>
            <w:vAlign w:val="center"/>
          </w:tcPr>
          <w:p w14:paraId="26A2E4D8" w14:textId="7C2BF09E"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top w:val="single" w:sz="8" w:space="0" w:color="auto"/>
              <w:left w:val="single" w:sz="8" w:space="0" w:color="auto"/>
            </w:tcBorders>
            <w:tcMar>
              <w:top w:w="8" w:type="dxa"/>
              <w:left w:w="28" w:type="dxa"/>
              <w:bottom w:w="8" w:type="dxa"/>
              <w:right w:w="28" w:type="dxa"/>
            </w:tcMar>
            <w:vAlign w:val="center"/>
          </w:tcPr>
          <w:p w14:paraId="5231FF7F" w14:textId="7683DA76" w:rsidR="003D0A0E" w:rsidRPr="00F5353D" w:rsidRDefault="003D0A0E" w:rsidP="003D0A0E">
            <w:pPr>
              <w:tabs>
                <w:tab w:val="decimal" w:pos="360"/>
              </w:tabs>
              <w:spacing w:line="200" w:lineRule="auto"/>
              <w:rPr>
                <w:sz w:val="20"/>
                <w:szCs w:val="20"/>
              </w:rPr>
            </w:pPr>
            <w:r w:rsidRPr="00F5353D">
              <w:rPr>
                <w:color w:val="000000"/>
                <w:sz w:val="20"/>
                <w:szCs w:val="20"/>
              </w:rPr>
              <w:t>-0.20</w:t>
            </w:r>
          </w:p>
        </w:tc>
        <w:tc>
          <w:tcPr>
            <w:tcW w:w="209" w:type="pct"/>
            <w:tcBorders>
              <w:top w:val="single" w:sz="8" w:space="0" w:color="auto"/>
              <w:right w:val="single" w:sz="18" w:space="0" w:color="auto"/>
            </w:tcBorders>
            <w:tcMar>
              <w:top w:w="8" w:type="dxa"/>
              <w:left w:w="28" w:type="dxa"/>
              <w:bottom w:w="8" w:type="dxa"/>
              <w:right w:w="28" w:type="dxa"/>
            </w:tcMar>
            <w:vAlign w:val="center"/>
          </w:tcPr>
          <w:p w14:paraId="63237A7C" w14:textId="3B60DE26" w:rsidR="003D0A0E" w:rsidRPr="00F5353D" w:rsidRDefault="003D0A0E" w:rsidP="003D0A0E">
            <w:pPr>
              <w:tabs>
                <w:tab w:val="decimal" w:pos="360"/>
              </w:tabs>
              <w:spacing w:line="200" w:lineRule="auto"/>
              <w:rPr>
                <w:sz w:val="20"/>
                <w:szCs w:val="20"/>
              </w:rPr>
            </w:pPr>
            <w:r w:rsidRPr="00F5353D">
              <w:rPr>
                <w:color w:val="000000"/>
                <w:sz w:val="20"/>
                <w:szCs w:val="20"/>
              </w:rPr>
              <w:t>-1.80</w:t>
            </w:r>
          </w:p>
        </w:tc>
        <w:tc>
          <w:tcPr>
            <w:tcW w:w="207" w:type="pct"/>
            <w:tcBorders>
              <w:top w:val="single" w:sz="8" w:space="0" w:color="auto"/>
              <w:left w:val="single" w:sz="18" w:space="0" w:color="auto"/>
            </w:tcBorders>
            <w:tcMar>
              <w:top w:w="8" w:type="dxa"/>
              <w:left w:w="28" w:type="dxa"/>
              <w:bottom w:w="8" w:type="dxa"/>
              <w:right w:w="28" w:type="dxa"/>
            </w:tcMar>
            <w:vAlign w:val="center"/>
          </w:tcPr>
          <w:p w14:paraId="631ECE99" w14:textId="2A985F8C" w:rsidR="003D0A0E" w:rsidRPr="00F5353D" w:rsidRDefault="003D0A0E" w:rsidP="003D0A0E">
            <w:pPr>
              <w:tabs>
                <w:tab w:val="decimal" w:pos="360"/>
              </w:tabs>
              <w:spacing w:line="200" w:lineRule="auto"/>
              <w:rPr>
                <w:sz w:val="20"/>
                <w:szCs w:val="20"/>
              </w:rPr>
            </w:pPr>
            <w:r w:rsidRPr="00F5353D">
              <w:rPr>
                <w:sz w:val="20"/>
                <w:szCs w:val="20"/>
              </w:rPr>
              <w:t>—</w:t>
            </w:r>
          </w:p>
        </w:tc>
        <w:tc>
          <w:tcPr>
            <w:tcW w:w="210" w:type="pct"/>
            <w:tcBorders>
              <w:top w:val="single" w:sz="8" w:space="0" w:color="auto"/>
              <w:right w:val="single" w:sz="8" w:space="0" w:color="auto"/>
            </w:tcBorders>
            <w:tcMar>
              <w:top w:w="8" w:type="dxa"/>
              <w:left w:w="28" w:type="dxa"/>
              <w:bottom w:w="8" w:type="dxa"/>
              <w:right w:w="28" w:type="dxa"/>
            </w:tcMar>
            <w:vAlign w:val="center"/>
          </w:tcPr>
          <w:p w14:paraId="2FE89E79" w14:textId="3296365B"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top w:val="single" w:sz="8" w:space="0" w:color="auto"/>
              <w:left w:val="single" w:sz="8" w:space="0" w:color="auto"/>
            </w:tcBorders>
            <w:tcMar>
              <w:top w:w="8" w:type="dxa"/>
              <w:left w:w="28" w:type="dxa"/>
              <w:bottom w:w="8" w:type="dxa"/>
              <w:right w:w="28" w:type="dxa"/>
            </w:tcMar>
            <w:vAlign w:val="center"/>
          </w:tcPr>
          <w:p w14:paraId="0A144819" w14:textId="11B12027" w:rsidR="003D0A0E" w:rsidRPr="00F5353D" w:rsidRDefault="003D0A0E" w:rsidP="003D0A0E">
            <w:pPr>
              <w:tabs>
                <w:tab w:val="decimal" w:pos="360"/>
              </w:tabs>
              <w:spacing w:line="200" w:lineRule="auto"/>
              <w:rPr>
                <w:sz w:val="20"/>
                <w:szCs w:val="20"/>
              </w:rPr>
            </w:pPr>
            <w:r w:rsidRPr="00F5353D">
              <w:rPr>
                <w:color w:val="000000"/>
                <w:sz w:val="20"/>
                <w:szCs w:val="20"/>
              </w:rPr>
              <w:t>-0.09</w:t>
            </w:r>
          </w:p>
        </w:tc>
        <w:tc>
          <w:tcPr>
            <w:tcW w:w="245" w:type="pct"/>
            <w:tcBorders>
              <w:top w:val="single" w:sz="8" w:space="0" w:color="auto"/>
              <w:right w:val="single" w:sz="18" w:space="0" w:color="auto"/>
            </w:tcBorders>
            <w:tcMar>
              <w:top w:w="8" w:type="dxa"/>
              <w:left w:w="28" w:type="dxa"/>
              <w:bottom w:w="8" w:type="dxa"/>
              <w:right w:w="28" w:type="dxa"/>
            </w:tcMar>
            <w:vAlign w:val="center"/>
          </w:tcPr>
          <w:p w14:paraId="471EAD24" w14:textId="532B420C" w:rsidR="003D0A0E" w:rsidRPr="00F5353D" w:rsidRDefault="003D0A0E" w:rsidP="003D0A0E">
            <w:pPr>
              <w:tabs>
                <w:tab w:val="decimal" w:pos="360"/>
              </w:tabs>
              <w:spacing w:line="200" w:lineRule="auto"/>
              <w:rPr>
                <w:sz w:val="20"/>
                <w:szCs w:val="20"/>
              </w:rPr>
            </w:pPr>
            <w:r w:rsidRPr="00F5353D">
              <w:rPr>
                <w:color w:val="000000"/>
                <w:sz w:val="20"/>
                <w:szCs w:val="20"/>
              </w:rPr>
              <w:t>-1.19</w:t>
            </w:r>
          </w:p>
        </w:tc>
        <w:tc>
          <w:tcPr>
            <w:tcW w:w="207" w:type="pct"/>
            <w:tcBorders>
              <w:top w:val="single" w:sz="8" w:space="0" w:color="auto"/>
              <w:left w:val="single" w:sz="18" w:space="0" w:color="auto"/>
            </w:tcBorders>
            <w:tcMar>
              <w:top w:w="8" w:type="dxa"/>
              <w:left w:w="28" w:type="dxa"/>
              <w:bottom w:w="8" w:type="dxa"/>
              <w:right w:w="28" w:type="dxa"/>
            </w:tcMar>
            <w:vAlign w:val="center"/>
          </w:tcPr>
          <w:p w14:paraId="7EE5118B" w14:textId="2052BC46"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top w:val="single" w:sz="8" w:space="0" w:color="auto"/>
              <w:right w:val="single" w:sz="18" w:space="0" w:color="auto"/>
            </w:tcBorders>
            <w:tcMar>
              <w:top w:w="8" w:type="dxa"/>
              <w:left w:w="28" w:type="dxa"/>
              <w:bottom w:w="8" w:type="dxa"/>
              <w:right w:w="28" w:type="dxa"/>
            </w:tcMar>
            <w:vAlign w:val="center"/>
          </w:tcPr>
          <w:p w14:paraId="34DF0F09" w14:textId="210D8081"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top w:val="single" w:sz="8" w:space="0" w:color="auto"/>
              <w:left w:val="single" w:sz="18" w:space="0" w:color="auto"/>
            </w:tcBorders>
            <w:tcMar>
              <w:top w:w="8" w:type="dxa"/>
              <w:left w:w="28" w:type="dxa"/>
              <w:bottom w:w="8" w:type="dxa"/>
              <w:right w:w="28" w:type="dxa"/>
            </w:tcMar>
            <w:vAlign w:val="center"/>
          </w:tcPr>
          <w:p w14:paraId="6C50AAC0" w14:textId="1E079BBF"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top w:val="single" w:sz="8" w:space="0" w:color="auto"/>
              <w:right w:val="single" w:sz="8" w:space="0" w:color="auto"/>
            </w:tcBorders>
            <w:tcMar>
              <w:top w:w="8" w:type="dxa"/>
              <w:left w:w="28" w:type="dxa"/>
              <w:bottom w:w="8" w:type="dxa"/>
              <w:right w:w="28" w:type="dxa"/>
            </w:tcMar>
            <w:vAlign w:val="center"/>
          </w:tcPr>
          <w:p w14:paraId="6DB389D3" w14:textId="24EEC1C9"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top w:val="single" w:sz="8" w:space="0" w:color="auto"/>
              <w:left w:val="single" w:sz="8" w:space="0" w:color="auto"/>
            </w:tcBorders>
            <w:tcMar>
              <w:top w:w="8" w:type="dxa"/>
              <w:left w:w="28" w:type="dxa"/>
              <w:bottom w:w="8" w:type="dxa"/>
              <w:right w:w="28" w:type="dxa"/>
            </w:tcMar>
            <w:vAlign w:val="center"/>
          </w:tcPr>
          <w:p w14:paraId="1BBB4A15" w14:textId="768CF5DC"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top w:val="single" w:sz="8" w:space="0" w:color="auto"/>
            </w:tcBorders>
            <w:tcMar>
              <w:top w:w="8" w:type="dxa"/>
              <w:left w:w="28" w:type="dxa"/>
              <w:bottom w:w="8" w:type="dxa"/>
              <w:right w:w="28" w:type="dxa"/>
            </w:tcMar>
            <w:vAlign w:val="center"/>
          </w:tcPr>
          <w:p w14:paraId="7B15C6CA" w14:textId="18C101D2" w:rsidR="003D0A0E" w:rsidRPr="00F5353D" w:rsidRDefault="003D0A0E" w:rsidP="003D0A0E">
            <w:pPr>
              <w:tabs>
                <w:tab w:val="decimal" w:pos="360"/>
              </w:tabs>
              <w:spacing w:line="200" w:lineRule="auto"/>
              <w:rPr>
                <w:sz w:val="20"/>
                <w:szCs w:val="20"/>
              </w:rPr>
            </w:pPr>
            <w:r w:rsidRPr="00F5353D">
              <w:rPr>
                <w:sz w:val="20"/>
                <w:szCs w:val="20"/>
              </w:rPr>
              <w:t>—</w:t>
            </w:r>
          </w:p>
        </w:tc>
      </w:tr>
      <w:tr w:rsidR="003D0A0E" w:rsidRPr="00F5353D" w14:paraId="0122713F" w14:textId="77777777" w:rsidTr="00AD79F7">
        <w:trPr>
          <w:cantSplit/>
          <w:trHeight w:val="187"/>
        </w:trPr>
        <w:tc>
          <w:tcPr>
            <w:tcW w:w="443" w:type="pct"/>
            <w:vMerge/>
            <w:tcBorders>
              <w:right w:val="single" w:sz="8" w:space="0" w:color="auto"/>
            </w:tcBorders>
            <w:tcMar>
              <w:top w:w="8" w:type="dxa"/>
              <w:left w:w="28" w:type="dxa"/>
              <w:bottom w:w="8" w:type="dxa"/>
              <w:right w:w="28" w:type="dxa"/>
            </w:tcMar>
            <w:vAlign w:val="center"/>
          </w:tcPr>
          <w:p w14:paraId="28F85704" w14:textId="77777777" w:rsidR="003D0A0E" w:rsidRPr="00F5353D" w:rsidRDefault="003D0A0E" w:rsidP="003D0A0E">
            <w:pPr>
              <w:spacing w:line="200" w:lineRule="auto"/>
              <w:rPr>
                <w:sz w:val="20"/>
                <w:szCs w:val="20"/>
              </w:rPr>
            </w:pPr>
          </w:p>
        </w:tc>
        <w:tc>
          <w:tcPr>
            <w:tcW w:w="662" w:type="pct"/>
            <w:gridSpan w:val="2"/>
            <w:vMerge w:val="restart"/>
            <w:tcBorders>
              <w:right w:val="single" w:sz="8" w:space="0" w:color="auto"/>
            </w:tcBorders>
            <w:vAlign w:val="center"/>
          </w:tcPr>
          <w:p w14:paraId="3C25DA03" w14:textId="3254E899" w:rsidR="003D0A0E" w:rsidRPr="00F5353D" w:rsidRDefault="003D0A0E" w:rsidP="003D0A0E">
            <w:pPr>
              <w:spacing w:line="200" w:lineRule="auto"/>
              <w:rPr>
                <w:sz w:val="20"/>
                <w:szCs w:val="20"/>
              </w:rPr>
            </w:pPr>
            <w:r w:rsidRPr="00F5353D">
              <w:rPr>
                <w:sz w:val="20"/>
                <w:szCs w:val="20"/>
              </w:rPr>
              <w:t>Jobs-per-household ratio (Low, &lt; 0.50)</w:t>
            </w:r>
          </w:p>
        </w:tc>
        <w:tc>
          <w:tcPr>
            <w:tcW w:w="487" w:type="pct"/>
            <w:tcBorders>
              <w:left w:val="single" w:sz="8" w:space="0" w:color="auto"/>
              <w:right w:val="single" w:sz="18" w:space="0" w:color="auto"/>
            </w:tcBorders>
            <w:vAlign w:val="center"/>
          </w:tcPr>
          <w:p w14:paraId="08C430A7" w14:textId="3CC20D58" w:rsidR="003D0A0E" w:rsidRPr="00F5353D" w:rsidRDefault="003D0A0E" w:rsidP="003D0A0E">
            <w:pPr>
              <w:spacing w:line="200" w:lineRule="auto"/>
              <w:rPr>
                <w:sz w:val="20"/>
                <w:szCs w:val="20"/>
              </w:rPr>
            </w:pPr>
            <w:r w:rsidRPr="00F5353D">
              <w:rPr>
                <w:sz w:val="20"/>
                <w:szCs w:val="20"/>
              </w:rPr>
              <w:t>Medium</w:t>
            </w:r>
          </w:p>
          <w:p w14:paraId="3AC9FE16" w14:textId="798BF1B2" w:rsidR="003D0A0E" w:rsidRPr="00F5353D" w:rsidRDefault="003D0A0E" w:rsidP="003D0A0E">
            <w:pPr>
              <w:spacing w:line="200" w:lineRule="auto"/>
              <w:rPr>
                <w:sz w:val="20"/>
                <w:szCs w:val="20"/>
              </w:rPr>
            </w:pPr>
            <w:r w:rsidRPr="00F5353D">
              <w:rPr>
                <w:sz w:val="20"/>
                <w:szCs w:val="20"/>
              </w:rPr>
              <w:t>(0.50-2.00)</w:t>
            </w:r>
          </w:p>
        </w:tc>
        <w:tc>
          <w:tcPr>
            <w:tcW w:w="209" w:type="pct"/>
            <w:tcBorders>
              <w:left w:val="single" w:sz="18" w:space="0" w:color="auto"/>
            </w:tcBorders>
            <w:tcMar>
              <w:top w:w="8" w:type="dxa"/>
              <w:left w:w="28" w:type="dxa"/>
              <w:bottom w:w="8" w:type="dxa"/>
              <w:right w:w="28" w:type="dxa"/>
            </w:tcMar>
            <w:vAlign w:val="center"/>
          </w:tcPr>
          <w:p w14:paraId="722566CF" w14:textId="3429E801"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right w:val="single" w:sz="18" w:space="0" w:color="auto"/>
            </w:tcBorders>
            <w:tcMar>
              <w:top w:w="8" w:type="dxa"/>
              <w:left w:w="28" w:type="dxa"/>
              <w:bottom w:w="8" w:type="dxa"/>
              <w:right w:w="28" w:type="dxa"/>
            </w:tcMar>
            <w:vAlign w:val="center"/>
          </w:tcPr>
          <w:p w14:paraId="1FE604B8" w14:textId="46B6504B" w:rsidR="003D0A0E" w:rsidRPr="00F5353D" w:rsidRDefault="003D0A0E" w:rsidP="003D0A0E">
            <w:pPr>
              <w:tabs>
                <w:tab w:val="decimal" w:pos="360"/>
              </w:tabs>
              <w:spacing w:line="200" w:lineRule="auto"/>
              <w:rPr>
                <w:sz w:val="20"/>
                <w:szCs w:val="20"/>
              </w:rPr>
            </w:pPr>
            <w:r w:rsidRPr="00F5353D">
              <w:rPr>
                <w:sz w:val="20"/>
                <w:szCs w:val="20"/>
              </w:rPr>
              <w:t>—</w:t>
            </w:r>
          </w:p>
        </w:tc>
        <w:tc>
          <w:tcPr>
            <w:tcW w:w="211" w:type="pct"/>
            <w:tcBorders>
              <w:left w:val="single" w:sz="18" w:space="0" w:color="auto"/>
            </w:tcBorders>
            <w:tcMar>
              <w:top w:w="8" w:type="dxa"/>
              <w:left w:w="28" w:type="dxa"/>
              <w:bottom w:w="8" w:type="dxa"/>
              <w:right w:w="28" w:type="dxa"/>
            </w:tcMar>
            <w:vAlign w:val="center"/>
          </w:tcPr>
          <w:p w14:paraId="564FC183" w14:textId="5B333698" w:rsidR="003D0A0E" w:rsidRPr="00F5353D" w:rsidRDefault="003D0A0E" w:rsidP="003D0A0E">
            <w:pPr>
              <w:tabs>
                <w:tab w:val="decimal" w:pos="360"/>
              </w:tabs>
              <w:spacing w:line="200" w:lineRule="auto"/>
              <w:rPr>
                <w:sz w:val="20"/>
                <w:szCs w:val="20"/>
              </w:rPr>
            </w:pPr>
            <w:r w:rsidRPr="00F5353D">
              <w:rPr>
                <w:sz w:val="20"/>
                <w:szCs w:val="20"/>
              </w:rPr>
              <w:t>—</w:t>
            </w:r>
          </w:p>
        </w:tc>
        <w:tc>
          <w:tcPr>
            <w:tcW w:w="206" w:type="pct"/>
            <w:tcBorders>
              <w:right w:val="single" w:sz="8" w:space="0" w:color="auto"/>
            </w:tcBorders>
            <w:tcMar>
              <w:top w:w="8" w:type="dxa"/>
              <w:left w:w="28" w:type="dxa"/>
              <w:bottom w:w="8" w:type="dxa"/>
              <w:right w:w="28" w:type="dxa"/>
            </w:tcMar>
            <w:vAlign w:val="center"/>
          </w:tcPr>
          <w:p w14:paraId="4CBFA10C" w14:textId="56C24DE4"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left w:val="single" w:sz="8" w:space="0" w:color="auto"/>
            </w:tcBorders>
            <w:tcMar>
              <w:top w:w="8" w:type="dxa"/>
              <w:left w:w="28" w:type="dxa"/>
              <w:bottom w:w="8" w:type="dxa"/>
              <w:right w:w="28" w:type="dxa"/>
            </w:tcMar>
            <w:vAlign w:val="center"/>
          </w:tcPr>
          <w:p w14:paraId="6E9216C2" w14:textId="77331A83"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right w:val="single" w:sz="18" w:space="0" w:color="auto"/>
            </w:tcBorders>
            <w:tcMar>
              <w:top w:w="8" w:type="dxa"/>
              <w:left w:w="28" w:type="dxa"/>
              <w:bottom w:w="8" w:type="dxa"/>
              <w:right w:w="28" w:type="dxa"/>
            </w:tcMar>
            <w:vAlign w:val="center"/>
          </w:tcPr>
          <w:p w14:paraId="758002AA" w14:textId="7E8D0900"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left w:val="single" w:sz="18" w:space="0" w:color="auto"/>
            </w:tcBorders>
            <w:tcMar>
              <w:top w:w="8" w:type="dxa"/>
              <w:left w:w="28" w:type="dxa"/>
              <w:bottom w:w="8" w:type="dxa"/>
              <w:right w:w="28" w:type="dxa"/>
            </w:tcMar>
            <w:vAlign w:val="center"/>
          </w:tcPr>
          <w:p w14:paraId="4AF32D11" w14:textId="039F371F" w:rsidR="003D0A0E" w:rsidRPr="00F5353D" w:rsidRDefault="003D0A0E" w:rsidP="003D0A0E">
            <w:pPr>
              <w:tabs>
                <w:tab w:val="decimal" w:pos="360"/>
              </w:tabs>
              <w:spacing w:line="200" w:lineRule="auto"/>
              <w:rPr>
                <w:sz w:val="20"/>
                <w:szCs w:val="20"/>
              </w:rPr>
            </w:pPr>
            <w:r w:rsidRPr="00F5353D">
              <w:rPr>
                <w:sz w:val="20"/>
                <w:szCs w:val="20"/>
              </w:rPr>
              <w:t>—</w:t>
            </w:r>
          </w:p>
        </w:tc>
        <w:tc>
          <w:tcPr>
            <w:tcW w:w="210" w:type="pct"/>
            <w:tcBorders>
              <w:right w:val="single" w:sz="8" w:space="0" w:color="auto"/>
            </w:tcBorders>
            <w:tcMar>
              <w:top w:w="8" w:type="dxa"/>
              <w:left w:w="28" w:type="dxa"/>
              <w:bottom w:w="8" w:type="dxa"/>
              <w:right w:w="28" w:type="dxa"/>
            </w:tcMar>
            <w:vAlign w:val="center"/>
          </w:tcPr>
          <w:p w14:paraId="6E14C202" w14:textId="0E1245F4"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left w:val="single" w:sz="8" w:space="0" w:color="auto"/>
            </w:tcBorders>
            <w:tcMar>
              <w:top w:w="8" w:type="dxa"/>
              <w:left w:w="28" w:type="dxa"/>
              <w:bottom w:w="8" w:type="dxa"/>
              <w:right w:w="28" w:type="dxa"/>
            </w:tcMar>
            <w:vAlign w:val="center"/>
          </w:tcPr>
          <w:p w14:paraId="2D63C8F4" w14:textId="6E126320"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right w:val="single" w:sz="18" w:space="0" w:color="auto"/>
            </w:tcBorders>
            <w:tcMar>
              <w:top w:w="8" w:type="dxa"/>
              <w:left w:w="28" w:type="dxa"/>
              <w:bottom w:w="8" w:type="dxa"/>
              <w:right w:w="28" w:type="dxa"/>
            </w:tcMar>
            <w:vAlign w:val="center"/>
          </w:tcPr>
          <w:p w14:paraId="682106CA" w14:textId="5271B963"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left w:val="single" w:sz="18" w:space="0" w:color="auto"/>
            </w:tcBorders>
            <w:tcMar>
              <w:top w:w="8" w:type="dxa"/>
              <w:left w:w="28" w:type="dxa"/>
              <w:bottom w:w="8" w:type="dxa"/>
              <w:right w:w="28" w:type="dxa"/>
            </w:tcMar>
            <w:vAlign w:val="center"/>
          </w:tcPr>
          <w:p w14:paraId="560E5E87" w14:textId="6FE1E10E"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right w:val="single" w:sz="18" w:space="0" w:color="auto"/>
            </w:tcBorders>
            <w:tcMar>
              <w:top w:w="8" w:type="dxa"/>
              <w:left w:w="28" w:type="dxa"/>
              <w:bottom w:w="8" w:type="dxa"/>
              <w:right w:w="28" w:type="dxa"/>
            </w:tcMar>
            <w:vAlign w:val="center"/>
          </w:tcPr>
          <w:p w14:paraId="004D5782" w14:textId="4783CAF9"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left w:val="single" w:sz="18" w:space="0" w:color="auto"/>
            </w:tcBorders>
            <w:tcMar>
              <w:top w:w="8" w:type="dxa"/>
              <w:left w:w="28" w:type="dxa"/>
              <w:bottom w:w="8" w:type="dxa"/>
              <w:right w:w="28" w:type="dxa"/>
            </w:tcMar>
            <w:vAlign w:val="center"/>
          </w:tcPr>
          <w:p w14:paraId="3222D05F" w14:textId="260E9A16"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7CA0A48D" w14:textId="1939F97D"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left w:val="single" w:sz="8" w:space="0" w:color="auto"/>
            </w:tcBorders>
            <w:tcMar>
              <w:top w:w="8" w:type="dxa"/>
              <w:left w:w="28" w:type="dxa"/>
              <w:bottom w:w="8" w:type="dxa"/>
              <w:right w:w="28" w:type="dxa"/>
            </w:tcMar>
            <w:vAlign w:val="center"/>
          </w:tcPr>
          <w:p w14:paraId="39D5ADDC" w14:textId="47B70728" w:rsidR="003D0A0E" w:rsidRPr="00F5353D" w:rsidRDefault="003D0A0E" w:rsidP="003D0A0E">
            <w:pPr>
              <w:tabs>
                <w:tab w:val="decimal" w:pos="360"/>
              </w:tabs>
              <w:spacing w:line="200" w:lineRule="auto"/>
              <w:rPr>
                <w:sz w:val="20"/>
                <w:szCs w:val="20"/>
              </w:rPr>
            </w:pPr>
            <w:r w:rsidRPr="00F5353D">
              <w:rPr>
                <w:color w:val="000000"/>
                <w:sz w:val="20"/>
                <w:szCs w:val="20"/>
              </w:rPr>
              <w:t>-0.11</w:t>
            </w:r>
          </w:p>
        </w:tc>
        <w:tc>
          <w:tcPr>
            <w:tcW w:w="208" w:type="pct"/>
            <w:tcMar>
              <w:top w:w="8" w:type="dxa"/>
              <w:left w:w="28" w:type="dxa"/>
              <w:bottom w:w="8" w:type="dxa"/>
              <w:right w:w="28" w:type="dxa"/>
            </w:tcMar>
            <w:vAlign w:val="center"/>
          </w:tcPr>
          <w:p w14:paraId="557B957B" w14:textId="539A73DB" w:rsidR="003D0A0E" w:rsidRPr="00F5353D" w:rsidRDefault="003D0A0E" w:rsidP="003D0A0E">
            <w:pPr>
              <w:tabs>
                <w:tab w:val="decimal" w:pos="360"/>
              </w:tabs>
              <w:spacing w:line="200" w:lineRule="auto"/>
              <w:rPr>
                <w:sz w:val="20"/>
                <w:szCs w:val="20"/>
              </w:rPr>
            </w:pPr>
            <w:r w:rsidRPr="00F5353D">
              <w:rPr>
                <w:color w:val="000000"/>
                <w:sz w:val="20"/>
                <w:szCs w:val="20"/>
              </w:rPr>
              <w:t>-1.45</w:t>
            </w:r>
          </w:p>
        </w:tc>
      </w:tr>
      <w:tr w:rsidR="003D0A0E" w:rsidRPr="00F5353D" w14:paraId="74BBD439" w14:textId="77777777" w:rsidTr="00AD79F7">
        <w:trPr>
          <w:cantSplit/>
          <w:trHeight w:val="81"/>
        </w:trPr>
        <w:tc>
          <w:tcPr>
            <w:tcW w:w="443" w:type="pct"/>
            <w:vMerge/>
            <w:tcBorders>
              <w:right w:val="single" w:sz="8" w:space="0" w:color="auto"/>
            </w:tcBorders>
            <w:tcMar>
              <w:top w:w="8" w:type="dxa"/>
              <w:left w:w="28" w:type="dxa"/>
              <w:bottom w:w="8" w:type="dxa"/>
              <w:right w:w="28" w:type="dxa"/>
            </w:tcMar>
            <w:vAlign w:val="center"/>
          </w:tcPr>
          <w:p w14:paraId="26F400FB" w14:textId="77777777" w:rsidR="003D0A0E" w:rsidRPr="00F5353D" w:rsidRDefault="003D0A0E" w:rsidP="003D0A0E">
            <w:pPr>
              <w:spacing w:line="200" w:lineRule="auto"/>
              <w:rPr>
                <w:sz w:val="20"/>
                <w:szCs w:val="20"/>
              </w:rPr>
            </w:pPr>
          </w:p>
        </w:tc>
        <w:tc>
          <w:tcPr>
            <w:tcW w:w="662" w:type="pct"/>
            <w:gridSpan w:val="2"/>
            <w:vMerge/>
            <w:tcBorders>
              <w:right w:val="single" w:sz="8" w:space="0" w:color="auto"/>
            </w:tcBorders>
            <w:vAlign w:val="center"/>
          </w:tcPr>
          <w:p w14:paraId="53F78B92" w14:textId="77777777" w:rsidR="003D0A0E" w:rsidRPr="00F5353D" w:rsidRDefault="003D0A0E" w:rsidP="003D0A0E">
            <w:pPr>
              <w:spacing w:line="200" w:lineRule="auto"/>
              <w:rPr>
                <w:sz w:val="20"/>
                <w:szCs w:val="20"/>
              </w:rPr>
            </w:pPr>
          </w:p>
        </w:tc>
        <w:tc>
          <w:tcPr>
            <w:tcW w:w="487" w:type="pct"/>
            <w:tcBorders>
              <w:left w:val="single" w:sz="8" w:space="0" w:color="auto"/>
              <w:right w:val="single" w:sz="18" w:space="0" w:color="auto"/>
            </w:tcBorders>
            <w:vAlign w:val="center"/>
          </w:tcPr>
          <w:p w14:paraId="590FEFD3" w14:textId="2BB2DECC" w:rsidR="003D0A0E" w:rsidRPr="00F5353D" w:rsidRDefault="003D0A0E" w:rsidP="003D0A0E">
            <w:pPr>
              <w:spacing w:line="200" w:lineRule="auto"/>
              <w:rPr>
                <w:sz w:val="20"/>
                <w:szCs w:val="20"/>
              </w:rPr>
            </w:pPr>
            <w:r w:rsidRPr="00F5353D">
              <w:rPr>
                <w:sz w:val="20"/>
                <w:szCs w:val="20"/>
              </w:rPr>
              <w:t>High (&gt; 2.00)</w:t>
            </w:r>
          </w:p>
        </w:tc>
        <w:tc>
          <w:tcPr>
            <w:tcW w:w="209" w:type="pct"/>
            <w:tcBorders>
              <w:left w:val="single" w:sz="18" w:space="0" w:color="auto"/>
            </w:tcBorders>
            <w:tcMar>
              <w:top w:w="8" w:type="dxa"/>
              <w:left w:w="28" w:type="dxa"/>
              <w:bottom w:w="8" w:type="dxa"/>
              <w:right w:w="28" w:type="dxa"/>
            </w:tcMar>
            <w:vAlign w:val="center"/>
          </w:tcPr>
          <w:p w14:paraId="53704B9A" w14:textId="10B57C1D"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right w:val="single" w:sz="18" w:space="0" w:color="auto"/>
            </w:tcBorders>
            <w:tcMar>
              <w:top w:w="8" w:type="dxa"/>
              <w:left w:w="28" w:type="dxa"/>
              <w:bottom w:w="8" w:type="dxa"/>
              <w:right w:w="28" w:type="dxa"/>
            </w:tcMar>
            <w:vAlign w:val="center"/>
          </w:tcPr>
          <w:p w14:paraId="1611424B" w14:textId="1D671D7C" w:rsidR="003D0A0E" w:rsidRPr="00F5353D" w:rsidRDefault="003D0A0E" w:rsidP="003D0A0E">
            <w:pPr>
              <w:tabs>
                <w:tab w:val="decimal" w:pos="360"/>
              </w:tabs>
              <w:spacing w:line="200" w:lineRule="auto"/>
              <w:rPr>
                <w:sz w:val="20"/>
                <w:szCs w:val="20"/>
              </w:rPr>
            </w:pPr>
            <w:r w:rsidRPr="00F5353D">
              <w:rPr>
                <w:sz w:val="20"/>
                <w:szCs w:val="20"/>
              </w:rPr>
              <w:t>—</w:t>
            </w:r>
          </w:p>
        </w:tc>
        <w:tc>
          <w:tcPr>
            <w:tcW w:w="211" w:type="pct"/>
            <w:tcBorders>
              <w:left w:val="single" w:sz="18" w:space="0" w:color="auto"/>
            </w:tcBorders>
            <w:tcMar>
              <w:top w:w="8" w:type="dxa"/>
              <w:left w:w="28" w:type="dxa"/>
              <w:bottom w:w="8" w:type="dxa"/>
              <w:right w:w="28" w:type="dxa"/>
            </w:tcMar>
            <w:vAlign w:val="center"/>
          </w:tcPr>
          <w:p w14:paraId="2F28E794" w14:textId="17E2D353" w:rsidR="003D0A0E" w:rsidRPr="00F5353D" w:rsidRDefault="003D0A0E" w:rsidP="003D0A0E">
            <w:pPr>
              <w:tabs>
                <w:tab w:val="decimal" w:pos="360"/>
              </w:tabs>
              <w:spacing w:line="200" w:lineRule="auto"/>
              <w:rPr>
                <w:sz w:val="20"/>
                <w:szCs w:val="20"/>
              </w:rPr>
            </w:pPr>
            <w:r w:rsidRPr="00F5353D">
              <w:rPr>
                <w:sz w:val="20"/>
                <w:szCs w:val="20"/>
              </w:rPr>
              <w:t>—</w:t>
            </w:r>
          </w:p>
        </w:tc>
        <w:tc>
          <w:tcPr>
            <w:tcW w:w="206" w:type="pct"/>
            <w:tcBorders>
              <w:right w:val="single" w:sz="8" w:space="0" w:color="auto"/>
            </w:tcBorders>
            <w:tcMar>
              <w:top w:w="8" w:type="dxa"/>
              <w:left w:w="28" w:type="dxa"/>
              <w:bottom w:w="8" w:type="dxa"/>
              <w:right w:w="28" w:type="dxa"/>
            </w:tcMar>
            <w:vAlign w:val="center"/>
          </w:tcPr>
          <w:p w14:paraId="4F48D24F" w14:textId="73D1D03F"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left w:val="single" w:sz="8" w:space="0" w:color="auto"/>
            </w:tcBorders>
            <w:tcMar>
              <w:top w:w="8" w:type="dxa"/>
              <w:left w:w="28" w:type="dxa"/>
              <w:bottom w:w="8" w:type="dxa"/>
              <w:right w:w="28" w:type="dxa"/>
            </w:tcMar>
            <w:vAlign w:val="center"/>
          </w:tcPr>
          <w:p w14:paraId="37B90DB9" w14:textId="532EEA76"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right w:val="single" w:sz="18" w:space="0" w:color="auto"/>
            </w:tcBorders>
            <w:tcMar>
              <w:top w:w="8" w:type="dxa"/>
              <w:left w:w="28" w:type="dxa"/>
              <w:bottom w:w="8" w:type="dxa"/>
              <w:right w:w="28" w:type="dxa"/>
            </w:tcMar>
            <w:vAlign w:val="center"/>
          </w:tcPr>
          <w:p w14:paraId="515030B2" w14:textId="49E58829"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left w:val="single" w:sz="18" w:space="0" w:color="auto"/>
            </w:tcBorders>
            <w:tcMar>
              <w:top w:w="8" w:type="dxa"/>
              <w:left w:w="28" w:type="dxa"/>
              <w:bottom w:w="8" w:type="dxa"/>
              <w:right w:w="28" w:type="dxa"/>
            </w:tcMar>
            <w:vAlign w:val="bottom"/>
          </w:tcPr>
          <w:p w14:paraId="0C69093D" w14:textId="6B29B8C8" w:rsidR="003D0A0E" w:rsidRPr="00F5353D" w:rsidRDefault="003D0A0E" w:rsidP="003D0A0E">
            <w:pPr>
              <w:tabs>
                <w:tab w:val="decimal" w:pos="360"/>
              </w:tabs>
              <w:spacing w:line="200" w:lineRule="auto"/>
              <w:rPr>
                <w:sz w:val="20"/>
                <w:szCs w:val="20"/>
              </w:rPr>
            </w:pPr>
            <w:r w:rsidRPr="00F5353D">
              <w:rPr>
                <w:color w:val="000000"/>
                <w:sz w:val="20"/>
                <w:szCs w:val="20"/>
              </w:rPr>
              <w:t>0.13</w:t>
            </w:r>
          </w:p>
        </w:tc>
        <w:tc>
          <w:tcPr>
            <w:tcW w:w="210" w:type="pct"/>
            <w:tcBorders>
              <w:right w:val="single" w:sz="8" w:space="0" w:color="auto"/>
            </w:tcBorders>
            <w:tcMar>
              <w:top w:w="8" w:type="dxa"/>
              <w:left w:w="28" w:type="dxa"/>
              <w:bottom w:w="8" w:type="dxa"/>
              <w:right w:w="28" w:type="dxa"/>
            </w:tcMar>
            <w:vAlign w:val="bottom"/>
          </w:tcPr>
          <w:p w14:paraId="34942434" w14:textId="3AA2BD01" w:rsidR="003D0A0E" w:rsidRPr="00F5353D" w:rsidRDefault="003D0A0E" w:rsidP="003D0A0E">
            <w:pPr>
              <w:tabs>
                <w:tab w:val="decimal" w:pos="360"/>
              </w:tabs>
              <w:spacing w:line="200" w:lineRule="auto"/>
              <w:rPr>
                <w:sz w:val="20"/>
                <w:szCs w:val="20"/>
              </w:rPr>
            </w:pPr>
            <w:r w:rsidRPr="00F5353D">
              <w:rPr>
                <w:color w:val="000000"/>
                <w:sz w:val="20"/>
                <w:szCs w:val="20"/>
              </w:rPr>
              <w:t>1.49</w:t>
            </w:r>
          </w:p>
        </w:tc>
        <w:tc>
          <w:tcPr>
            <w:tcW w:w="208" w:type="pct"/>
            <w:tcBorders>
              <w:left w:val="single" w:sz="8" w:space="0" w:color="auto"/>
            </w:tcBorders>
            <w:tcMar>
              <w:top w:w="8" w:type="dxa"/>
              <w:left w:w="28" w:type="dxa"/>
              <w:bottom w:w="8" w:type="dxa"/>
              <w:right w:w="28" w:type="dxa"/>
            </w:tcMar>
            <w:vAlign w:val="center"/>
          </w:tcPr>
          <w:p w14:paraId="323DBDD3" w14:textId="3E018D36"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right w:val="single" w:sz="18" w:space="0" w:color="auto"/>
            </w:tcBorders>
            <w:tcMar>
              <w:top w:w="8" w:type="dxa"/>
              <w:left w:w="28" w:type="dxa"/>
              <w:bottom w:w="8" w:type="dxa"/>
              <w:right w:w="28" w:type="dxa"/>
            </w:tcMar>
            <w:vAlign w:val="center"/>
          </w:tcPr>
          <w:p w14:paraId="05A826D1" w14:textId="5C931FD1"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left w:val="single" w:sz="18" w:space="0" w:color="auto"/>
            </w:tcBorders>
            <w:tcMar>
              <w:top w:w="8" w:type="dxa"/>
              <w:left w:w="28" w:type="dxa"/>
              <w:bottom w:w="8" w:type="dxa"/>
              <w:right w:w="28" w:type="dxa"/>
            </w:tcMar>
            <w:vAlign w:val="center"/>
          </w:tcPr>
          <w:p w14:paraId="1EE5C744" w14:textId="13386E8B"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right w:val="single" w:sz="18" w:space="0" w:color="auto"/>
            </w:tcBorders>
            <w:tcMar>
              <w:top w:w="8" w:type="dxa"/>
              <w:left w:w="28" w:type="dxa"/>
              <w:bottom w:w="8" w:type="dxa"/>
              <w:right w:w="28" w:type="dxa"/>
            </w:tcMar>
            <w:vAlign w:val="center"/>
          </w:tcPr>
          <w:p w14:paraId="701A3D0A" w14:textId="76F58743"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left w:val="single" w:sz="18" w:space="0" w:color="auto"/>
            </w:tcBorders>
            <w:tcMar>
              <w:top w:w="8" w:type="dxa"/>
              <w:left w:w="28" w:type="dxa"/>
              <w:bottom w:w="8" w:type="dxa"/>
              <w:right w:w="28" w:type="dxa"/>
            </w:tcMar>
            <w:vAlign w:val="center"/>
          </w:tcPr>
          <w:p w14:paraId="39A49175" w14:textId="4452FB18"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796D13D6" w14:textId="3E7794F8"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left w:val="single" w:sz="8" w:space="0" w:color="auto"/>
            </w:tcBorders>
            <w:tcMar>
              <w:top w:w="8" w:type="dxa"/>
              <w:left w:w="28" w:type="dxa"/>
              <w:bottom w:w="8" w:type="dxa"/>
              <w:right w:w="28" w:type="dxa"/>
            </w:tcMar>
            <w:vAlign w:val="center"/>
          </w:tcPr>
          <w:p w14:paraId="689EECE1" w14:textId="0C9AD25A"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Mar>
              <w:top w:w="8" w:type="dxa"/>
              <w:left w:w="28" w:type="dxa"/>
              <w:bottom w:w="8" w:type="dxa"/>
              <w:right w:w="28" w:type="dxa"/>
            </w:tcMar>
            <w:vAlign w:val="center"/>
          </w:tcPr>
          <w:p w14:paraId="33F2628F" w14:textId="2A847B85" w:rsidR="003D0A0E" w:rsidRPr="00F5353D" w:rsidRDefault="003D0A0E" w:rsidP="003D0A0E">
            <w:pPr>
              <w:tabs>
                <w:tab w:val="decimal" w:pos="360"/>
              </w:tabs>
              <w:spacing w:line="200" w:lineRule="auto"/>
              <w:rPr>
                <w:sz w:val="20"/>
                <w:szCs w:val="20"/>
              </w:rPr>
            </w:pPr>
            <w:r w:rsidRPr="00F5353D">
              <w:rPr>
                <w:sz w:val="20"/>
                <w:szCs w:val="20"/>
              </w:rPr>
              <w:t>—</w:t>
            </w:r>
          </w:p>
        </w:tc>
      </w:tr>
      <w:tr w:rsidR="003D0A0E" w:rsidRPr="00F5353D" w14:paraId="3BD161FD" w14:textId="77777777" w:rsidTr="00AD79F7">
        <w:trPr>
          <w:cantSplit/>
          <w:trHeight w:val="315"/>
        </w:trPr>
        <w:tc>
          <w:tcPr>
            <w:tcW w:w="443" w:type="pct"/>
            <w:vMerge/>
            <w:tcBorders>
              <w:bottom w:val="single" w:sz="8" w:space="0" w:color="auto"/>
              <w:right w:val="single" w:sz="8" w:space="0" w:color="auto"/>
            </w:tcBorders>
            <w:tcMar>
              <w:top w:w="8" w:type="dxa"/>
              <w:left w:w="28" w:type="dxa"/>
              <w:bottom w:w="8" w:type="dxa"/>
              <w:right w:w="28" w:type="dxa"/>
            </w:tcMar>
            <w:vAlign w:val="center"/>
          </w:tcPr>
          <w:p w14:paraId="6038CE21" w14:textId="77777777" w:rsidR="003D0A0E" w:rsidRPr="00F5353D" w:rsidRDefault="003D0A0E" w:rsidP="003D0A0E">
            <w:pPr>
              <w:spacing w:line="200" w:lineRule="auto"/>
              <w:rPr>
                <w:sz w:val="20"/>
                <w:szCs w:val="20"/>
              </w:rPr>
            </w:pPr>
          </w:p>
        </w:tc>
        <w:tc>
          <w:tcPr>
            <w:tcW w:w="662" w:type="pct"/>
            <w:gridSpan w:val="2"/>
            <w:tcBorders>
              <w:bottom w:val="single" w:sz="8" w:space="0" w:color="auto"/>
              <w:right w:val="single" w:sz="8" w:space="0" w:color="auto"/>
            </w:tcBorders>
            <w:vAlign w:val="center"/>
          </w:tcPr>
          <w:p w14:paraId="42E29604" w14:textId="5F1ED444" w:rsidR="003D0A0E" w:rsidRPr="00F5353D" w:rsidRDefault="003D0A0E" w:rsidP="003D0A0E">
            <w:pPr>
              <w:spacing w:line="200" w:lineRule="auto"/>
              <w:rPr>
                <w:sz w:val="20"/>
                <w:szCs w:val="20"/>
              </w:rPr>
            </w:pPr>
            <w:r w:rsidRPr="00F5353D">
              <w:rPr>
                <w:sz w:val="20"/>
                <w:szCs w:val="20"/>
              </w:rPr>
              <w:t>Land-use mix</w:t>
            </w:r>
          </w:p>
          <w:p w14:paraId="207145B1" w14:textId="2E5D0DAE" w:rsidR="003D0A0E" w:rsidRPr="00F5353D" w:rsidRDefault="003D0A0E" w:rsidP="003D0A0E">
            <w:pPr>
              <w:spacing w:line="200" w:lineRule="auto"/>
              <w:rPr>
                <w:sz w:val="20"/>
                <w:szCs w:val="20"/>
              </w:rPr>
            </w:pPr>
            <w:r w:rsidRPr="00F5353D">
              <w:rPr>
                <w:sz w:val="20"/>
                <w:szCs w:val="20"/>
              </w:rPr>
              <w:t>(Not low, &gt; 0.30)</w:t>
            </w:r>
          </w:p>
        </w:tc>
        <w:tc>
          <w:tcPr>
            <w:tcW w:w="487" w:type="pct"/>
            <w:tcBorders>
              <w:left w:val="single" w:sz="8" w:space="0" w:color="auto"/>
              <w:bottom w:val="single" w:sz="8" w:space="0" w:color="auto"/>
              <w:right w:val="single" w:sz="18" w:space="0" w:color="auto"/>
            </w:tcBorders>
            <w:vAlign w:val="center"/>
          </w:tcPr>
          <w:p w14:paraId="22F81858" w14:textId="1EC99836" w:rsidR="003D0A0E" w:rsidRPr="00F5353D" w:rsidRDefault="003D0A0E" w:rsidP="003D0A0E">
            <w:pPr>
              <w:spacing w:line="200" w:lineRule="auto"/>
              <w:rPr>
                <w:sz w:val="20"/>
                <w:szCs w:val="20"/>
              </w:rPr>
            </w:pPr>
            <w:r w:rsidRPr="00F5353D">
              <w:rPr>
                <w:sz w:val="20"/>
                <w:szCs w:val="20"/>
              </w:rPr>
              <w:t>Low (</w:t>
            </w:r>
            <w:r w:rsidR="001E661B" w:rsidRPr="00F5353D">
              <w:rPr>
                <w:sz w:val="20"/>
                <w:szCs w:val="20"/>
              </w:rPr>
              <w:t>≤</w:t>
            </w:r>
            <w:r w:rsidRPr="00F5353D">
              <w:rPr>
                <w:sz w:val="20"/>
                <w:szCs w:val="20"/>
              </w:rPr>
              <w:t xml:space="preserve"> 0.30)</w:t>
            </w:r>
          </w:p>
        </w:tc>
        <w:tc>
          <w:tcPr>
            <w:tcW w:w="209" w:type="pct"/>
            <w:tcBorders>
              <w:left w:val="single" w:sz="18" w:space="0" w:color="auto"/>
              <w:bottom w:val="single" w:sz="8" w:space="0" w:color="auto"/>
            </w:tcBorders>
            <w:tcMar>
              <w:top w:w="8" w:type="dxa"/>
              <w:left w:w="28" w:type="dxa"/>
              <w:bottom w:w="8" w:type="dxa"/>
              <w:right w:w="28" w:type="dxa"/>
            </w:tcMar>
            <w:vAlign w:val="center"/>
          </w:tcPr>
          <w:p w14:paraId="22CA9FB8" w14:textId="250E2E40" w:rsidR="003D0A0E" w:rsidRPr="00F5353D" w:rsidRDefault="003101A2" w:rsidP="003D0A0E">
            <w:pPr>
              <w:tabs>
                <w:tab w:val="decimal" w:pos="360"/>
              </w:tabs>
              <w:spacing w:line="200" w:lineRule="auto"/>
              <w:rPr>
                <w:sz w:val="20"/>
                <w:szCs w:val="20"/>
              </w:rPr>
            </w:pPr>
            <w:r w:rsidRPr="00F5353D">
              <w:rPr>
                <w:color w:val="000000"/>
                <w:sz w:val="20"/>
                <w:szCs w:val="20"/>
              </w:rPr>
              <w:t>-</w:t>
            </w:r>
            <w:r w:rsidR="003D0A0E" w:rsidRPr="00F5353D">
              <w:rPr>
                <w:color w:val="000000"/>
                <w:sz w:val="20"/>
                <w:szCs w:val="20"/>
              </w:rPr>
              <w:t>0.07</w:t>
            </w:r>
          </w:p>
        </w:tc>
        <w:tc>
          <w:tcPr>
            <w:tcW w:w="208" w:type="pct"/>
            <w:tcBorders>
              <w:bottom w:val="single" w:sz="8" w:space="0" w:color="auto"/>
              <w:right w:val="single" w:sz="18" w:space="0" w:color="auto"/>
            </w:tcBorders>
            <w:tcMar>
              <w:top w:w="8" w:type="dxa"/>
              <w:left w:w="28" w:type="dxa"/>
              <w:bottom w:w="8" w:type="dxa"/>
              <w:right w:w="28" w:type="dxa"/>
            </w:tcMar>
            <w:vAlign w:val="center"/>
          </w:tcPr>
          <w:p w14:paraId="525E0EB7" w14:textId="15FDBEB4" w:rsidR="003D0A0E" w:rsidRPr="00F5353D" w:rsidRDefault="003101A2" w:rsidP="003D0A0E">
            <w:pPr>
              <w:tabs>
                <w:tab w:val="decimal" w:pos="360"/>
              </w:tabs>
              <w:spacing w:line="200" w:lineRule="auto"/>
              <w:rPr>
                <w:sz w:val="20"/>
                <w:szCs w:val="20"/>
              </w:rPr>
            </w:pPr>
            <w:r w:rsidRPr="00F5353D">
              <w:rPr>
                <w:color w:val="000000"/>
                <w:sz w:val="20"/>
                <w:szCs w:val="20"/>
              </w:rPr>
              <w:t>-</w:t>
            </w:r>
            <w:r w:rsidR="003D0A0E" w:rsidRPr="00F5353D">
              <w:rPr>
                <w:color w:val="000000"/>
                <w:sz w:val="20"/>
                <w:szCs w:val="20"/>
              </w:rPr>
              <w:t>1.57</w:t>
            </w:r>
          </w:p>
        </w:tc>
        <w:tc>
          <w:tcPr>
            <w:tcW w:w="211" w:type="pct"/>
            <w:tcBorders>
              <w:left w:val="single" w:sz="18" w:space="0" w:color="auto"/>
              <w:bottom w:val="single" w:sz="8" w:space="0" w:color="auto"/>
            </w:tcBorders>
            <w:tcMar>
              <w:top w:w="8" w:type="dxa"/>
              <w:left w:w="28" w:type="dxa"/>
              <w:bottom w:w="8" w:type="dxa"/>
              <w:right w:w="28" w:type="dxa"/>
            </w:tcMar>
            <w:vAlign w:val="center"/>
          </w:tcPr>
          <w:p w14:paraId="7D675725" w14:textId="201581C1" w:rsidR="003D0A0E" w:rsidRPr="00F5353D" w:rsidRDefault="00692EFB" w:rsidP="003D0A0E">
            <w:pPr>
              <w:tabs>
                <w:tab w:val="decimal" w:pos="360"/>
              </w:tabs>
              <w:spacing w:line="200" w:lineRule="auto"/>
              <w:rPr>
                <w:sz w:val="20"/>
                <w:szCs w:val="20"/>
              </w:rPr>
            </w:pPr>
            <w:r w:rsidRPr="00F5353D">
              <w:rPr>
                <w:color w:val="000000"/>
                <w:sz w:val="20"/>
                <w:szCs w:val="20"/>
              </w:rPr>
              <w:t>-</w:t>
            </w:r>
            <w:r w:rsidR="003D0A0E" w:rsidRPr="00F5353D">
              <w:rPr>
                <w:color w:val="000000"/>
                <w:sz w:val="20"/>
                <w:szCs w:val="20"/>
              </w:rPr>
              <w:t>0.13</w:t>
            </w:r>
          </w:p>
        </w:tc>
        <w:tc>
          <w:tcPr>
            <w:tcW w:w="206" w:type="pct"/>
            <w:tcBorders>
              <w:bottom w:val="single" w:sz="8" w:space="0" w:color="auto"/>
              <w:right w:val="single" w:sz="8" w:space="0" w:color="auto"/>
            </w:tcBorders>
            <w:tcMar>
              <w:top w:w="8" w:type="dxa"/>
              <w:left w:w="28" w:type="dxa"/>
              <w:bottom w:w="8" w:type="dxa"/>
              <w:right w:w="28" w:type="dxa"/>
            </w:tcMar>
            <w:vAlign w:val="center"/>
          </w:tcPr>
          <w:p w14:paraId="00873063" w14:textId="49A1F7A1" w:rsidR="003D0A0E" w:rsidRPr="00F5353D" w:rsidRDefault="00692EFB" w:rsidP="003D0A0E">
            <w:pPr>
              <w:tabs>
                <w:tab w:val="decimal" w:pos="360"/>
              </w:tabs>
              <w:spacing w:line="200" w:lineRule="auto"/>
              <w:rPr>
                <w:sz w:val="20"/>
                <w:szCs w:val="20"/>
              </w:rPr>
            </w:pPr>
            <w:r w:rsidRPr="00F5353D">
              <w:rPr>
                <w:color w:val="000000"/>
                <w:sz w:val="20"/>
                <w:szCs w:val="20"/>
              </w:rPr>
              <w:t>-</w:t>
            </w:r>
            <w:r w:rsidR="003D0A0E" w:rsidRPr="00F5353D">
              <w:rPr>
                <w:color w:val="000000"/>
                <w:sz w:val="20"/>
                <w:szCs w:val="20"/>
              </w:rPr>
              <w:t>1.62</w:t>
            </w:r>
          </w:p>
        </w:tc>
        <w:tc>
          <w:tcPr>
            <w:tcW w:w="209" w:type="pct"/>
            <w:tcBorders>
              <w:left w:val="single" w:sz="8" w:space="0" w:color="auto"/>
              <w:bottom w:val="single" w:sz="8" w:space="0" w:color="auto"/>
            </w:tcBorders>
            <w:tcMar>
              <w:top w:w="8" w:type="dxa"/>
              <w:left w:w="28" w:type="dxa"/>
              <w:bottom w:w="8" w:type="dxa"/>
              <w:right w:w="28" w:type="dxa"/>
            </w:tcMar>
            <w:vAlign w:val="center"/>
          </w:tcPr>
          <w:p w14:paraId="5D5808E0" w14:textId="348A4F0E"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bottom w:val="single" w:sz="8" w:space="0" w:color="auto"/>
              <w:right w:val="single" w:sz="18" w:space="0" w:color="auto"/>
            </w:tcBorders>
            <w:tcMar>
              <w:top w:w="8" w:type="dxa"/>
              <w:left w:w="28" w:type="dxa"/>
              <w:bottom w:w="8" w:type="dxa"/>
              <w:right w:w="28" w:type="dxa"/>
            </w:tcMar>
            <w:vAlign w:val="center"/>
          </w:tcPr>
          <w:p w14:paraId="15595B16" w14:textId="3907AAF2"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left w:val="single" w:sz="18" w:space="0" w:color="auto"/>
              <w:bottom w:val="single" w:sz="8" w:space="0" w:color="auto"/>
            </w:tcBorders>
            <w:tcMar>
              <w:top w:w="8" w:type="dxa"/>
              <w:left w:w="28" w:type="dxa"/>
              <w:bottom w:w="8" w:type="dxa"/>
              <w:right w:w="28" w:type="dxa"/>
            </w:tcMar>
            <w:vAlign w:val="center"/>
          </w:tcPr>
          <w:p w14:paraId="2008148A" w14:textId="7635DE1A" w:rsidR="003D0A0E" w:rsidRPr="00F5353D" w:rsidRDefault="003D0A0E" w:rsidP="003D0A0E">
            <w:pPr>
              <w:tabs>
                <w:tab w:val="decimal" w:pos="360"/>
              </w:tabs>
              <w:spacing w:line="200" w:lineRule="auto"/>
              <w:rPr>
                <w:sz w:val="20"/>
                <w:szCs w:val="20"/>
              </w:rPr>
            </w:pPr>
            <w:r w:rsidRPr="00F5353D">
              <w:rPr>
                <w:sz w:val="20"/>
                <w:szCs w:val="20"/>
              </w:rPr>
              <w:t>—</w:t>
            </w:r>
          </w:p>
        </w:tc>
        <w:tc>
          <w:tcPr>
            <w:tcW w:w="210" w:type="pct"/>
            <w:tcBorders>
              <w:bottom w:val="single" w:sz="8" w:space="0" w:color="auto"/>
              <w:right w:val="single" w:sz="8" w:space="0" w:color="auto"/>
            </w:tcBorders>
            <w:tcMar>
              <w:top w:w="8" w:type="dxa"/>
              <w:left w:w="28" w:type="dxa"/>
              <w:bottom w:w="8" w:type="dxa"/>
              <w:right w:w="28" w:type="dxa"/>
            </w:tcMar>
            <w:vAlign w:val="center"/>
          </w:tcPr>
          <w:p w14:paraId="7108B8CA" w14:textId="0B9683A2"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left w:val="single" w:sz="8" w:space="0" w:color="auto"/>
              <w:bottom w:val="single" w:sz="8" w:space="0" w:color="auto"/>
            </w:tcBorders>
            <w:tcMar>
              <w:top w:w="8" w:type="dxa"/>
              <w:left w:w="28" w:type="dxa"/>
              <w:bottom w:w="8" w:type="dxa"/>
              <w:right w:w="28" w:type="dxa"/>
            </w:tcMar>
            <w:vAlign w:val="center"/>
          </w:tcPr>
          <w:p w14:paraId="76A6023C" w14:textId="28449ED1"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bottom w:val="single" w:sz="8" w:space="0" w:color="auto"/>
              <w:right w:val="single" w:sz="18" w:space="0" w:color="auto"/>
            </w:tcBorders>
            <w:tcMar>
              <w:top w:w="8" w:type="dxa"/>
              <w:left w:w="28" w:type="dxa"/>
              <w:bottom w:w="8" w:type="dxa"/>
              <w:right w:w="28" w:type="dxa"/>
            </w:tcMar>
            <w:vAlign w:val="center"/>
          </w:tcPr>
          <w:p w14:paraId="59B0A484" w14:textId="6B8D7DE8"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left w:val="single" w:sz="18" w:space="0" w:color="auto"/>
              <w:bottom w:val="single" w:sz="8" w:space="0" w:color="auto"/>
            </w:tcBorders>
            <w:tcMar>
              <w:top w:w="8" w:type="dxa"/>
              <w:left w:w="28" w:type="dxa"/>
              <w:bottom w:w="8" w:type="dxa"/>
              <w:right w:w="28" w:type="dxa"/>
            </w:tcMar>
            <w:vAlign w:val="center"/>
          </w:tcPr>
          <w:p w14:paraId="68A44B5F" w14:textId="2E242026"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bottom w:val="single" w:sz="8" w:space="0" w:color="auto"/>
              <w:right w:val="single" w:sz="18" w:space="0" w:color="auto"/>
            </w:tcBorders>
            <w:tcMar>
              <w:top w:w="8" w:type="dxa"/>
              <w:left w:w="28" w:type="dxa"/>
              <w:bottom w:w="8" w:type="dxa"/>
              <w:right w:w="28" w:type="dxa"/>
            </w:tcMar>
            <w:vAlign w:val="center"/>
          </w:tcPr>
          <w:p w14:paraId="01EC592D" w14:textId="3AF216D0"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left w:val="single" w:sz="18" w:space="0" w:color="auto"/>
              <w:bottom w:val="single" w:sz="8" w:space="0" w:color="auto"/>
            </w:tcBorders>
            <w:tcMar>
              <w:top w:w="8" w:type="dxa"/>
              <w:left w:w="28" w:type="dxa"/>
              <w:bottom w:w="8" w:type="dxa"/>
              <w:right w:w="28" w:type="dxa"/>
            </w:tcMar>
            <w:vAlign w:val="center"/>
          </w:tcPr>
          <w:p w14:paraId="6325C8C5" w14:textId="74620E90"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bottom w:val="single" w:sz="8" w:space="0" w:color="auto"/>
              <w:right w:val="single" w:sz="8" w:space="0" w:color="auto"/>
            </w:tcBorders>
            <w:tcMar>
              <w:top w:w="8" w:type="dxa"/>
              <w:left w:w="28" w:type="dxa"/>
              <w:bottom w:w="8" w:type="dxa"/>
              <w:right w:w="28" w:type="dxa"/>
            </w:tcMar>
            <w:vAlign w:val="center"/>
          </w:tcPr>
          <w:p w14:paraId="3B941AF7" w14:textId="70D5A4D1"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left w:val="single" w:sz="8" w:space="0" w:color="auto"/>
              <w:bottom w:val="single" w:sz="8" w:space="0" w:color="auto"/>
            </w:tcBorders>
            <w:tcMar>
              <w:top w:w="8" w:type="dxa"/>
              <w:left w:w="28" w:type="dxa"/>
              <w:bottom w:w="8" w:type="dxa"/>
              <w:right w:w="28" w:type="dxa"/>
            </w:tcMar>
            <w:vAlign w:val="center"/>
          </w:tcPr>
          <w:p w14:paraId="3BDB47B4" w14:textId="4F20E587"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bottom w:val="single" w:sz="8" w:space="0" w:color="auto"/>
            </w:tcBorders>
            <w:tcMar>
              <w:top w:w="8" w:type="dxa"/>
              <w:left w:w="28" w:type="dxa"/>
              <w:bottom w:w="8" w:type="dxa"/>
              <w:right w:w="28" w:type="dxa"/>
            </w:tcMar>
            <w:vAlign w:val="center"/>
          </w:tcPr>
          <w:p w14:paraId="665A934A" w14:textId="3C1252C5" w:rsidR="003D0A0E" w:rsidRPr="00F5353D" w:rsidRDefault="003D0A0E" w:rsidP="003D0A0E">
            <w:pPr>
              <w:tabs>
                <w:tab w:val="decimal" w:pos="360"/>
              </w:tabs>
              <w:spacing w:line="200" w:lineRule="auto"/>
              <w:rPr>
                <w:sz w:val="20"/>
                <w:szCs w:val="20"/>
              </w:rPr>
            </w:pPr>
            <w:r w:rsidRPr="00F5353D">
              <w:rPr>
                <w:sz w:val="20"/>
                <w:szCs w:val="20"/>
              </w:rPr>
              <w:t>—</w:t>
            </w:r>
          </w:p>
        </w:tc>
      </w:tr>
      <w:tr w:rsidR="003D0A0E" w:rsidRPr="00F5353D" w14:paraId="0F94AFE3" w14:textId="77777777" w:rsidTr="00AD79F7">
        <w:trPr>
          <w:cantSplit/>
          <w:trHeight w:val="351"/>
        </w:trPr>
        <w:tc>
          <w:tcPr>
            <w:tcW w:w="443" w:type="pct"/>
            <w:vMerge w:val="restart"/>
            <w:tcBorders>
              <w:top w:val="single" w:sz="8" w:space="0" w:color="auto"/>
              <w:right w:val="single" w:sz="8" w:space="0" w:color="auto"/>
            </w:tcBorders>
            <w:tcMar>
              <w:top w:w="8" w:type="dxa"/>
              <w:left w:w="28" w:type="dxa"/>
              <w:bottom w:w="8" w:type="dxa"/>
              <w:right w:w="28" w:type="dxa"/>
            </w:tcMar>
            <w:vAlign w:val="center"/>
          </w:tcPr>
          <w:p w14:paraId="38E6A92E" w14:textId="26213CC9" w:rsidR="003D0A0E" w:rsidRPr="00F5353D" w:rsidRDefault="003D0A0E" w:rsidP="003D0A0E">
            <w:pPr>
              <w:spacing w:line="200" w:lineRule="auto"/>
              <w:rPr>
                <w:sz w:val="20"/>
                <w:szCs w:val="20"/>
              </w:rPr>
            </w:pPr>
            <w:r w:rsidRPr="00F5353D">
              <w:rPr>
                <w:sz w:val="20"/>
                <w:szCs w:val="20"/>
              </w:rPr>
              <w:t>Network design measures</w:t>
            </w:r>
          </w:p>
        </w:tc>
        <w:tc>
          <w:tcPr>
            <w:tcW w:w="662" w:type="pct"/>
            <w:gridSpan w:val="2"/>
            <w:tcBorders>
              <w:top w:val="single" w:sz="8" w:space="0" w:color="auto"/>
              <w:right w:val="single" w:sz="8" w:space="0" w:color="auto"/>
            </w:tcBorders>
            <w:vAlign w:val="center"/>
          </w:tcPr>
          <w:p w14:paraId="2A831FEF" w14:textId="20BC241D" w:rsidR="003D0A0E" w:rsidRPr="00F5353D" w:rsidRDefault="003D0A0E" w:rsidP="003D0A0E">
            <w:pPr>
              <w:spacing w:line="200" w:lineRule="auto"/>
              <w:rPr>
                <w:sz w:val="20"/>
                <w:szCs w:val="20"/>
              </w:rPr>
            </w:pPr>
            <w:r w:rsidRPr="00F5353D">
              <w:rPr>
                <w:sz w:val="20"/>
                <w:szCs w:val="20"/>
              </w:rPr>
              <w:t>Pedestrian network density (Not low,&gt;5)</w:t>
            </w:r>
          </w:p>
        </w:tc>
        <w:tc>
          <w:tcPr>
            <w:tcW w:w="487" w:type="pct"/>
            <w:tcBorders>
              <w:top w:val="single" w:sz="8" w:space="0" w:color="auto"/>
              <w:left w:val="single" w:sz="8" w:space="0" w:color="auto"/>
              <w:right w:val="single" w:sz="18" w:space="0" w:color="auto"/>
            </w:tcBorders>
            <w:vAlign w:val="center"/>
          </w:tcPr>
          <w:p w14:paraId="127EE21E" w14:textId="34109411" w:rsidR="003D0A0E" w:rsidRPr="00F5353D" w:rsidRDefault="003D0A0E" w:rsidP="003D0A0E">
            <w:pPr>
              <w:spacing w:line="200" w:lineRule="auto"/>
              <w:rPr>
                <w:sz w:val="20"/>
                <w:szCs w:val="20"/>
              </w:rPr>
            </w:pPr>
            <w:r w:rsidRPr="00F5353D">
              <w:rPr>
                <w:sz w:val="20"/>
                <w:szCs w:val="20"/>
              </w:rPr>
              <w:t>Low (≤ 5)</w:t>
            </w:r>
          </w:p>
        </w:tc>
        <w:tc>
          <w:tcPr>
            <w:tcW w:w="209" w:type="pct"/>
            <w:tcBorders>
              <w:top w:val="single" w:sz="8" w:space="0" w:color="auto"/>
              <w:left w:val="single" w:sz="18" w:space="0" w:color="auto"/>
            </w:tcBorders>
            <w:tcMar>
              <w:top w:w="8" w:type="dxa"/>
              <w:left w:w="28" w:type="dxa"/>
              <w:bottom w:w="8" w:type="dxa"/>
              <w:right w:w="28" w:type="dxa"/>
            </w:tcMar>
            <w:vAlign w:val="center"/>
          </w:tcPr>
          <w:p w14:paraId="28B55CC9" w14:textId="709AE676"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top w:val="single" w:sz="8" w:space="0" w:color="auto"/>
              <w:right w:val="single" w:sz="18" w:space="0" w:color="auto"/>
            </w:tcBorders>
            <w:tcMar>
              <w:top w:w="8" w:type="dxa"/>
              <w:left w:w="28" w:type="dxa"/>
              <w:bottom w:w="8" w:type="dxa"/>
              <w:right w:w="28" w:type="dxa"/>
            </w:tcMar>
            <w:vAlign w:val="center"/>
          </w:tcPr>
          <w:p w14:paraId="50B55439" w14:textId="0188215A" w:rsidR="003D0A0E" w:rsidRPr="00F5353D" w:rsidRDefault="003D0A0E" w:rsidP="003D0A0E">
            <w:pPr>
              <w:tabs>
                <w:tab w:val="decimal" w:pos="360"/>
              </w:tabs>
              <w:spacing w:line="200" w:lineRule="auto"/>
              <w:rPr>
                <w:sz w:val="20"/>
                <w:szCs w:val="20"/>
              </w:rPr>
            </w:pPr>
            <w:r w:rsidRPr="00F5353D">
              <w:rPr>
                <w:sz w:val="20"/>
                <w:szCs w:val="20"/>
              </w:rPr>
              <w:t>—</w:t>
            </w:r>
          </w:p>
        </w:tc>
        <w:tc>
          <w:tcPr>
            <w:tcW w:w="211" w:type="pct"/>
            <w:tcBorders>
              <w:top w:val="single" w:sz="8" w:space="0" w:color="auto"/>
              <w:left w:val="single" w:sz="18" w:space="0" w:color="auto"/>
            </w:tcBorders>
            <w:tcMar>
              <w:top w:w="8" w:type="dxa"/>
              <w:left w:w="28" w:type="dxa"/>
              <w:bottom w:w="8" w:type="dxa"/>
              <w:right w:w="28" w:type="dxa"/>
            </w:tcMar>
            <w:vAlign w:val="center"/>
          </w:tcPr>
          <w:p w14:paraId="576CFA4E" w14:textId="793B870E" w:rsidR="003D0A0E" w:rsidRPr="00F5353D" w:rsidRDefault="003D0A0E" w:rsidP="003D0A0E">
            <w:pPr>
              <w:tabs>
                <w:tab w:val="decimal" w:pos="360"/>
              </w:tabs>
              <w:spacing w:line="200" w:lineRule="auto"/>
              <w:rPr>
                <w:sz w:val="20"/>
                <w:szCs w:val="20"/>
              </w:rPr>
            </w:pPr>
            <w:r w:rsidRPr="00F5353D">
              <w:rPr>
                <w:color w:val="000000"/>
                <w:sz w:val="20"/>
                <w:szCs w:val="20"/>
              </w:rPr>
              <w:t>0.10</w:t>
            </w:r>
          </w:p>
        </w:tc>
        <w:tc>
          <w:tcPr>
            <w:tcW w:w="206" w:type="pct"/>
            <w:tcBorders>
              <w:top w:val="single" w:sz="8" w:space="0" w:color="auto"/>
              <w:right w:val="single" w:sz="8" w:space="0" w:color="auto"/>
            </w:tcBorders>
            <w:tcMar>
              <w:top w:w="8" w:type="dxa"/>
              <w:left w:w="28" w:type="dxa"/>
              <w:bottom w:w="8" w:type="dxa"/>
              <w:right w:w="28" w:type="dxa"/>
            </w:tcMar>
            <w:vAlign w:val="center"/>
          </w:tcPr>
          <w:p w14:paraId="0ACB55E2" w14:textId="7BB9202A" w:rsidR="003D0A0E" w:rsidRPr="00F5353D" w:rsidRDefault="003D0A0E" w:rsidP="003D0A0E">
            <w:pPr>
              <w:tabs>
                <w:tab w:val="decimal" w:pos="360"/>
              </w:tabs>
              <w:spacing w:line="200" w:lineRule="auto"/>
              <w:rPr>
                <w:sz w:val="20"/>
                <w:szCs w:val="20"/>
              </w:rPr>
            </w:pPr>
            <w:r w:rsidRPr="00F5353D">
              <w:rPr>
                <w:color w:val="000000"/>
                <w:sz w:val="20"/>
                <w:szCs w:val="20"/>
              </w:rPr>
              <w:t>1.16</w:t>
            </w:r>
          </w:p>
        </w:tc>
        <w:tc>
          <w:tcPr>
            <w:tcW w:w="209" w:type="pct"/>
            <w:tcBorders>
              <w:top w:val="single" w:sz="8" w:space="0" w:color="auto"/>
              <w:left w:val="single" w:sz="8" w:space="0" w:color="auto"/>
            </w:tcBorders>
            <w:tcMar>
              <w:top w:w="8" w:type="dxa"/>
              <w:left w:w="28" w:type="dxa"/>
              <w:bottom w:w="8" w:type="dxa"/>
              <w:right w:w="28" w:type="dxa"/>
            </w:tcMar>
            <w:vAlign w:val="center"/>
          </w:tcPr>
          <w:p w14:paraId="35AA86E2" w14:textId="36E55C98" w:rsidR="003D0A0E" w:rsidRPr="00F5353D" w:rsidRDefault="003D0A0E" w:rsidP="003D0A0E">
            <w:pPr>
              <w:tabs>
                <w:tab w:val="decimal" w:pos="360"/>
              </w:tabs>
              <w:spacing w:line="200" w:lineRule="auto"/>
              <w:rPr>
                <w:sz w:val="20"/>
                <w:szCs w:val="20"/>
              </w:rPr>
            </w:pPr>
            <w:r w:rsidRPr="00F5353D">
              <w:rPr>
                <w:color w:val="000000"/>
                <w:sz w:val="20"/>
                <w:szCs w:val="20"/>
              </w:rPr>
              <w:t>0.23</w:t>
            </w:r>
          </w:p>
        </w:tc>
        <w:tc>
          <w:tcPr>
            <w:tcW w:w="209" w:type="pct"/>
            <w:tcBorders>
              <w:top w:val="single" w:sz="8" w:space="0" w:color="auto"/>
              <w:right w:val="single" w:sz="18" w:space="0" w:color="auto"/>
            </w:tcBorders>
            <w:tcMar>
              <w:top w:w="8" w:type="dxa"/>
              <w:left w:w="28" w:type="dxa"/>
              <w:bottom w:w="8" w:type="dxa"/>
              <w:right w:w="28" w:type="dxa"/>
            </w:tcMar>
            <w:vAlign w:val="center"/>
          </w:tcPr>
          <w:p w14:paraId="6A056663" w14:textId="181E0FE8" w:rsidR="003D0A0E" w:rsidRPr="00F5353D" w:rsidRDefault="003D0A0E" w:rsidP="003D0A0E">
            <w:pPr>
              <w:tabs>
                <w:tab w:val="decimal" w:pos="360"/>
              </w:tabs>
              <w:spacing w:line="200" w:lineRule="auto"/>
              <w:rPr>
                <w:sz w:val="20"/>
                <w:szCs w:val="20"/>
              </w:rPr>
            </w:pPr>
            <w:r w:rsidRPr="00F5353D">
              <w:rPr>
                <w:color w:val="000000"/>
                <w:sz w:val="20"/>
                <w:szCs w:val="20"/>
              </w:rPr>
              <w:t>1.42</w:t>
            </w:r>
          </w:p>
        </w:tc>
        <w:tc>
          <w:tcPr>
            <w:tcW w:w="207" w:type="pct"/>
            <w:tcBorders>
              <w:top w:val="single" w:sz="8" w:space="0" w:color="auto"/>
              <w:left w:val="single" w:sz="18" w:space="0" w:color="auto"/>
            </w:tcBorders>
            <w:tcMar>
              <w:top w:w="8" w:type="dxa"/>
              <w:left w:w="28" w:type="dxa"/>
              <w:bottom w:w="8" w:type="dxa"/>
              <w:right w:w="28" w:type="dxa"/>
            </w:tcMar>
            <w:vAlign w:val="center"/>
          </w:tcPr>
          <w:p w14:paraId="6C35DF72" w14:textId="5FCBEDFC" w:rsidR="003D0A0E" w:rsidRPr="00F5353D" w:rsidRDefault="003D0A0E" w:rsidP="003D0A0E">
            <w:pPr>
              <w:tabs>
                <w:tab w:val="decimal" w:pos="360"/>
              </w:tabs>
              <w:spacing w:line="200" w:lineRule="auto"/>
              <w:rPr>
                <w:sz w:val="20"/>
                <w:szCs w:val="20"/>
              </w:rPr>
            </w:pPr>
            <w:r w:rsidRPr="00F5353D">
              <w:rPr>
                <w:sz w:val="20"/>
                <w:szCs w:val="20"/>
              </w:rPr>
              <w:t>—</w:t>
            </w:r>
          </w:p>
        </w:tc>
        <w:tc>
          <w:tcPr>
            <w:tcW w:w="210" w:type="pct"/>
            <w:tcBorders>
              <w:top w:val="single" w:sz="8" w:space="0" w:color="auto"/>
              <w:right w:val="single" w:sz="8" w:space="0" w:color="auto"/>
            </w:tcBorders>
            <w:tcMar>
              <w:top w:w="8" w:type="dxa"/>
              <w:left w:w="28" w:type="dxa"/>
              <w:bottom w:w="8" w:type="dxa"/>
              <w:right w:w="28" w:type="dxa"/>
            </w:tcMar>
            <w:vAlign w:val="center"/>
          </w:tcPr>
          <w:p w14:paraId="69C9FF70" w14:textId="2D75C419"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top w:val="single" w:sz="8" w:space="0" w:color="auto"/>
              <w:left w:val="single" w:sz="8" w:space="0" w:color="auto"/>
            </w:tcBorders>
            <w:tcMar>
              <w:top w:w="8" w:type="dxa"/>
              <w:left w:w="28" w:type="dxa"/>
              <w:bottom w:w="8" w:type="dxa"/>
              <w:right w:w="28" w:type="dxa"/>
            </w:tcMar>
            <w:vAlign w:val="center"/>
          </w:tcPr>
          <w:p w14:paraId="0559629A" w14:textId="19F0CDF9"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top w:val="single" w:sz="8" w:space="0" w:color="auto"/>
              <w:right w:val="single" w:sz="18" w:space="0" w:color="auto"/>
            </w:tcBorders>
            <w:tcMar>
              <w:top w:w="8" w:type="dxa"/>
              <w:left w:w="28" w:type="dxa"/>
              <w:bottom w:w="8" w:type="dxa"/>
              <w:right w:w="28" w:type="dxa"/>
            </w:tcMar>
            <w:vAlign w:val="center"/>
          </w:tcPr>
          <w:p w14:paraId="51286B89" w14:textId="461A8998"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top w:val="single" w:sz="8" w:space="0" w:color="auto"/>
              <w:left w:val="single" w:sz="18" w:space="0" w:color="auto"/>
            </w:tcBorders>
            <w:tcMar>
              <w:top w:w="8" w:type="dxa"/>
              <w:left w:w="28" w:type="dxa"/>
              <w:bottom w:w="8" w:type="dxa"/>
              <w:right w:w="28" w:type="dxa"/>
            </w:tcMar>
            <w:vAlign w:val="center"/>
          </w:tcPr>
          <w:p w14:paraId="16B24C73" w14:textId="5A4B1883" w:rsidR="003D0A0E" w:rsidRPr="00F5353D" w:rsidRDefault="003D0A0E" w:rsidP="003D0A0E">
            <w:pPr>
              <w:tabs>
                <w:tab w:val="decimal" w:pos="360"/>
              </w:tabs>
              <w:spacing w:line="200" w:lineRule="auto"/>
              <w:rPr>
                <w:sz w:val="20"/>
                <w:szCs w:val="20"/>
              </w:rPr>
            </w:pPr>
            <w:r w:rsidRPr="00F5353D">
              <w:rPr>
                <w:color w:val="000000"/>
                <w:sz w:val="20"/>
                <w:szCs w:val="20"/>
              </w:rPr>
              <w:t>0.67</w:t>
            </w:r>
          </w:p>
        </w:tc>
        <w:tc>
          <w:tcPr>
            <w:tcW w:w="245" w:type="pct"/>
            <w:tcBorders>
              <w:top w:val="single" w:sz="8" w:space="0" w:color="auto"/>
              <w:right w:val="single" w:sz="18" w:space="0" w:color="auto"/>
            </w:tcBorders>
            <w:tcMar>
              <w:top w:w="8" w:type="dxa"/>
              <w:left w:w="28" w:type="dxa"/>
              <w:bottom w:w="8" w:type="dxa"/>
              <w:right w:w="28" w:type="dxa"/>
            </w:tcMar>
            <w:vAlign w:val="center"/>
          </w:tcPr>
          <w:p w14:paraId="512B9DE9" w14:textId="0DF82D83" w:rsidR="003D0A0E" w:rsidRPr="00F5353D" w:rsidRDefault="003D0A0E" w:rsidP="003D0A0E">
            <w:pPr>
              <w:tabs>
                <w:tab w:val="decimal" w:pos="360"/>
              </w:tabs>
              <w:spacing w:line="200" w:lineRule="auto"/>
              <w:rPr>
                <w:sz w:val="20"/>
                <w:szCs w:val="20"/>
              </w:rPr>
            </w:pPr>
            <w:r w:rsidRPr="00F5353D">
              <w:rPr>
                <w:color w:val="000000"/>
                <w:sz w:val="20"/>
                <w:szCs w:val="20"/>
              </w:rPr>
              <w:t>1.80</w:t>
            </w:r>
          </w:p>
        </w:tc>
        <w:tc>
          <w:tcPr>
            <w:tcW w:w="209" w:type="pct"/>
            <w:tcBorders>
              <w:top w:val="single" w:sz="8" w:space="0" w:color="auto"/>
              <w:left w:val="single" w:sz="18" w:space="0" w:color="auto"/>
            </w:tcBorders>
            <w:tcMar>
              <w:top w:w="8" w:type="dxa"/>
              <w:left w:w="28" w:type="dxa"/>
              <w:bottom w:w="8" w:type="dxa"/>
              <w:right w:w="28" w:type="dxa"/>
            </w:tcMar>
            <w:vAlign w:val="center"/>
          </w:tcPr>
          <w:p w14:paraId="1155CE16" w14:textId="67539B0A" w:rsidR="003D0A0E" w:rsidRPr="00F5353D" w:rsidRDefault="003D0A0E" w:rsidP="003D0A0E">
            <w:pPr>
              <w:tabs>
                <w:tab w:val="decimal" w:pos="360"/>
              </w:tabs>
              <w:spacing w:line="200" w:lineRule="auto"/>
              <w:rPr>
                <w:sz w:val="20"/>
                <w:szCs w:val="20"/>
              </w:rPr>
            </w:pPr>
            <w:r w:rsidRPr="00F5353D">
              <w:rPr>
                <w:color w:val="000000"/>
                <w:sz w:val="20"/>
                <w:szCs w:val="20"/>
              </w:rPr>
              <w:t>0.23</w:t>
            </w:r>
          </w:p>
        </w:tc>
        <w:tc>
          <w:tcPr>
            <w:tcW w:w="209" w:type="pct"/>
            <w:tcBorders>
              <w:top w:val="single" w:sz="8" w:space="0" w:color="auto"/>
              <w:right w:val="single" w:sz="8" w:space="0" w:color="auto"/>
            </w:tcBorders>
            <w:tcMar>
              <w:top w:w="8" w:type="dxa"/>
              <w:left w:w="28" w:type="dxa"/>
              <w:bottom w:w="8" w:type="dxa"/>
              <w:right w:w="28" w:type="dxa"/>
            </w:tcMar>
            <w:vAlign w:val="center"/>
          </w:tcPr>
          <w:p w14:paraId="23CFDEB0" w14:textId="0D6FB0A4" w:rsidR="003D0A0E" w:rsidRPr="00F5353D" w:rsidRDefault="003D0A0E" w:rsidP="003D0A0E">
            <w:pPr>
              <w:tabs>
                <w:tab w:val="decimal" w:pos="360"/>
              </w:tabs>
              <w:spacing w:line="200" w:lineRule="auto"/>
              <w:rPr>
                <w:sz w:val="20"/>
                <w:szCs w:val="20"/>
              </w:rPr>
            </w:pPr>
            <w:r w:rsidRPr="00F5353D">
              <w:rPr>
                <w:color w:val="000000"/>
                <w:sz w:val="20"/>
                <w:szCs w:val="20"/>
              </w:rPr>
              <w:t>1.49</w:t>
            </w:r>
          </w:p>
        </w:tc>
        <w:tc>
          <w:tcPr>
            <w:tcW w:w="208" w:type="pct"/>
            <w:tcBorders>
              <w:top w:val="single" w:sz="8" w:space="0" w:color="auto"/>
              <w:left w:val="single" w:sz="8" w:space="0" w:color="auto"/>
            </w:tcBorders>
            <w:tcMar>
              <w:top w:w="8" w:type="dxa"/>
              <w:left w:w="28" w:type="dxa"/>
              <w:bottom w:w="8" w:type="dxa"/>
              <w:right w:w="28" w:type="dxa"/>
            </w:tcMar>
            <w:vAlign w:val="center"/>
          </w:tcPr>
          <w:p w14:paraId="789EBE5B" w14:textId="27646756"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top w:val="single" w:sz="8" w:space="0" w:color="auto"/>
            </w:tcBorders>
            <w:tcMar>
              <w:top w:w="8" w:type="dxa"/>
              <w:left w:w="28" w:type="dxa"/>
              <w:bottom w:w="8" w:type="dxa"/>
              <w:right w:w="28" w:type="dxa"/>
            </w:tcMar>
            <w:vAlign w:val="center"/>
          </w:tcPr>
          <w:p w14:paraId="7CF9A0A4" w14:textId="51DD24EF" w:rsidR="003D0A0E" w:rsidRPr="00F5353D" w:rsidRDefault="003D0A0E" w:rsidP="003D0A0E">
            <w:pPr>
              <w:tabs>
                <w:tab w:val="decimal" w:pos="360"/>
              </w:tabs>
              <w:spacing w:line="200" w:lineRule="auto"/>
              <w:rPr>
                <w:sz w:val="20"/>
                <w:szCs w:val="20"/>
              </w:rPr>
            </w:pPr>
            <w:r w:rsidRPr="00F5353D">
              <w:rPr>
                <w:sz w:val="20"/>
                <w:szCs w:val="20"/>
              </w:rPr>
              <w:t>—</w:t>
            </w:r>
          </w:p>
        </w:tc>
      </w:tr>
      <w:tr w:rsidR="003D0A0E" w:rsidRPr="00F5353D" w14:paraId="03E8A93D" w14:textId="77777777" w:rsidTr="00AD79F7">
        <w:trPr>
          <w:cantSplit/>
          <w:trHeight w:val="333"/>
        </w:trPr>
        <w:tc>
          <w:tcPr>
            <w:tcW w:w="443" w:type="pct"/>
            <w:vMerge/>
            <w:tcBorders>
              <w:right w:val="single" w:sz="8" w:space="0" w:color="auto"/>
            </w:tcBorders>
            <w:tcMar>
              <w:top w:w="8" w:type="dxa"/>
              <w:left w:w="28" w:type="dxa"/>
              <w:bottom w:w="8" w:type="dxa"/>
              <w:right w:w="28" w:type="dxa"/>
            </w:tcMar>
            <w:vAlign w:val="center"/>
          </w:tcPr>
          <w:p w14:paraId="32552156" w14:textId="77777777" w:rsidR="003D0A0E" w:rsidRPr="00F5353D" w:rsidRDefault="003D0A0E" w:rsidP="003D0A0E">
            <w:pPr>
              <w:spacing w:line="200" w:lineRule="auto"/>
              <w:rPr>
                <w:sz w:val="20"/>
                <w:szCs w:val="20"/>
              </w:rPr>
            </w:pPr>
          </w:p>
        </w:tc>
        <w:tc>
          <w:tcPr>
            <w:tcW w:w="662" w:type="pct"/>
            <w:gridSpan w:val="2"/>
            <w:tcBorders>
              <w:right w:val="single" w:sz="8" w:space="0" w:color="auto"/>
            </w:tcBorders>
            <w:vAlign w:val="center"/>
          </w:tcPr>
          <w:p w14:paraId="06EC9C1D" w14:textId="693D9798" w:rsidR="003D0A0E" w:rsidRPr="00F5353D" w:rsidRDefault="003D0A0E" w:rsidP="003D0A0E">
            <w:pPr>
              <w:spacing w:line="200" w:lineRule="auto"/>
              <w:rPr>
                <w:sz w:val="20"/>
                <w:szCs w:val="20"/>
              </w:rPr>
            </w:pPr>
            <w:r w:rsidRPr="00F5353D">
              <w:rPr>
                <w:sz w:val="20"/>
                <w:szCs w:val="20"/>
              </w:rPr>
              <w:t>Intersection density (Not low, &gt; 100)</w:t>
            </w:r>
          </w:p>
        </w:tc>
        <w:tc>
          <w:tcPr>
            <w:tcW w:w="487" w:type="pct"/>
            <w:tcBorders>
              <w:left w:val="single" w:sz="8" w:space="0" w:color="auto"/>
              <w:right w:val="single" w:sz="18" w:space="0" w:color="auto"/>
            </w:tcBorders>
            <w:vAlign w:val="center"/>
          </w:tcPr>
          <w:p w14:paraId="3E2DBD08" w14:textId="5C6EC322" w:rsidR="003D0A0E" w:rsidRPr="00F5353D" w:rsidRDefault="003D0A0E" w:rsidP="003D0A0E">
            <w:pPr>
              <w:spacing w:line="200" w:lineRule="auto"/>
              <w:rPr>
                <w:sz w:val="20"/>
                <w:szCs w:val="20"/>
              </w:rPr>
            </w:pPr>
            <w:r w:rsidRPr="00F5353D">
              <w:rPr>
                <w:sz w:val="20"/>
                <w:szCs w:val="20"/>
              </w:rPr>
              <w:t>Low (≤ 100)</w:t>
            </w:r>
          </w:p>
        </w:tc>
        <w:tc>
          <w:tcPr>
            <w:tcW w:w="209" w:type="pct"/>
            <w:tcBorders>
              <w:left w:val="single" w:sz="18" w:space="0" w:color="auto"/>
            </w:tcBorders>
            <w:tcMar>
              <w:top w:w="8" w:type="dxa"/>
              <w:left w:w="28" w:type="dxa"/>
              <w:bottom w:w="8" w:type="dxa"/>
              <w:right w:w="28" w:type="dxa"/>
            </w:tcMar>
            <w:vAlign w:val="center"/>
          </w:tcPr>
          <w:p w14:paraId="7BB9B418" w14:textId="0708E8E3" w:rsidR="003D0A0E" w:rsidRPr="00F5353D" w:rsidRDefault="003D0A0E" w:rsidP="003D0A0E">
            <w:pPr>
              <w:tabs>
                <w:tab w:val="decimal" w:pos="360"/>
              </w:tabs>
              <w:spacing w:line="200" w:lineRule="auto"/>
              <w:rPr>
                <w:sz w:val="20"/>
                <w:szCs w:val="20"/>
              </w:rPr>
            </w:pPr>
            <w:r w:rsidRPr="00F5353D">
              <w:rPr>
                <w:color w:val="000000"/>
                <w:sz w:val="20"/>
                <w:szCs w:val="20"/>
              </w:rPr>
              <w:t>0.12</w:t>
            </w:r>
          </w:p>
        </w:tc>
        <w:tc>
          <w:tcPr>
            <w:tcW w:w="208" w:type="pct"/>
            <w:tcBorders>
              <w:right w:val="single" w:sz="18" w:space="0" w:color="auto"/>
            </w:tcBorders>
            <w:tcMar>
              <w:top w:w="8" w:type="dxa"/>
              <w:left w:w="28" w:type="dxa"/>
              <w:bottom w:w="8" w:type="dxa"/>
              <w:right w:w="28" w:type="dxa"/>
            </w:tcMar>
            <w:vAlign w:val="center"/>
          </w:tcPr>
          <w:p w14:paraId="1E3EF4E8" w14:textId="7BDB0C4D" w:rsidR="003D0A0E" w:rsidRPr="00F5353D" w:rsidRDefault="003D0A0E" w:rsidP="003D0A0E">
            <w:pPr>
              <w:tabs>
                <w:tab w:val="decimal" w:pos="360"/>
              </w:tabs>
              <w:spacing w:line="200" w:lineRule="auto"/>
              <w:rPr>
                <w:sz w:val="20"/>
                <w:szCs w:val="20"/>
              </w:rPr>
            </w:pPr>
            <w:r w:rsidRPr="00F5353D">
              <w:rPr>
                <w:color w:val="000000"/>
                <w:sz w:val="20"/>
                <w:szCs w:val="20"/>
              </w:rPr>
              <w:t>2.35</w:t>
            </w:r>
          </w:p>
        </w:tc>
        <w:tc>
          <w:tcPr>
            <w:tcW w:w="211" w:type="pct"/>
            <w:tcBorders>
              <w:left w:val="single" w:sz="18" w:space="0" w:color="auto"/>
            </w:tcBorders>
            <w:tcMar>
              <w:top w:w="8" w:type="dxa"/>
              <w:left w:w="28" w:type="dxa"/>
              <w:bottom w:w="8" w:type="dxa"/>
              <w:right w:w="28" w:type="dxa"/>
            </w:tcMar>
            <w:vAlign w:val="center"/>
          </w:tcPr>
          <w:p w14:paraId="7046293E" w14:textId="642253E2" w:rsidR="003D0A0E" w:rsidRPr="00F5353D" w:rsidRDefault="003D0A0E" w:rsidP="003D0A0E">
            <w:pPr>
              <w:tabs>
                <w:tab w:val="decimal" w:pos="360"/>
              </w:tabs>
              <w:spacing w:line="200" w:lineRule="auto"/>
              <w:rPr>
                <w:sz w:val="20"/>
                <w:szCs w:val="20"/>
              </w:rPr>
            </w:pPr>
            <w:r w:rsidRPr="00F5353D">
              <w:rPr>
                <w:color w:val="000000"/>
                <w:sz w:val="20"/>
                <w:szCs w:val="20"/>
              </w:rPr>
              <w:t>0.22</w:t>
            </w:r>
          </w:p>
        </w:tc>
        <w:tc>
          <w:tcPr>
            <w:tcW w:w="206" w:type="pct"/>
            <w:tcBorders>
              <w:right w:val="single" w:sz="8" w:space="0" w:color="auto"/>
            </w:tcBorders>
            <w:tcMar>
              <w:top w:w="8" w:type="dxa"/>
              <w:left w:w="28" w:type="dxa"/>
              <w:bottom w:w="8" w:type="dxa"/>
              <w:right w:w="28" w:type="dxa"/>
            </w:tcMar>
            <w:vAlign w:val="center"/>
          </w:tcPr>
          <w:p w14:paraId="4EA91BDF" w14:textId="13F8E816" w:rsidR="003D0A0E" w:rsidRPr="00F5353D" w:rsidRDefault="003D0A0E" w:rsidP="003D0A0E">
            <w:pPr>
              <w:tabs>
                <w:tab w:val="decimal" w:pos="360"/>
              </w:tabs>
              <w:spacing w:line="200" w:lineRule="auto"/>
              <w:rPr>
                <w:sz w:val="20"/>
                <w:szCs w:val="20"/>
              </w:rPr>
            </w:pPr>
            <w:r w:rsidRPr="00F5353D">
              <w:rPr>
                <w:color w:val="000000"/>
                <w:sz w:val="20"/>
                <w:szCs w:val="20"/>
              </w:rPr>
              <w:t>2.00</w:t>
            </w:r>
          </w:p>
        </w:tc>
        <w:tc>
          <w:tcPr>
            <w:tcW w:w="209" w:type="pct"/>
            <w:tcBorders>
              <w:left w:val="single" w:sz="8" w:space="0" w:color="auto"/>
            </w:tcBorders>
            <w:tcMar>
              <w:top w:w="8" w:type="dxa"/>
              <w:left w:w="28" w:type="dxa"/>
              <w:bottom w:w="8" w:type="dxa"/>
              <w:right w:w="28" w:type="dxa"/>
            </w:tcMar>
            <w:vAlign w:val="center"/>
          </w:tcPr>
          <w:p w14:paraId="489F06AA" w14:textId="2E6F87D8"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right w:val="single" w:sz="18" w:space="0" w:color="auto"/>
            </w:tcBorders>
            <w:tcMar>
              <w:top w:w="8" w:type="dxa"/>
              <w:left w:w="28" w:type="dxa"/>
              <w:bottom w:w="8" w:type="dxa"/>
              <w:right w:w="28" w:type="dxa"/>
            </w:tcMar>
            <w:vAlign w:val="center"/>
          </w:tcPr>
          <w:p w14:paraId="17CF7AA2" w14:textId="07BB359A"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left w:val="single" w:sz="18" w:space="0" w:color="auto"/>
            </w:tcBorders>
            <w:tcMar>
              <w:top w:w="8" w:type="dxa"/>
              <w:left w:w="28" w:type="dxa"/>
              <w:bottom w:w="8" w:type="dxa"/>
              <w:right w:w="28" w:type="dxa"/>
            </w:tcMar>
            <w:vAlign w:val="center"/>
          </w:tcPr>
          <w:p w14:paraId="0DA04849" w14:textId="3403F70A" w:rsidR="003D0A0E" w:rsidRPr="00F5353D" w:rsidRDefault="003D0A0E" w:rsidP="003D0A0E">
            <w:pPr>
              <w:tabs>
                <w:tab w:val="decimal" w:pos="360"/>
              </w:tabs>
              <w:spacing w:line="200" w:lineRule="auto"/>
              <w:rPr>
                <w:sz w:val="20"/>
                <w:szCs w:val="20"/>
              </w:rPr>
            </w:pPr>
            <w:r w:rsidRPr="00F5353D">
              <w:rPr>
                <w:sz w:val="20"/>
                <w:szCs w:val="20"/>
              </w:rPr>
              <w:t>—</w:t>
            </w:r>
          </w:p>
        </w:tc>
        <w:tc>
          <w:tcPr>
            <w:tcW w:w="210" w:type="pct"/>
            <w:tcBorders>
              <w:right w:val="single" w:sz="8" w:space="0" w:color="auto"/>
            </w:tcBorders>
            <w:tcMar>
              <w:top w:w="8" w:type="dxa"/>
              <w:left w:w="28" w:type="dxa"/>
              <w:bottom w:w="8" w:type="dxa"/>
              <w:right w:w="28" w:type="dxa"/>
            </w:tcMar>
            <w:vAlign w:val="center"/>
          </w:tcPr>
          <w:p w14:paraId="5901CB2B" w14:textId="172906EA"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left w:val="single" w:sz="8" w:space="0" w:color="auto"/>
            </w:tcBorders>
            <w:tcMar>
              <w:top w:w="8" w:type="dxa"/>
              <w:left w:w="28" w:type="dxa"/>
              <w:bottom w:w="8" w:type="dxa"/>
              <w:right w:w="28" w:type="dxa"/>
            </w:tcMar>
            <w:vAlign w:val="center"/>
          </w:tcPr>
          <w:p w14:paraId="34DC28BB" w14:textId="1BFAEF0A"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right w:val="single" w:sz="18" w:space="0" w:color="auto"/>
            </w:tcBorders>
            <w:tcMar>
              <w:top w:w="8" w:type="dxa"/>
              <w:left w:w="28" w:type="dxa"/>
              <w:bottom w:w="8" w:type="dxa"/>
              <w:right w:w="28" w:type="dxa"/>
            </w:tcMar>
            <w:vAlign w:val="center"/>
          </w:tcPr>
          <w:p w14:paraId="7D136E4A" w14:textId="04B116AC"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left w:val="single" w:sz="18" w:space="0" w:color="auto"/>
            </w:tcBorders>
            <w:tcMar>
              <w:top w:w="8" w:type="dxa"/>
              <w:left w:w="28" w:type="dxa"/>
              <w:bottom w:w="8" w:type="dxa"/>
              <w:right w:w="28" w:type="dxa"/>
            </w:tcMar>
            <w:vAlign w:val="center"/>
          </w:tcPr>
          <w:p w14:paraId="6D7AFD59" w14:textId="18BF7544"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right w:val="single" w:sz="18" w:space="0" w:color="auto"/>
            </w:tcBorders>
            <w:tcMar>
              <w:top w:w="8" w:type="dxa"/>
              <w:left w:w="28" w:type="dxa"/>
              <w:bottom w:w="8" w:type="dxa"/>
              <w:right w:w="28" w:type="dxa"/>
            </w:tcMar>
            <w:vAlign w:val="center"/>
          </w:tcPr>
          <w:p w14:paraId="225631E6" w14:textId="04026EB3"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left w:val="single" w:sz="18" w:space="0" w:color="auto"/>
            </w:tcBorders>
            <w:tcMar>
              <w:top w:w="8" w:type="dxa"/>
              <w:left w:w="28" w:type="dxa"/>
              <w:bottom w:w="8" w:type="dxa"/>
              <w:right w:w="28" w:type="dxa"/>
            </w:tcMar>
            <w:vAlign w:val="center"/>
          </w:tcPr>
          <w:p w14:paraId="5FC5140D" w14:textId="678D38C3" w:rsidR="003D0A0E" w:rsidRPr="00F5353D" w:rsidRDefault="003D0A0E" w:rsidP="003D0A0E">
            <w:pPr>
              <w:tabs>
                <w:tab w:val="decimal" w:pos="360"/>
              </w:tabs>
              <w:spacing w:line="200" w:lineRule="auto"/>
              <w:rPr>
                <w:sz w:val="20"/>
                <w:szCs w:val="20"/>
              </w:rPr>
            </w:pPr>
            <w:r w:rsidRPr="00F5353D">
              <w:rPr>
                <w:color w:val="000000"/>
                <w:sz w:val="20"/>
                <w:szCs w:val="20"/>
              </w:rPr>
              <w:t>0.25</w:t>
            </w:r>
          </w:p>
        </w:tc>
        <w:tc>
          <w:tcPr>
            <w:tcW w:w="209" w:type="pct"/>
            <w:tcBorders>
              <w:right w:val="single" w:sz="8" w:space="0" w:color="auto"/>
            </w:tcBorders>
            <w:tcMar>
              <w:top w:w="8" w:type="dxa"/>
              <w:left w:w="28" w:type="dxa"/>
              <w:bottom w:w="8" w:type="dxa"/>
              <w:right w:w="28" w:type="dxa"/>
            </w:tcMar>
            <w:vAlign w:val="center"/>
          </w:tcPr>
          <w:p w14:paraId="269F2C36" w14:textId="2FC76C41" w:rsidR="003D0A0E" w:rsidRPr="00F5353D" w:rsidRDefault="003D0A0E" w:rsidP="003D0A0E">
            <w:pPr>
              <w:tabs>
                <w:tab w:val="decimal" w:pos="360"/>
              </w:tabs>
              <w:spacing w:line="200" w:lineRule="auto"/>
              <w:rPr>
                <w:sz w:val="20"/>
                <w:szCs w:val="20"/>
              </w:rPr>
            </w:pPr>
            <w:r w:rsidRPr="00F5353D">
              <w:rPr>
                <w:color w:val="000000"/>
                <w:sz w:val="20"/>
                <w:szCs w:val="20"/>
              </w:rPr>
              <w:t>1.67</w:t>
            </w:r>
          </w:p>
        </w:tc>
        <w:tc>
          <w:tcPr>
            <w:tcW w:w="208" w:type="pct"/>
            <w:tcBorders>
              <w:left w:val="single" w:sz="8" w:space="0" w:color="auto"/>
            </w:tcBorders>
            <w:tcMar>
              <w:top w:w="8" w:type="dxa"/>
              <w:left w:w="28" w:type="dxa"/>
              <w:bottom w:w="8" w:type="dxa"/>
              <w:right w:w="28" w:type="dxa"/>
            </w:tcMar>
            <w:vAlign w:val="center"/>
          </w:tcPr>
          <w:p w14:paraId="436FE643" w14:textId="0A129B25"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Mar>
              <w:top w:w="8" w:type="dxa"/>
              <w:left w:w="28" w:type="dxa"/>
              <w:bottom w:w="8" w:type="dxa"/>
              <w:right w:w="28" w:type="dxa"/>
            </w:tcMar>
            <w:vAlign w:val="center"/>
          </w:tcPr>
          <w:p w14:paraId="36E17F98" w14:textId="06D68920" w:rsidR="003D0A0E" w:rsidRPr="00F5353D" w:rsidRDefault="003D0A0E" w:rsidP="003D0A0E">
            <w:pPr>
              <w:tabs>
                <w:tab w:val="decimal" w:pos="360"/>
              </w:tabs>
              <w:spacing w:line="200" w:lineRule="auto"/>
              <w:rPr>
                <w:sz w:val="20"/>
                <w:szCs w:val="20"/>
              </w:rPr>
            </w:pPr>
            <w:r w:rsidRPr="00F5353D">
              <w:rPr>
                <w:sz w:val="20"/>
                <w:szCs w:val="20"/>
              </w:rPr>
              <w:t>—</w:t>
            </w:r>
          </w:p>
        </w:tc>
      </w:tr>
      <w:tr w:rsidR="003D0A0E" w:rsidRPr="00F5353D" w14:paraId="0570A93A" w14:textId="77777777" w:rsidTr="00AD79F7">
        <w:trPr>
          <w:cantSplit/>
          <w:trHeight w:val="513"/>
        </w:trPr>
        <w:tc>
          <w:tcPr>
            <w:tcW w:w="443" w:type="pct"/>
            <w:vMerge/>
            <w:tcBorders>
              <w:right w:val="single" w:sz="8" w:space="0" w:color="auto"/>
            </w:tcBorders>
            <w:tcMar>
              <w:top w:w="8" w:type="dxa"/>
              <w:left w:w="28" w:type="dxa"/>
              <w:bottom w:w="8" w:type="dxa"/>
              <w:right w:w="28" w:type="dxa"/>
            </w:tcMar>
            <w:vAlign w:val="center"/>
          </w:tcPr>
          <w:p w14:paraId="50F51003" w14:textId="77777777" w:rsidR="003D0A0E" w:rsidRPr="00F5353D" w:rsidRDefault="003D0A0E" w:rsidP="003D0A0E">
            <w:pPr>
              <w:spacing w:line="200" w:lineRule="auto"/>
              <w:rPr>
                <w:sz w:val="20"/>
                <w:szCs w:val="20"/>
              </w:rPr>
            </w:pPr>
          </w:p>
        </w:tc>
        <w:tc>
          <w:tcPr>
            <w:tcW w:w="662" w:type="pct"/>
            <w:gridSpan w:val="2"/>
            <w:tcBorders>
              <w:right w:val="single" w:sz="8" w:space="0" w:color="auto"/>
            </w:tcBorders>
            <w:vAlign w:val="center"/>
          </w:tcPr>
          <w:p w14:paraId="6EDE2134" w14:textId="5CB0D195" w:rsidR="003D0A0E" w:rsidRPr="00F5353D" w:rsidRDefault="003D0A0E" w:rsidP="003D0A0E">
            <w:pPr>
              <w:spacing w:line="200" w:lineRule="auto"/>
              <w:rPr>
                <w:sz w:val="20"/>
                <w:szCs w:val="20"/>
              </w:rPr>
            </w:pPr>
            <w:r w:rsidRPr="00F5353D">
              <w:rPr>
                <w:sz w:val="20"/>
                <w:szCs w:val="20"/>
              </w:rPr>
              <w:t>Pedestrian 3 leg intersections (Not low, &gt; 40)</w:t>
            </w:r>
          </w:p>
        </w:tc>
        <w:tc>
          <w:tcPr>
            <w:tcW w:w="487" w:type="pct"/>
            <w:tcBorders>
              <w:left w:val="single" w:sz="8" w:space="0" w:color="auto"/>
              <w:right w:val="single" w:sz="18" w:space="0" w:color="auto"/>
            </w:tcBorders>
            <w:vAlign w:val="center"/>
          </w:tcPr>
          <w:p w14:paraId="6F7542BF" w14:textId="570C3AC8" w:rsidR="003D0A0E" w:rsidRPr="00F5353D" w:rsidRDefault="003D0A0E" w:rsidP="003D0A0E">
            <w:pPr>
              <w:spacing w:line="200" w:lineRule="auto"/>
              <w:rPr>
                <w:sz w:val="20"/>
                <w:szCs w:val="20"/>
              </w:rPr>
            </w:pPr>
            <w:r w:rsidRPr="00F5353D">
              <w:rPr>
                <w:sz w:val="20"/>
                <w:szCs w:val="20"/>
              </w:rPr>
              <w:t>Low (≤ 40)</w:t>
            </w:r>
          </w:p>
        </w:tc>
        <w:tc>
          <w:tcPr>
            <w:tcW w:w="209" w:type="pct"/>
            <w:tcBorders>
              <w:left w:val="single" w:sz="18" w:space="0" w:color="auto"/>
            </w:tcBorders>
            <w:tcMar>
              <w:top w:w="8" w:type="dxa"/>
              <w:left w:w="28" w:type="dxa"/>
              <w:bottom w:w="8" w:type="dxa"/>
              <w:right w:w="28" w:type="dxa"/>
            </w:tcMar>
            <w:vAlign w:val="center"/>
          </w:tcPr>
          <w:p w14:paraId="008E79D3" w14:textId="5B145A51" w:rsidR="003D0A0E" w:rsidRPr="00F5353D" w:rsidRDefault="003D0A0E" w:rsidP="003D0A0E">
            <w:pPr>
              <w:tabs>
                <w:tab w:val="decimal" w:pos="360"/>
              </w:tabs>
              <w:spacing w:line="200" w:lineRule="auto"/>
              <w:rPr>
                <w:sz w:val="20"/>
                <w:szCs w:val="20"/>
              </w:rPr>
            </w:pPr>
            <w:r w:rsidRPr="00F5353D">
              <w:rPr>
                <w:color w:val="000000"/>
                <w:sz w:val="20"/>
                <w:szCs w:val="20"/>
              </w:rPr>
              <w:t>-0.10</w:t>
            </w:r>
          </w:p>
        </w:tc>
        <w:tc>
          <w:tcPr>
            <w:tcW w:w="208" w:type="pct"/>
            <w:tcBorders>
              <w:right w:val="single" w:sz="18" w:space="0" w:color="auto"/>
            </w:tcBorders>
            <w:tcMar>
              <w:top w:w="8" w:type="dxa"/>
              <w:left w:w="28" w:type="dxa"/>
              <w:bottom w:w="8" w:type="dxa"/>
              <w:right w:w="28" w:type="dxa"/>
            </w:tcMar>
            <w:vAlign w:val="center"/>
          </w:tcPr>
          <w:p w14:paraId="74E43E6F" w14:textId="36D9C4D8" w:rsidR="003D0A0E" w:rsidRPr="00F5353D" w:rsidRDefault="003D0A0E" w:rsidP="003D0A0E">
            <w:pPr>
              <w:tabs>
                <w:tab w:val="decimal" w:pos="360"/>
              </w:tabs>
              <w:spacing w:line="200" w:lineRule="auto"/>
              <w:rPr>
                <w:sz w:val="20"/>
                <w:szCs w:val="20"/>
              </w:rPr>
            </w:pPr>
            <w:r w:rsidRPr="00F5353D">
              <w:rPr>
                <w:color w:val="000000"/>
                <w:sz w:val="20"/>
                <w:szCs w:val="20"/>
              </w:rPr>
              <w:t>-1.99</w:t>
            </w:r>
          </w:p>
        </w:tc>
        <w:tc>
          <w:tcPr>
            <w:tcW w:w="211" w:type="pct"/>
            <w:tcBorders>
              <w:left w:val="single" w:sz="18" w:space="0" w:color="auto"/>
            </w:tcBorders>
            <w:tcMar>
              <w:top w:w="8" w:type="dxa"/>
              <w:left w:w="28" w:type="dxa"/>
              <w:bottom w:w="8" w:type="dxa"/>
              <w:right w:w="28" w:type="dxa"/>
            </w:tcMar>
            <w:vAlign w:val="center"/>
          </w:tcPr>
          <w:p w14:paraId="733C1DA9" w14:textId="30BD17BC" w:rsidR="003D0A0E" w:rsidRPr="00F5353D" w:rsidRDefault="003D0A0E" w:rsidP="003D0A0E">
            <w:pPr>
              <w:tabs>
                <w:tab w:val="decimal" w:pos="360"/>
              </w:tabs>
              <w:spacing w:line="200" w:lineRule="auto"/>
              <w:rPr>
                <w:sz w:val="20"/>
                <w:szCs w:val="20"/>
              </w:rPr>
            </w:pPr>
            <w:r w:rsidRPr="00F5353D">
              <w:rPr>
                <w:sz w:val="20"/>
                <w:szCs w:val="20"/>
              </w:rPr>
              <w:t>—</w:t>
            </w:r>
          </w:p>
        </w:tc>
        <w:tc>
          <w:tcPr>
            <w:tcW w:w="206" w:type="pct"/>
            <w:tcBorders>
              <w:right w:val="single" w:sz="8" w:space="0" w:color="auto"/>
            </w:tcBorders>
            <w:tcMar>
              <w:top w:w="8" w:type="dxa"/>
              <w:left w:w="28" w:type="dxa"/>
              <w:bottom w:w="8" w:type="dxa"/>
              <w:right w:w="28" w:type="dxa"/>
            </w:tcMar>
            <w:vAlign w:val="center"/>
          </w:tcPr>
          <w:p w14:paraId="644AD301" w14:textId="61445A17"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left w:val="single" w:sz="8" w:space="0" w:color="auto"/>
            </w:tcBorders>
            <w:tcMar>
              <w:top w:w="8" w:type="dxa"/>
              <w:left w:w="28" w:type="dxa"/>
              <w:bottom w:w="8" w:type="dxa"/>
              <w:right w:w="28" w:type="dxa"/>
            </w:tcMar>
            <w:vAlign w:val="center"/>
          </w:tcPr>
          <w:p w14:paraId="258DBBE2" w14:textId="1641198C"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right w:val="single" w:sz="18" w:space="0" w:color="auto"/>
            </w:tcBorders>
            <w:tcMar>
              <w:top w:w="8" w:type="dxa"/>
              <w:left w:w="28" w:type="dxa"/>
              <w:bottom w:w="8" w:type="dxa"/>
              <w:right w:w="28" w:type="dxa"/>
            </w:tcMar>
            <w:vAlign w:val="center"/>
          </w:tcPr>
          <w:p w14:paraId="496DA3DE" w14:textId="5A7DC6A1"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left w:val="single" w:sz="18" w:space="0" w:color="auto"/>
            </w:tcBorders>
            <w:tcMar>
              <w:top w:w="8" w:type="dxa"/>
              <w:left w:w="28" w:type="dxa"/>
              <w:bottom w:w="8" w:type="dxa"/>
              <w:right w:w="28" w:type="dxa"/>
            </w:tcMar>
            <w:vAlign w:val="center"/>
          </w:tcPr>
          <w:p w14:paraId="0E346287" w14:textId="263A063A" w:rsidR="003D0A0E" w:rsidRPr="00F5353D" w:rsidRDefault="003D0A0E" w:rsidP="003D0A0E">
            <w:pPr>
              <w:tabs>
                <w:tab w:val="decimal" w:pos="360"/>
              </w:tabs>
              <w:spacing w:line="200" w:lineRule="auto"/>
              <w:rPr>
                <w:sz w:val="20"/>
                <w:szCs w:val="20"/>
              </w:rPr>
            </w:pPr>
            <w:r w:rsidRPr="00F5353D">
              <w:rPr>
                <w:sz w:val="20"/>
                <w:szCs w:val="20"/>
              </w:rPr>
              <w:t>—</w:t>
            </w:r>
          </w:p>
        </w:tc>
        <w:tc>
          <w:tcPr>
            <w:tcW w:w="210" w:type="pct"/>
            <w:tcBorders>
              <w:right w:val="single" w:sz="8" w:space="0" w:color="auto"/>
            </w:tcBorders>
            <w:tcMar>
              <w:top w:w="8" w:type="dxa"/>
              <w:left w:w="28" w:type="dxa"/>
              <w:bottom w:w="8" w:type="dxa"/>
              <w:right w:w="28" w:type="dxa"/>
            </w:tcMar>
            <w:vAlign w:val="center"/>
          </w:tcPr>
          <w:p w14:paraId="0AB49795" w14:textId="1B0D9C97"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left w:val="single" w:sz="8" w:space="0" w:color="auto"/>
            </w:tcBorders>
            <w:tcMar>
              <w:top w:w="8" w:type="dxa"/>
              <w:left w:w="28" w:type="dxa"/>
              <w:bottom w:w="8" w:type="dxa"/>
              <w:right w:w="28" w:type="dxa"/>
            </w:tcMar>
            <w:vAlign w:val="center"/>
          </w:tcPr>
          <w:p w14:paraId="4D27EDFE" w14:textId="7B9A24FD" w:rsidR="003D0A0E" w:rsidRPr="00F5353D" w:rsidRDefault="003D0A0E" w:rsidP="003D0A0E">
            <w:pPr>
              <w:tabs>
                <w:tab w:val="decimal" w:pos="360"/>
              </w:tabs>
              <w:spacing w:line="200" w:lineRule="auto"/>
              <w:rPr>
                <w:sz w:val="20"/>
                <w:szCs w:val="20"/>
              </w:rPr>
            </w:pPr>
            <w:r w:rsidRPr="00F5353D">
              <w:rPr>
                <w:color w:val="000000"/>
                <w:sz w:val="20"/>
                <w:szCs w:val="20"/>
              </w:rPr>
              <w:t>-0.14</w:t>
            </w:r>
          </w:p>
        </w:tc>
        <w:tc>
          <w:tcPr>
            <w:tcW w:w="245" w:type="pct"/>
            <w:tcBorders>
              <w:right w:val="single" w:sz="18" w:space="0" w:color="auto"/>
            </w:tcBorders>
            <w:tcMar>
              <w:top w:w="8" w:type="dxa"/>
              <w:left w:w="28" w:type="dxa"/>
              <w:bottom w:w="8" w:type="dxa"/>
              <w:right w:w="28" w:type="dxa"/>
            </w:tcMar>
            <w:vAlign w:val="center"/>
          </w:tcPr>
          <w:p w14:paraId="0FE21253" w14:textId="638A0575" w:rsidR="003D0A0E" w:rsidRPr="00F5353D" w:rsidRDefault="003D0A0E" w:rsidP="003D0A0E">
            <w:pPr>
              <w:tabs>
                <w:tab w:val="decimal" w:pos="360"/>
              </w:tabs>
              <w:spacing w:line="200" w:lineRule="auto"/>
              <w:rPr>
                <w:sz w:val="20"/>
                <w:szCs w:val="20"/>
              </w:rPr>
            </w:pPr>
            <w:r w:rsidRPr="00F5353D">
              <w:rPr>
                <w:color w:val="000000"/>
                <w:sz w:val="20"/>
                <w:szCs w:val="20"/>
              </w:rPr>
              <w:t>-1.81</w:t>
            </w:r>
          </w:p>
        </w:tc>
        <w:tc>
          <w:tcPr>
            <w:tcW w:w="207" w:type="pct"/>
            <w:tcBorders>
              <w:left w:val="single" w:sz="18" w:space="0" w:color="auto"/>
            </w:tcBorders>
            <w:tcMar>
              <w:top w:w="8" w:type="dxa"/>
              <w:left w:w="28" w:type="dxa"/>
              <w:bottom w:w="8" w:type="dxa"/>
              <w:right w:w="28" w:type="dxa"/>
            </w:tcMar>
            <w:vAlign w:val="center"/>
          </w:tcPr>
          <w:p w14:paraId="6EE5C6F4" w14:textId="07329742" w:rsidR="003D0A0E" w:rsidRPr="00F5353D" w:rsidRDefault="003D0A0E" w:rsidP="003D0A0E">
            <w:pPr>
              <w:tabs>
                <w:tab w:val="decimal" w:pos="360"/>
              </w:tabs>
              <w:spacing w:line="200" w:lineRule="auto"/>
              <w:rPr>
                <w:sz w:val="20"/>
                <w:szCs w:val="20"/>
              </w:rPr>
            </w:pPr>
            <w:r w:rsidRPr="00F5353D">
              <w:rPr>
                <w:color w:val="000000"/>
                <w:sz w:val="20"/>
                <w:szCs w:val="20"/>
              </w:rPr>
              <w:t>-0.39</w:t>
            </w:r>
          </w:p>
        </w:tc>
        <w:tc>
          <w:tcPr>
            <w:tcW w:w="245" w:type="pct"/>
            <w:tcBorders>
              <w:right w:val="single" w:sz="18" w:space="0" w:color="auto"/>
            </w:tcBorders>
            <w:tcMar>
              <w:top w:w="8" w:type="dxa"/>
              <w:left w:w="28" w:type="dxa"/>
              <w:bottom w:w="8" w:type="dxa"/>
              <w:right w:w="28" w:type="dxa"/>
            </w:tcMar>
            <w:vAlign w:val="center"/>
          </w:tcPr>
          <w:p w14:paraId="000E5F74" w14:textId="3AE16C29" w:rsidR="003D0A0E" w:rsidRPr="00F5353D" w:rsidRDefault="003D0A0E" w:rsidP="003D0A0E">
            <w:pPr>
              <w:tabs>
                <w:tab w:val="decimal" w:pos="360"/>
              </w:tabs>
              <w:spacing w:line="200" w:lineRule="auto"/>
              <w:rPr>
                <w:sz w:val="20"/>
                <w:szCs w:val="20"/>
              </w:rPr>
            </w:pPr>
            <w:r w:rsidRPr="00F5353D">
              <w:rPr>
                <w:color w:val="000000"/>
                <w:sz w:val="20"/>
                <w:szCs w:val="20"/>
              </w:rPr>
              <w:t>-1.69</w:t>
            </w:r>
          </w:p>
        </w:tc>
        <w:tc>
          <w:tcPr>
            <w:tcW w:w="209" w:type="pct"/>
            <w:tcBorders>
              <w:left w:val="single" w:sz="18" w:space="0" w:color="auto"/>
            </w:tcBorders>
            <w:tcMar>
              <w:top w:w="8" w:type="dxa"/>
              <w:left w:w="28" w:type="dxa"/>
              <w:bottom w:w="8" w:type="dxa"/>
              <w:right w:w="28" w:type="dxa"/>
            </w:tcMar>
            <w:vAlign w:val="center"/>
          </w:tcPr>
          <w:p w14:paraId="42708C54" w14:textId="2DF3AB6D"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72C44C47" w14:textId="78045122"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left w:val="single" w:sz="8" w:space="0" w:color="auto"/>
            </w:tcBorders>
            <w:tcMar>
              <w:top w:w="8" w:type="dxa"/>
              <w:left w:w="28" w:type="dxa"/>
              <w:bottom w:w="8" w:type="dxa"/>
              <w:right w:w="28" w:type="dxa"/>
            </w:tcMar>
            <w:vAlign w:val="center"/>
          </w:tcPr>
          <w:p w14:paraId="6FAF3E7E" w14:textId="064F1102" w:rsidR="003D0A0E" w:rsidRPr="00F5353D" w:rsidRDefault="003D0A0E" w:rsidP="003D0A0E">
            <w:pPr>
              <w:tabs>
                <w:tab w:val="decimal" w:pos="360"/>
              </w:tabs>
              <w:spacing w:line="200" w:lineRule="auto"/>
              <w:rPr>
                <w:sz w:val="20"/>
                <w:szCs w:val="20"/>
              </w:rPr>
            </w:pPr>
            <w:r w:rsidRPr="00F5353D">
              <w:rPr>
                <w:color w:val="000000"/>
                <w:sz w:val="20"/>
                <w:szCs w:val="20"/>
              </w:rPr>
              <w:t>-0.14</w:t>
            </w:r>
          </w:p>
        </w:tc>
        <w:tc>
          <w:tcPr>
            <w:tcW w:w="208" w:type="pct"/>
            <w:tcMar>
              <w:top w:w="8" w:type="dxa"/>
              <w:left w:w="28" w:type="dxa"/>
              <w:bottom w:w="8" w:type="dxa"/>
              <w:right w:w="28" w:type="dxa"/>
            </w:tcMar>
            <w:vAlign w:val="center"/>
          </w:tcPr>
          <w:p w14:paraId="30FD6DF9" w14:textId="224C324D" w:rsidR="003D0A0E" w:rsidRPr="00F5353D" w:rsidRDefault="003D0A0E" w:rsidP="003D0A0E">
            <w:pPr>
              <w:tabs>
                <w:tab w:val="decimal" w:pos="360"/>
              </w:tabs>
              <w:spacing w:line="200" w:lineRule="auto"/>
              <w:rPr>
                <w:sz w:val="20"/>
                <w:szCs w:val="20"/>
              </w:rPr>
            </w:pPr>
            <w:r w:rsidRPr="00F5353D">
              <w:rPr>
                <w:color w:val="000000"/>
                <w:sz w:val="20"/>
                <w:szCs w:val="20"/>
              </w:rPr>
              <w:t>-1.36</w:t>
            </w:r>
          </w:p>
        </w:tc>
      </w:tr>
      <w:tr w:rsidR="003D0A0E" w:rsidRPr="00CB1BFE" w14:paraId="131DA26F" w14:textId="77777777" w:rsidTr="00AD79F7">
        <w:trPr>
          <w:cantSplit/>
          <w:trHeight w:val="187"/>
        </w:trPr>
        <w:tc>
          <w:tcPr>
            <w:tcW w:w="443" w:type="pct"/>
            <w:vMerge/>
            <w:tcBorders>
              <w:right w:val="single" w:sz="8" w:space="0" w:color="auto"/>
            </w:tcBorders>
            <w:tcMar>
              <w:top w:w="8" w:type="dxa"/>
              <w:left w:w="28" w:type="dxa"/>
              <w:bottom w:w="8" w:type="dxa"/>
              <w:right w:w="28" w:type="dxa"/>
            </w:tcMar>
            <w:vAlign w:val="center"/>
          </w:tcPr>
          <w:p w14:paraId="04EF60A1" w14:textId="77777777" w:rsidR="003D0A0E" w:rsidRPr="00F5353D" w:rsidRDefault="003D0A0E" w:rsidP="003D0A0E">
            <w:pPr>
              <w:spacing w:line="200" w:lineRule="auto"/>
              <w:rPr>
                <w:sz w:val="20"/>
                <w:szCs w:val="20"/>
              </w:rPr>
            </w:pPr>
          </w:p>
        </w:tc>
        <w:tc>
          <w:tcPr>
            <w:tcW w:w="662" w:type="pct"/>
            <w:gridSpan w:val="2"/>
            <w:tcBorders>
              <w:right w:val="single" w:sz="8" w:space="0" w:color="auto"/>
            </w:tcBorders>
            <w:vAlign w:val="center"/>
          </w:tcPr>
          <w:p w14:paraId="5C255F53" w14:textId="5F3A8E69" w:rsidR="003D0A0E" w:rsidRPr="00F5353D" w:rsidRDefault="003D0A0E" w:rsidP="003D0A0E">
            <w:pPr>
              <w:spacing w:line="200" w:lineRule="auto"/>
              <w:rPr>
                <w:sz w:val="20"/>
                <w:szCs w:val="20"/>
              </w:rPr>
            </w:pPr>
            <w:r w:rsidRPr="00F5353D">
              <w:rPr>
                <w:sz w:val="20"/>
                <w:szCs w:val="20"/>
              </w:rPr>
              <w:t>Pedestrian 4+ leg intersections (Not low, &gt; 5)</w:t>
            </w:r>
          </w:p>
        </w:tc>
        <w:tc>
          <w:tcPr>
            <w:tcW w:w="487" w:type="pct"/>
            <w:tcBorders>
              <w:left w:val="single" w:sz="8" w:space="0" w:color="auto"/>
              <w:right w:val="single" w:sz="18" w:space="0" w:color="auto"/>
            </w:tcBorders>
            <w:vAlign w:val="center"/>
          </w:tcPr>
          <w:p w14:paraId="25890D99" w14:textId="3DE5C419" w:rsidR="003D0A0E" w:rsidRPr="00F5353D" w:rsidRDefault="003D0A0E" w:rsidP="003D0A0E">
            <w:pPr>
              <w:spacing w:line="200" w:lineRule="auto"/>
              <w:rPr>
                <w:sz w:val="20"/>
                <w:szCs w:val="20"/>
              </w:rPr>
            </w:pPr>
            <w:r w:rsidRPr="00F5353D">
              <w:rPr>
                <w:sz w:val="20"/>
                <w:szCs w:val="20"/>
              </w:rPr>
              <w:t>Low (≤ 5)</w:t>
            </w:r>
          </w:p>
        </w:tc>
        <w:tc>
          <w:tcPr>
            <w:tcW w:w="209" w:type="pct"/>
            <w:tcBorders>
              <w:left w:val="single" w:sz="18" w:space="0" w:color="auto"/>
            </w:tcBorders>
            <w:tcMar>
              <w:top w:w="8" w:type="dxa"/>
              <w:left w:w="28" w:type="dxa"/>
              <w:bottom w:w="8" w:type="dxa"/>
              <w:right w:w="28" w:type="dxa"/>
            </w:tcMar>
            <w:vAlign w:val="center"/>
          </w:tcPr>
          <w:p w14:paraId="15DB6586" w14:textId="0402CD65"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right w:val="single" w:sz="18" w:space="0" w:color="auto"/>
            </w:tcBorders>
            <w:tcMar>
              <w:top w:w="8" w:type="dxa"/>
              <w:left w:w="28" w:type="dxa"/>
              <w:bottom w:w="8" w:type="dxa"/>
              <w:right w:w="28" w:type="dxa"/>
            </w:tcMar>
            <w:vAlign w:val="center"/>
          </w:tcPr>
          <w:p w14:paraId="1CD28F56" w14:textId="7A8E5A2E" w:rsidR="003D0A0E" w:rsidRPr="00F5353D" w:rsidRDefault="003D0A0E" w:rsidP="003D0A0E">
            <w:pPr>
              <w:tabs>
                <w:tab w:val="decimal" w:pos="360"/>
              </w:tabs>
              <w:spacing w:line="200" w:lineRule="auto"/>
              <w:rPr>
                <w:sz w:val="20"/>
                <w:szCs w:val="20"/>
              </w:rPr>
            </w:pPr>
            <w:r w:rsidRPr="00F5353D">
              <w:rPr>
                <w:sz w:val="20"/>
                <w:szCs w:val="20"/>
              </w:rPr>
              <w:t>—</w:t>
            </w:r>
          </w:p>
        </w:tc>
        <w:tc>
          <w:tcPr>
            <w:tcW w:w="211" w:type="pct"/>
            <w:tcBorders>
              <w:left w:val="single" w:sz="18" w:space="0" w:color="auto"/>
            </w:tcBorders>
            <w:tcMar>
              <w:top w:w="8" w:type="dxa"/>
              <w:left w:w="28" w:type="dxa"/>
              <w:bottom w:w="8" w:type="dxa"/>
              <w:right w:w="28" w:type="dxa"/>
            </w:tcMar>
            <w:vAlign w:val="center"/>
          </w:tcPr>
          <w:p w14:paraId="54D19EEC" w14:textId="42268348" w:rsidR="003D0A0E" w:rsidRPr="00F5353D" w:rsidRDefault="003D0A0E" w:rsidP="003D0A0E">
            <w:pPr>
              <w:tabs>
                <w:tab w:val="decimal" w:pos="360"/>
              </w:tabs>
              <w:spacing w:line="200" w:lineRule="auto"/>
              <w:rPr>
                <w:sz w:val="20"/>
                <w:szCs w:val="20"/>
              </w:rPr>
            </w:pPr>
            <w:r w:rsidRPr="00F5353D">
              <w:rPr>
                <w:sz w:val="20"/>
                <w:szCs w:val="20"/>
              </w:rPr>
              <w:t>—</w:t>
            </w:r>
          </w:p>
        </w:tc>
        <w:tc>
          <w:tcPr>
            <w:tcW w:w="206" w:type="pct"/>
            <w:tcBorders>
              <w:right w:val="single" w:sz="8" w:space="0" w:color="auto"/>
            </w:tcBorders>
            <w:tcMar>
              <w:top w:w="8" w:type="dxa"/>
              <w:left w:w="28" w:type="dxa"/>
              <w:bottom w:w="8" w:type="dxa"/>
              <w:right w:w="28" w:type="dxa"/>
            </w:tcMar>
            <w:vAlign w:val="center"/>
          </w:tcPr>
          <w:p w14:paraId="08CAA4EC" w14:textId="5A8742A3"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left w:val="single" w:sz="8" w:space="0" w:color="auto"/>
            </w:tcBorders>
            <w:tcMar>
              <w:top w:w="8" w:type="dxa"/>
              <w:left w:w="28" w:type="dxa"/>
              <w:bottom w:w="8" w:type="dxa"/>
              <w:right w:w="28" w:type="dxa"/>
            </w:tcMar>
            <w:vAlign w:val="center"/>
          </w:tcPr>
          <w:p w14:paraId="61259566" w14:textId="12144D1F" w:rsidR="003D0A0E" w:rsidRPr="00F5353D" w:rsidRDefault="003D0A0E" w:rsidP="003D0A0E">
            <w:pPr>
              <w:tabs>
                <w:tab w:val="decimal" w:pos="360"/>
              </w:tabs>
              <w:spacing w:line="200" w:lineRule="auto"/>
              <w:rPr>
                <w:sz w:val="20"/>
                <w:szCs w:val="20"/>
              </w:rPr>
            </w:pPr>
            <w:r w:rsidRPr="00F5353D">
              <w:rPr>
                <w:sz w:val="20"/>
                <w:szCs w:val="20"/>
              </w:rPr>
              <w:t>—</w:t>
            </w:r>
          </w:p>
        </w:tc>
        <w:tc>
          <w:tcPr>
            <w:tcW w:w="209" w:type="pct"/>
            <w:tcBorders>
              <w:right w:val="single" w:sz="18" w:space="0" w:color="auto"/>
            </w:tcBorders>
            <w:tcMar>
              <w:top w:w="8" w:type="dxa"/>
              <w:left w:w="28" w:type="dxa"/>
              <w:bottom w:w="8" w:type="dxa"/>
              <w:right w:w="28" w:type="dxa"/>
            </w:tcMar>
            <w:vAlign w:val="center"/>
          </w:tcPr>
          <w:p w14:paraId="79E15593" w14:textId="2FDF52F0"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left w:val="single" w:sz="18" w:space="0" w:color="auto"/>
            </w:tcBorders>
            <w:tcMar>
              <w:top w:w="8" w:type="dxa"/>
              <w:left w:w="28" w:type="dxa"/>
              <w:bottom w:w="8" w:type="dxa"/>
              <w:right w:w="28" w:type="dxa"/>
            </w:tcMar>
            <w:vAlign w:val="center"/>
          </w:tcPr>
          <w:p w14:paraId="549CDB57" w14:textId="257D8F44" w:rsidR="003D0A0E" w:rsidRPr="00F5353D" w:rsidRDefault="003D0A0E" w:rsidP="003D0A0E">
            <w:pPr>
              <w:tabs>
                <w:tab w:val="decimal" w:pos="360"/>
              </w:tabs>
              <w:spacing w:line="200" w:lineRule="auto"/>
              <w:rPr>
                <w:sz w:val="20"/>
                <w:szCs w:val="20"/>
              </w:rPr>
            </w:pPr>
            <w:r w:rsidRPr="00F5353D">
              <w:rPr>
                <w:sz w:val="20"/>
                <w:szCs w:val="20"/>
              </w:rPr>
              <w:t>—</w:t>
            </w:r>
          </w:p>
        </w:tc>
        <w:tc>
          <w:tcPr>
            <w:tcW w:w="210" w:type="pct"/>
            <w:tcBorders>
              <w:right w:val="single" w:sz="8" w:space="0" w:color="auto"/>
            </w:tcBorders>
            <w:tcMar>
              <w:top w:w="8" w:type="dxa"/>
              <w:left w:w="28" w:type="dxa"/>
              <w:bottom w:w="8" w:type="dxa"/>
              <w:right w:w="28" w:type="dxa"/>
            </w:tcMar>
            <w:vAlign w:val="center"/>
          </w:tcPr>
          <w:p w14:paraId="20978B06" w14:textId="5CEDE184" w:rsidR="003D0A0E" w:rsidRPr="00F5353D" w:rsidRDefault="003D0A0E" w:rsidP="003D0A0E">
            <w:pPr>
              <w:tabs>
                <w:tab w:val="decimal" w:pos="360"/>
              </w:tabs>
              <w:spacing w:line="200" w:lineRule="auto"/>
              <w:rPr>
                <w:sz w:val="20"/>
                <w:szCs w:val="20"/>
              </w:rPr>
            </w:pPr>
            <w:r w:rsidRPr="00F5353D">
              <w:rPr>
                <w:sz w:val="20"/>
                <w:szCs w:val="20"/>
              </w:rPr>
              <w:t>—</w:t>
            </w:r>
          </w:p>
        </w:tc>
        <w:tc>
          <w:tcPr>
            <w:tcW w:w="208" w:type="pct"/>
            <w:tcBorders>
              <w:left w:val="single" w:sz="8" w:space="0" w:color="auto"/>
            </w:tcBorders>
            <w:tcMar>
              <w:top w:w="8" w:type="dxa"/>
              <w:left w:w="28" w:type="dxa"/>
              <w:bottom w:w="8" w:type="dxa"/>
              <w:right w:w="28" w:type="dxa"/>
            </w:tcMar>
            <w:vAlign w:val="center"/>
          </w:tcPr>
          <w:p w14:paraId="70BD26AA" w14:textId="2CF17F8A" w:rsidR="003D0A0E" w:rsidRPr="00F5353D" w:rsidRDefault="003D0A0E" w:rsidP="003D0A0E">
            <w:pPr>
              <w:tabs>
                <w:tab w:val="decimal" w:pos="360"/>
              </w:tabs>
              <w:spacing w:line="200" w:lineRule="auto"/>
              <w:rPr>
                <w:sz w:val="20"/>
                <w:szCs w:val="20"/>
              </w:rPr>
            </w:pPr>
            <w:r w:rsidRPr="00F5353D">
              <w:rPr>
                <w:sz w:val="20"/>
                <w:szCs w:val="20"/>
              </w:rPr>
              <w:t>—</w:t>
            </w:r>
          </w:p>
        </w:tc>
        <w:tc>
          <w:tcPr>
            <w:tcW w:w="245" w:type="pct"/>
            <w:tcBorders>
              <w:right w:val="single" w:sz="18" w:space="0" w:color="auto"/>
            </w:tcBorders>
            <w:tcMar>
              <w:top w:w="8" w:type="dxa"/>
              <w:left w:w="28" w:type="dxa"/>
              <w:bottom w:w="8" w:type="dxa"/>
              <w:right w:w="28" w:type="dxa"/>
            </w:tcMar>
            <w:vAlign w:val="center"/>
          </w:tcPr>
          <w:p w14:paraId="23813E85" w14:textId="47B68AE7" w:rsidR="003D0A0E" w:rsidRPr="00F5353D" w:rsidRDefault="003D0A0E" w:rsidP="003D0A0E">
            <w:pPr>
              <w:tabs>
                <w:tab w:val="decimal" w:pos="360"/>
              </w:tabs>
              <w:spacing w:line="200" w:lineRule="auto"/>
              <w:rPr>
                <w:sz w:val="20"/>
                <w:szCs w:val="20"/>
              </w:rPr>
            </w:pPr>
            <w:r w:rsidRPr="00F5353D">
              <w:rPr>
                <w:sz w:val="20"/>
                <w:szCs w:val="20"/>
              </w:rPr>
              <w:t>—</w:t>
            </w:r>
          </w:p>
        </w:tc>
        <w:tc>
          <w:tcPr>
            <w:tcW w:w="207" w:type="pct"/>
            <w:tcBorders>
              <w:left w:val="single" w:sz="18" w:space="0" w:color="auto"/>
            </w:tcBorders>
            <w:tcMar>
              <w:top w:w="8" w:type="dxa"/>
              <w:left w:w="28" w:type="dxa"/>
              <w:bottom w:w="8" w:type="dxa"/>
              <w:right w:w="28" w:type="dxa"/>
            </w:tcMar>
            <w:vAlign w:val="center"/>
          </w:tcPr>
          <w:p w14:paraId="30484A69" w14:textId="74FF28AC" w:rsidR="003D0A0E" w:rsidRPr="00F5353D" w:rsidRDefault="003D0A0E" w:rsidP="003D0A0E">
            <w:pPr>
              <w:tabs>
                <w:tab w:val="decimal" w:pos="360"/>
              </w:tabs>
              <w:spacing w:line="200" w:lineRule="auto"/>
              <w:rPr>
                <w:sz w:val="20"/>
                <w:szCs w:val="20"/>
              </w:rPr>
            </w:pPr>
            <w:r w:rsidRPr="00F5353D">
              <w:rPr>
                <w:color w:val="000000"/>
                <w:sz w:val="20"/>
                <w:szCs w:val="20"/>
              </w:rPr>
              <w:t>-0.45</w:t>
            </w:r>
          </w:p>
        </w:tc>
        <w:tc>
          <w:tcPr>
            <w:tcW w:w="245" w:type="pct"/>
            <w:tcBorders>
              <w:right w:val="single" w:sz="18" w:space="0" w:color="auto"/>
            </w:tcBorders>
            <w:tcMar>
              <w:top w:w="8" w:type="dxa"/>
              <w:left w:w="28" w:type="dxa"/>
              <w:bottom w:w="8" w:type="dxa"/>
              <w:right w:w="28" w:type="dxa"/>
            </w:tcMar>
            <w:vAlign w:val="center"/>
          </w:tcPr>
          <w:p w14:paraId="605B6CAB" w14:textId="7BC84F22" w:rsidR="003D0A0E" w:rsidRPr="00F5353D" w:rsidRDefault="003D0A0E" w:rsidP="003D0A0E">
            <w:pPr>
              <w:tabs>
                <w:tab w:val="decimal" w:pos="360"/>
              </w:tabs>
              <w:spacing w:line="200" w:lineRule="auto"/>
              <w:rPr>
                <w:sz w:val="20"/>
                <w:szCs w:val="20"/>
              </w:rPr>
            </w:pPr>
            <w:r w:rsidRPr="00F5353D">
              <w:rPr>
                <w:color w:val="000000"/>
                <w:sz w:val="20"/>
                <w:szCs w:val="20"/>
              </w:rPr>
              <w:t>-1.31</w:t>
            </w:r>
          </w:p>
        </w:tc>
        <w:tc>
          <w:tcPr>
            <w:tcW w:w="209" w:type="pct"/>
            <w:tcBorders>
              <w:left w:val="single" w:sz="18" w:space="0" w:color="auto"/>
            </w:tcBorders>
            <w:tcMar>
              <w:top w:w="8" w:type="dxa"/>
              <w:left w:w="28" w:type="dxa"/>
              <w:bottom w:w="8" w:type="dxa"/>
              <w:right w:w="28" w:type="dxa"/>
            </w:tcMar>
            <w:vAlign w:val="center"/>
          </w:tcPr>
          <w:p w14:paraId="2E64C3C0" w14:textId="1E0198D8" w:rsidR="003D0A0E" w:rsidRPr="00F5353D" w:rsidRDefault="003D0A0E" w:rsidP="003D0A0E">
            <w:pPr>
              <w:tabs>
                <w:tab w:val="decimal" w:pos="360"/>
              </w:tabs>
              <w:spacing w:line="200" w:lineRule="auto"/>
              <w:rPr>
                <w:sz w:val="20"/>
                <w:szCs w:val="20"/>
              </w:rPr>
            </w:pPr>
            <w:r w:rsidRPr="00F5353D">
              <w:rPr>
                <w:color w:val="000000"/>
                <w:sz w:val="20"/>
                <w:szCs w:val="20"/>
              </w:rPr>
              <w:t>-0.32</w:t>
            </w:r>
          </w:p>
        </w:tc>
        <w:tc>
          <w:tcPr>
            <w:tcW w:w="209" w:type="pct"/>
            <w:tcBorders>
              <w:right w:val="single" w:sz="8" w:space="0" w:color="auto"/>
            </w:tcBorders>
            <w:tcMar>
              <w:top w:w="8" w:type="dxa"/>
              <w:left w:w="28" w:type="dxa"/>
              <w:bottom w:w="8" w:type="dxa"/>
              <w:right w:w="28" w:type="dxa"/>
            </w:tcMar>
            <w:vAlign w:val="center"/>
          </w:tcPr>
          <w:p w14:paraId="6AB6583E" w14:textId="3E5161C6" w:rsidR="003D0A0E" w:rsidRPr="00F5353D" w:rsidRDefault="003D0A0E" w:rsidP="003D0A0E">
            <w:pPr>
              <w:tabs>
                <w:tab w:val="decimal" w:pos="360"/>
              </w:tabs>
              <w:spacing w:line="200" w:lineRule="auto"/>
              <w:rPr>
                <w:sz w:val="20"/>
                <w:szCs w:val="20"/>
              </w:rPr>
            </w:pPr>
            <w:r w:rsidRPr="00F5353D">
              <w:rPr>
                <w:color w:val="000000"/>
                <w:sz w:val="20"/>
                <w:szCs w:val="20"/>
              </w:rPr>
              <w:t>-2.02</w:t>
            </w:r>
          </w:p>
        </w:tc>
        <w:tc>
          <w:tcPr>
            <w:tcW w:w="208" w:type="pct"/>
            <w:tcBorders>
              <w:left w:val="single" w:sz="8" w:space="0" w:color="auto"/>
            </w:tcBorders>
            <w:tcMar>
              <w:top w:w="8" w:type="dxa"/>
              <w:left w:w="28" w:type="dxa"/>
              <w:bottom w:w="8" w:type="dxa"/>
              <w:right w:w="28" w:type="dxa"/>
            </w:tcMar>
            <w:vAlign w:val="center"/>
          </w:tcPr>
          <w:p w14:paraId="706424E7" w14:textId="2F290C50" w:rsidR="003D0A0E" w:rsidRPr="00F5353D" w:rsidRDefault="003D0A0E" w:rsidP="003D0A0E">
            <w:pPr>
              <w:tabs>
                <w:tab w:val="decimal" w:pos="360"/>
              </w:tabs>
              <w:spacing w:line="200" w:lineRule="auto"/>
              <w:rPr>
                <w:sz w:val="20"/>
                <w:szCs w:val="20"/>
              </w:rPr>
            </w:pPr>
            <w:r w:rsidRPr="00F5353D">
              <w:rPr>
                <w:color w:val="000000"/>
                <w:sz w:val="20"/>
                <w:szCs w:val="20"/>
              </w:rPr>
              <w:t>0.28</w:t>
            </w:r>
          </w:p>
        </w:tc>
        <w:tc>
          <w:tcPr>
            <w:tcW w:w="208" w:type="pct"/>
            <w:tcMar>
              <w:top w:w="8" w:type="dxa"/>
              <w:left w:w="28" w:type="dxa"/>
              <w:bottom w:w="8" w:type="dxa"/>
              <w:right w:w="28" w:type="dxa"/>
            </w:tcMar>
            <w:vAlign w:val="center"/>
          </w:tcPr>
          <w:p w14:paraId="4CE89EB7" w14:textId="54CA256A" w:rsidR="003D0A0E" w:rsidRPr="00CB1BFE" w:rsidRDefault="003D0A0E" w:rsidP="003D0A0E">
            <w:pPr>
              <w:tabs>
                <w:tab w:val="decimal" w:pos="360"/>
              </w:tabs>
              <w:spacing w:line="200" w:lineRule="auto"/>
              <w:rPr>
                <w:sz w:val="20"/>
                <w:szCs w:val="20"/>
              </w:rPr>
            </w:pPr>
            <w:r w:rsidRPr="00F5353D">
              <w:rPr>
                <w:color w:val="000000"/>
                <w:sz w:val="20"/>
                <w:szCs w:val="20"/>
              </w:rPr>
              <w:t>2.59</w:t>
            </w:r>
          </w:p>
        </w:tc>
      </w:tr>
    </w:tbl>
    <w:p w14:paraId="5C2E62DE" w14:textId="4DFF4063" w:rsidR="007A713B" w:rsidRPr="00441F86" w:rsidRDefault="007A713B" w:rsidP="007A713B">
      <w:pPr>
        <w:pStyle w:val="FootnoteText"/>
        <w:rPr>
          <w:b/>
          <w:bCs/>
          <w:sz w:val="24"/>
          <w:szCs w:val="24"/>
        </w:rPr>
      </w:pPr>
      <w:r w:rsidRPr="00F670FB">
        <w:rPr>
          <w:b/>
          <w:bCs/>
          <w:sz w:val="24"/>
          <w:szCs w:val="24"/>
        </w:rPr>
        <w:lastRenderedPageBreak/>
        <w:t>Table 3. M</w:t>
      </w:r>
      <w:r w:rsidR="00390142">
        <w:rPr>
          <w:b/>
          <w:bCs/>
          <w:sz w:val="24"/>
          <w:szCs w:val="24"/>
        </w:rPr>
        <w:t>odel</w:t>
      </w:r>
      <w:r w:rsidRPr="00F670FB">
        <w:rPr>
          <w:b/>
          <w:bCs/>
          <w:sz w:val="24"/>
          <w:szCs w:val="24"/>
        </w:rPr>
        <w:t xml:space="preserve"> Estimation Result</w:t>
      </w:r>
      <w:r>
        <w:rPr>
          <w:b/>
          <w:bCs/>
          <w:sz w:val="24"/>
          <w:szCs w:val="24"/>
        </w:rPr>
        <w:t>s</w:t>
      </w:r>
      <w:r w:rsidRPr="00140E34">
        <w:rPr>
          <w:b/>
          <w:bCs/>
          <w:sz w:val="24"/>
          <w:szCs w:val="24"/>
        </w:rPr>
        <w:t xml:space="preserve"> (Continued)</w:t>
      </w:r>
    </w:p>
    <w:tbl>
      <w:tblPr>
        <w:tblW w:w="5000" w:type="pct"/>
        <w:tblBorders>
          <w:top w:val="single" w:sz="18" w:space="0" w:color="auto"/>
          <w:left w:val="single" w:sz="18" w:space="0" w:color="auto"/>
          <w:bottom w:val="single" w:sz="18" w:space="0" w:color="auto"/>
          <w:right w:val="single" w:sz="18" w:space="0" w:color="auto"/>
          <w:insideH w:val="dotted" w:sz="4" w:space="0" w:color="auto"/>
          <w:insideV w:val="dotted" w:sz="4" w:space="0" w:color="auto"/>
        </w:tblBorders>
        <w:tblLayout w:type="fixed"/>
        <w:tblCellMar>
          <w:left w:w="10" w:type="dxa"/>
          <w:right w:w="10" w:type="dxa"/>
        </w:tblCellMar>
        <w:tblLook w:val="04A0" w:firstRow="1" w:lastRow="0" w:firstColumn="1" w:lastColumn="0" w:noHBand="0" w:noVBand="1"/>
      </w:tblPr>
      <w:tblGrid>
        <w:gridCol w:w="1053"/>
        <w:gridCol w:w="1803"/>
        <w:gridCol w:w="1260"/>
        <w:gridCol w:w="540"/>
        <w:gridCol w:w="542"/>
        <w:gridCol w:w="537"/>
        <w:gridCol w:w="540"/>
        <w:gridCol w:w="540"/>
        <w:gridCol w:w="542"/>
        <w:gridCol w:w="540"/>
        <w:gridCol w:w="540"/>
        <w:gridCol w:w="540"/>
        <w:gridCol w:w="630"/>
        <w:gridCol w:w="540"/>
        <w:gridCol w:w="630"/>
        <w:gridCol w:w="540"/>
        <w:gridCol w:w="540"/>
        <w:gridCol w:w="540"/>
        <w:gridCol w:w="517"/>
      </w:tblGrid>
      <w:tr w:rsidR="007A713B" w:rsidRPr="00F5353D" w14:paraId="4EBA40F4" w14:textId="77777777" w:rsidTr="0053479B">
        <w:trPr>
          <w:trHeight w:val="187"/>
          <w:tblHeader/>
        </w:trPr>
        <w:tc>
          <w:tcPr>
            <w:tcW w:w="1594" w:type="pct"/>
            <w:gridSpan w:val="3"/>
            <w:vMerge w:val="restart"/>
            <w:tcBorders>
              <w:right w:val="single" w:sz="18" w:space="0" w:color="auto"/>
            </w:tcBorders>
            <w:tcMar>
              <w:top w:w="8" w:type="dxa"/>
              <w:left w:w="28" w:type="dxa"/>
              <w:bottom w:w="8" w:type="dxa"/>
              <w:right w:w="28" w:type="dxa"/>
            </w:tcMar>
            <w:vAlign w:val="center"/>
          </w:tcPr>
          <w:p w14:paraId="7A93C8F8" w14:textId="77777777" w:rsidR="007A713B" w:rsidRPr="00F5353D" w:rsidRDefault="007A713B" w:rsidP="0031252B">
            <w:pPr>
              <w:spacing w:line="200" w:lineRule="auto"/>
              <w:jc w:val="center"/>
              <w:rPr>
                <w:sz w:val="20"/>
                <w:szCs w:val="20"/>
              </w:rPr>
            </w:pPr>
            <w:r w:rsidRPr="00F5353D">
              <w:rPr>
                <w:b/>
                <w:bCs/>
                <w:sz w:val="20"/>
                <w:szCs w:val="20"/>
              </w:rPr>
              <w:t>Explanatory Variables</w:t>
            </w:r>
            <w:r w:rsidRPr="00F5353D">
              <w:rPr>
                <w:sz w:val="20"/>
                <w:szCs w:val="20"/>
              </w:rPr>
              <w:br/>
            </w:r>
            <w:r w:rsidRPr="00F5353D">
              <w:rPr>
                <w:b/>
                <w:bCs/>
                <w:sz w:val="20"/>
                <w:szCs w:val="20"/>
              </w:rPr>
              <w:t>(base category)</w:t>
            </w:r>
          </w:p>
        </w:tc>
        <w:tc>
          <w:tcPr>
            <w:tcW w:w="419" w:type="pct"/>
            <w:gridSpan w:val="2"/>
            <w:vMerge w:val="restart"/>
            <w:tcBorders>
              <w:left w:val="single" w:sz="18" w:space="0" w:color="auto"/>
              <w:right w:val="single" w:sz="18" w:space="0" w:color="auto"/>
            </w:tcBorders>
            <w:tcMar>
              <w:top w:w="8" w:type="dxa"/>
              <w:left w:w="28" w:type="dxa"/>
              <w:bottom w:w="8" w:type="dxa"/>
              <w:right w:w="28" w:type="dxa"/>
            </w:tcMar>
            <w:vAlign w:val="center"/>
          </w:tcPr>
          <w:p w14:paraId="1291C8A2" w14:textId="691214E1" w:rsidR="007A713B" w:rsidRPr="00F5353D" w:rsidRDefault="00D9087F" w:rsidP="000076CD">
            <w:pPr>
              <w:spacing w:line="200" w:lineRule="auto"/>
              <w:jc w:val="center"/>
              <w:rPr>
                <w:sz w:val="20"/>
                <w:szCs w:val="20"/>
              </w:rPr>
            </w:pPr>
            <w:r w:rsidRPr="00F5353D">
              <w:rPr>
                <w:b/>
                <w:bCs/>
                <w:sz w:val="20"/>
                <w:szCs w:val="20"/>
              </w:rPr>
              <w:t>NRAT</w:t>
            </w:r>
          </w:p>
        </w:tc>
        <w:tc>
          <w:tcPr>
            <w:tcW w:w="836" w:type="pct"/>
            <w:gridSpan w:val="4"/>
            <w:tcBorders>
              <w:left w:val="single" w:sz="18" w:space="0" w:color="auto"/>
              <w:bottom w:val="single" w:sz="8" w:space="0" w:color="auto"/>
              <w:right w:val="single" w:sz="18" w:space="0" w:color="auto"/>
            </w:tcBorders>
            <w:tcMar>
              <w:top w:w="8" w:type="dxa"/>
              <w:left w:w="28" w:type="dxa"/>
              <w:bottom w:w="8" w:type="dxa"/>
              <w:right w:w="28" w:type="dxa"/>
            </w:tcMar>
            <w:vAlign w:val="center"/>
          </w:tcPr>
          <w:p w14:paraId="7DCAB01C" w14:textId="51D35E2E" w:rsidR="007A713B" w:rsidRPr="00F5353D" w:rsidRDefault="007A713B" w:rsidP="000076CD">
            <w:pPr>
              <w:spacing w:line="200" w:lineRule="auto"/>
              <w:jc w:val="center"/>
              <w:rPr>
                <w:sz w:val="20"/>
                <w:szCs w:val="20"/>
              </w:rPr>
            </w:pPr>
            <w:r w:rsidRPr="00F5353D">
              <w:rPr>
                <w:b/>
                <w:bCs/>
                <w:sz w:val="20"/>
                <w:szCs w:val="20"/>
              </w:rPr>
              <w:t xml:space="preserve">Infrastructural deficiencies in </w:t>
            </w:r>
            <w:r w:rsidR="00F13C39" w:rsidRPr="00F5353D">
              <w:rPr>
                <w:b/>
                <w:bCs/>
                <w:sz w:val="20"/>
                <w:szCs w:val="20"/>
              </w:rPr>
              <w:t>active travel networks</w:t>
            </w:r>
          </w:p>
        </w:tc>
        <w:tc>
          <w:tcPr>
            <w:tcW w:w="871" w:type="pct"/>
            <w:gridSpan w:val="4"/>
            <w:tcBorders>
              <w:left w:val="single" w:sz="18" w:space="0" w:color="auto"/>
              <w:bottom w:val="single" w:sz="8" w:space="0" w:color="auto"/>
              <w:right w:val="single" w:sz="18" w:space="0" w:color="auto"/>
            </w:tcBorders>
            <w:tcMar>
              <w:top w:w="8" w:type="dxa"/>
              <w:left w:w="28" w:type="dxa"/>
              <w:bottom w:w="8" w:type="dxa"/>
              <w:right w:w="28" w:type="dxa"/>
            </w:tcMar>
            <w:vAlign w:val="center"/>
          </w:tcPr>
          <w:p w14:paraId="63D32A64" w14:textId="77777777" w:rsidR="007A713B" w:rsidRPr="00F5353D" w:rsidRDefault="007A713B" w:rsidP="000076CD">
            <w:pPr>
              <w:spacing w:line="200" w:lineRule="auto"/>
              <w:jc w:val="center"/>
              <w:rPr>
                <w:sz w:val="20"/>
                <w:szCs w:val="20"/>
              </w:rPr>
            </w:pPr>
            <w:r w:rsidRPr="00F5353D">
              <w:rPr>
                <w:b/>
                <w:bCs/>
                <w:sz w:val="20"/>
                <w:szCs w:val="20"/>
              </w:rPr>
              <w:t>Traffic-safety concerns</w:t>
            </w:r>
          </w:p>
        </w:tc>
        <w:tc>
          <w:tcPr>
            <w:tcW w:w="453" w:type="pct"/>
            <w:gridSpan w:val="2"/>
            <w:tcBorders>
              <w:left w:val="single" w:sz="18" w:space="0" w:color="auto"/>
              <w:bottom w:val="single" w:sz="8" w:space="0" w:color="auto"/>
              <w:right w:val="single" w:sz="18" w:space="0" w:color="auto"/>
            </w:tcBorders>
            <w:tcMar>
              <w:top w:w="8" w:type="dxa"/>
              <w:left w:w="28" w:type="dxa"/>
              <w:bottom w:w="8" w:type="dxa"/>
              <w:right w:w="28" w:type="dxa"/>
            </w:tcMar>
            <w:vAlign w:val="center"/>
          </w:tcPr>
          <w:p w14:paraId="370E20DC" w14:textId="77777777" w:rsidR="007A713B" w:rsidRPr="00F5353D" w:rsidRDefault="007A713B" w:rsidP="000076CD">
            <w:pPr>
              <w:spacing w:line="200" w:lineRule="auto"/>
              <w:jc w:val="center"/>
              <w:rPr>
                <w:sz w:val="20"/>
                <w:szCs w:val="20"/>
              </w:rPr>
            </w:pPr>
            <w:r w:rsidRPr="00F5353D">
              <w:rPr>
                <w:b/>
                <w:bCs/>
                <w:sz w:val="20"/>
                <w:szCs w:val="20"/>
              </w:rPr>
              <w:t>Personal-security concerns</w:t>
            </w:r>
          </w:p>
        </w:tc>
        <w:tc>
          <w:tcPr>
            <w:tcW w:w="827" w:type="pct"/>
            <w:gridSpan w:val="4"/>
            <w:tcBorders>
              <w:left w:val="single" w:sz="18" w:space="0" w:color="auto"/>
              <w:bottom w:val="single" w:sz="8" w:space="0" w:color="auto"/>
            </w:tcBorders>
            <w:tcMar>
              <w:top w:w="8" w:type="dxa"/>
              <w:left w:w="28" w:type="dxa"/>
              <w:bottom w:w="8" w:type="dxa"/>
              <w:right w:w="28" w:type="dxa"/>
            </w:tcMar>
            <w:vAlign w:val="center"/>
          </w:tcPr>
          <w:p w14:paraId="340F6C4B" w14:textId="77777777" w:rsidR="007A713B" w:rsidRPr="00F5353D" w:rsidRDefault="007A713B" w:rsidP="000076CD">
            <w:pPr>
              <w:spacing w:line="200" w:lineRule="auto"/>
              <w:jc w:val="center"/>
              <w:rPr>
                <w:sz w:val="20"/>
                <w:szCs w:val="20"/>
              </w:rPr>
            </w:pPr>
            <w:r w:rsidRPr="00F5353D">
              <w:rPr>
                <w:b/>
                <w:bCs/>
                <w:sz w:val="20"/>
                <w:szCs w:val="20"/>
              </w:rPr>
              <w:t>Practical and situational constraints</w:t>
            </w:r>
          </w:p>
        </w:tc>
      </w:tr>
      <w:tr w:rsidR="007A713B" w:rsidRPr="00F5353D" w14:paraId="0475FD40" w14:textId="77777777" w:rsidTr="00C35990">
        <w:trPr>
          <w:trHeight w:val="187"/>
          <w:tblHeader/>
        </w:trPr>
        <w:tc>
          <w:tcPr>
            <w:tcW w:w="1594" w:type="pct"/>
            <w:gridSpan w:val="3"/>
            <w:vMerge/>
            <w:tcBorders>
              <w:right w:val="single" w:sz="18" w:space="0" w:color="auto"/>
            </w:tcBorders>
            <w:tcMar>
              <w:top w:w="8" w:type="dxa"/>
              <w:left w:w="28" w:type="dxa"/>
              <w:bottom w:w="8" w:type="dxa"/>
              <w:right w:w="28" w:type="dxa"/>
            </w:tcMar>
            <w:vAlign w:val="center"/>
          </w:tcPr>
          <w:p w14:paraId="5A5AA3F6" w14:textId="77777777" w:rsidR="007A713B" w:rsidRPr="00F5353D" w:rsidRDefault="007A713B" w:rsidP="00D63D95">
            <w:pPr>
              <w:spacing w:line="200" w:lineRule="auto"/>
              <w:rPr>
                <w:sz w:val="20"/>
                <w:szCs w:val="20"/>
              </w:rPr>
            </w:pPr>
          </w:p>
        </w:tc>
        <w:tc>
          <w:tcPr>
            <w:tcW w:w="419" w:type="pct"/>
            <w:gridSpan w:val="2"/>
            <w:vMerge/>
            <w:tcBorders>
              <w:left w:val="single" w:sz="18" w:space="0" w:color="auto"/>
              <w:bottom w:val="single" w:sz="18" w:space="0" w:color="auto"/>
              <w:right w:val="single" w:sz="18" w:space="0" w:color="auto"/>
            </w:tcBorders>
            <w:tcMar>
              <w:top w:w="8" w:type="dxa"/>
              <w:left w:w="28" w:type="dxa"/>
              <w:bottom w:w="8" w:type="dxa"/>
              <w:right w:w="28" w:type="dxa"/>
            </w:tcMar>
            <w:vAlign w:val="center"/>
          </w:tcPr>
          <w:p w14:paraId="6250ED9B" w14:textId="77777777" w:rsidR="007A713B" w:rsidRPr="00F5353D" w:rsidRDefault="007A713B" w:rsidP="00D63D95">
            <w:pPr>
              <w:spacing w:line="200" w:lineRule="auto"/>
              <w:rPr>
                <w:sz w:val="20"/>
                <w:szCs w:val="20"/>
              </w:rPr>
            </w:pPr>
          </w:p>
        </w:tc>
        <w:tc>
          <w:tcPr>
            <w:tcW w:w="417" w:type="pct"/>
            <w:gridSpan w:val="2"/>
            <w:tcBorders>
              <w:top w:val="single" w:sz="8" w:space="0" w:color="auto"/>
              <w:left w:val="single" w:sz="18" w:space="0" w:color="auto"/>
              <w:bottom w:val="single" w:sz="18" w:space="0" w:color="auto"/>
              <w:right w:val="single" w:sz="8" w:space="0" w:color="auto"/>
            </w:tcBorders>
            <w:tcMar>
              <w:top w:w="8" w:type="dxa"/>
              <w:left w:w="28" w:type="dxa"/>
              <w:bottom w:w="8" w:type="dxa"/>
              <w:right w:w="28" w:type="dxa"/>
            </w:tcMar>
            <w:vAlign w:val="center"/>
          </w:tcPr>
          <w:p w14:paraId="55B839F6" w14:textId="09F56117" w:rsidR="007A713B" w:rsidRPr="00F5353D" w:rsidRDefault="0031252B" w:rsidP="000076CD">
            <w:pPr>
              <w:spacing w:line="200" w:lineRule="auto"/>
              <w:jc w:val="center"/>
              <w:rPr>
                <w:sz w:val="20"/>
                <w:szCs w:val="20"/>
              </w:rPr>
            </w:pPr>
            <w:r w:rsidRPr="00F5353D">
              <w:rPr>
                <w:b/>
                <w:bCs/>
                <w:sz w:val="20"/>
                <w:szCs w:val="20"/>
              </w:rPr>
              <w:t>Lack of sidewalks / bicycle lanes</w:t>
            </w:r>
          </w:p>
        </w:tc>
        <w:tc>
          <w:tcPr>
            <w:tcW w:w="419" w:type="pct"/>
            <w:gridSpan w:val="2"/>
            <w:tcBorders>
              <w:top w:val="single" w:sz="8" w:space="0" w:color="auto"/>
              <w:left w:val="single" w:sz="8" w:space="0" w:color="auto"/>
              <w:bottom w:val="single" w:sz="18" w:space="0" w:color="auto"/>
              <w:right w:val="single" w:sz="18" w:space="0" w:color="auto"/>
            </w:tcBorders>
            <w:tcMar>
              <w:top w:w="8" w:type="dxa"/>
              <w:left w:w="28" w:type="dxa"/>
              <w:bottom w:w="8" w:type="dxa"/>
              <w:right w:w="28" w:type="dxa"/>
            </w:tcMar>
            <w:vAlign w:val="center"/>
          </w:tcPr>
          <w:p w14:paraId="1794665D" w14:textId="77777777" w:rsidR="007A713B" w:rsidRPr="00F5353D" w:rsidRDefault="007A713B" w:rsidP="000076CD">
            <w:pPr>
              <w:spacing w:line="200" w:lineRule="auto"/>
              <w:jc w:val="center"/>
              <w:rPr>
                <w:sz w:val="20"/>
                <w:szCs w:val="20"/>
              </w:rPr>
            </w:pPr>
            <w:r w:rsidRPr="00F5353D">
              <w:rPr>
                <w:b/>
                <w:bCs/>
                <w:sz w:val="20"/>
                <w:szCs w:val="20"/>
              </w:rPr>
              <w:t>Insufficient lighting</w:t>
            </w:r>
          </w:p>
        </w:tc>
        <w:tc>
          <w:tcPr>
            <w:tcW w:w="418" w:type="pct"/>
            <w:gridSpan w:val="2"/>
            <w:tcBorders>
              <w:top w:val="single" w:sz="8" w:space="0" w:color="auto"/>
              <w:left w:val="single" w:sz="18" w:space="0" w:color="auto"/>
              <w:bottom w:val="single" w:sz="18" w:space="0" w:color="auto"/>
              <w:right w:val="single" w:sz="8" w:space="0" w:color="auto"/>
            </w:tcBorders>
            <w:tcMar>
              <w:top w:w="8" w:type="dxa"/>
              <w:left w:w="28" w:type="dxa"/>
              <w:bottom w:w="8" w:type="dxa"/>
              <w:right w:w="28" w:type="dxa"/>
            </w:tcMar>
            <w:vAlign w:val="center"/>
          </w:tcPr>
          <w:p w14:paraId="3327C904" w14:textId="77777777" w:rsidR="007A713B" w:rsidRPr="00F5353D" w:rsidRDefault="007A713B" w:rsidP="000076CD">
            <w:pPr>
              <w:spacing w:line="200" w:lineRule="auto"/>
              <w:jc w:val="center"/>
              <w:rPr>
                <w:sz w:val="20"/>
                <w:szCs w:val="20"/>
              </w:rPr>
            </w:pPr>
            <w:r w:rsidRPr="00F5353D">
              <w:rPr>
                <w:b/>
                <w:bCs/>
                <w:sz w:val="20"/>
                <w:szCs w:val="20"/>
              </w:rPr>
              <w:t>Aggressive drivers</w:t>
            </w:r>
          </w:p>
        </w:tc>
        <w:tc>
          <w:tcPr>
            <w:tcW w:w="453" w:type="pct"/>
            <w:gridSpan w:val="2"/>
            <w:tcBorders>
              <w:top w:val="single" w:sz="8" w:space="0" w:color="auto"/>
              <w:left w:val="single" w:sz="8" w:space="0" w:color="auto"/>
              <w:bottom w:val="single" w:sz="18" w:space="0" w:color="auto"/>
              <w:right w:val="single" w:sz="18" w:space="0" w:color="auto"/>
            </w:tcBorders>
            <w:tcMar>
              <w:top w:w="8" w:type="dxa"/>
              <w:left w:w="28" w:type="dxa"/>
              <w:bottom w:w="8" w:type="dxa"/>
              <w:right w:w="28" w:type="dxa"/>
            </w:tcMar>
            <w:vAlign w:val="center"/>
          </w:tcPr>
          <w:p w14:paraId="18576005" w14:textId="77777777" w:rsidR="007A713B" w:rsidRPr="00F5353D" w:rsidRDefault="007A713B" w:rsidP="000076CD">
            <w:pPr>
              <w:spacing w:line="200" w:lineRule="auto"/>
              <w:jc w:val="center"/>
              <w:rPr>
                <w:sz w:val="20"/>
                <w:szCs w:val="20"/>
              </w:rPr>
            </w:pPr>
            <w:r w:rsidRPr="00F5353D">
              <w:rPr>
                <w:b/>
                <w:bCs/>
                <w:sz w:val="20"/>
                <w:szCs w:val="20"/>
              </w:rPr>
              <w:t>Distracted drivers</w:t>
            </w:r>
          </w:p>
        </w:tc>
        <w:tc>
          <w:tcPr>
            <w:tcW w:w="453" w:type="pct"/>
            <w:gridSpan w:val="2"/>
            <w:tcBorders>
              <w:top w:val="single" w:sz="8" w:space="0" w:color="auto"/>
              <w:left w:val="single" w:sz="18" w:space="0" w:color="auto"/>
              <w:bottom w:val="single" w:sz="18" w:space="0" w:color="auto"/>
              <w:right w:val="single" w:sz="18" w:space="0" w:color="auto"/>
            </w:tcBorders>
            <w:tcMar>
              <w:top w:w="8" w:type="dxa"/>
              <w:left w:w="28" w:type="dxa"/>
              <w:bottom w:w="8" w:type="dxa"/>
              <w:right w:w="28" w:type="dxa"/>
            </w:tcMar>
            <w:vAlign w:val="center"/>
          </w:tcPr>
          <w:p w14:paraId="6B0B50D1" w14:textId="77777777" w:rsidR="007A713B" w:rsidRPr="00F5353D" w:rsidRDefault="007A713B" w:rsidP="000076CD">
            <w:pPr>
              <w:spacing w:line="200" w:lineRule="auto"/>
              <w:jc w:val="center"/>
              <w:rPr>
                <w:sz w:val="20"/>
                <w:szCs w:val="20"/>
              </w:rPr>
            </w:pPr>
            <w:r w:rsidRPr="00F5353D">
              <w:rPr>
                <w:b/>
                <w:bCs/>
                <w:sz w:val="20"/>
                <w:szCs w:val="20"/>
              </w:rPr>
              <w:t>Loitering / threatening</w:t>
            </w:r>
          </w:p>
        </w:tc>
        <w:tc>
          <w:tcPr>
            <w:tcW w:w="418" w:type="pct"/>
            <w:gridSpan w:val="2"/>
            <w:tcBorders>
              <w:top w:val="single" w:sz="8" w:space="0" w:color="auto"/>
              <w:left w:val="single" w:sz="18" w:space="0" w:color="auto"/>
              <w:bottom w:val="single" w:sz="18" w:space="0" w:color="auto"/>
              <w:right w:val="single" w:sz="8" w:space="0" w:color="auto"/>
            </w:tcBorders>
            <w:tcMar>
              <w:top w:w="8" w:type="dxa"/>
              <w:left w:w="28" w:type="dxa"/>
              <w:bottom w:w="8" w:type="dxa"/>
              <w:right w:w="28" w:type="dxa"/>
            </w:tcMar>
            <w:vAlign w:val="center"/>
          </w:tcPr>
          <w:p w14:paraId="2C285A30" w14:textId="77777777" w:rsidR="007A713B" w:rsidRPr="00F5353D" w:rsidRDefault="007A713B" w:rsidP="000076CD">
            <w:pPr>
              <w:spacing w:line="200" w:lineRule="auto"/>
              <w:jc w:val="center"/>
              <w:rPr>
                <w:sz w:val="20"/>
                <w:szCs w:val="20"/>
              </w:rPr>
            </w:pPr>
            <w:r w:rsidRPr="00F5353D">
              <w:rPr>
                <w:b/>
                <w:bCs/>
                <w:sz w:val="20"/>
                <w:szCs w:val="20"/>
              </w:rPr>
              <w:t>Adverse weather</w:t>
            </w:r>
          </w:p>
        </w:tc>
        <w:tc>
          <w:tcPr>
            <w:tcW w:w="409" w:type="pct"/>
            <w:gridSpan w:val="2"/>
            <w:tcBorders>
              <w:top w:val="single" w:sz="8" w:space="0" w:color="auto"/>
              <w:left w:val="single" w:sz="8" w:space="0" w:color="auto"/>
              <w:bottom w:val="single" w:sz="18" w:space="0" w:color="auto"/>
            </w:tcBorders>
            <w:tcMar>
              <w:top w:w="8" w:type="dxa"/>
              <w:left w:w="28" w:type="dxa"/>
              <w:bottom w:w="8" w:type="dxa"/>
              <w:right w:w="28" w:type="dxa"/>
            </w:tcMar>
            <w:vAlign w:val="center"/>
          </w:tcPr>
          <w:p w14:paraId="2318AB72" w14:textId="77777777" w:rsidR="007A713B" w:rsidRPr="00F5353D" w:rsidRDefault="007A713B" w:rsidP="000076CD">
            <w:pPr>
              <w:spacing w:line="200" w:lineRule="auto"/>
              <w:jc w:val="center"/>
              <w:rPr>
                <w:sz w:val="20"/>
                <w:szCs w:val="20"/>
              </w:rPr>
            </w:pPr>
            <w:r w:rsidRPr="00F5353D">
              <w:rPr>
                <w:b/>
                <w:bCs/>
                <w:sz w:val="20"/>
                <w:szCs w:val="20"/>
              </w:rPr>
              <w:t>Trip-length mismatch</w:t>
            </w:r>
          </w:p>
        </w:tc>
      </w:tr>
      <w:tr w:rsidR="007A713B" w:rsidRPr="00F5353D" w14:paraId="4192089D" w14:textId="77777777" w:rsidTr="00C35990">
        <w:trPr>
          <w:trHeight w:val="187"/>
          <w:tblHeader/>
        </w:trPr>
        <w:tc>
          <w:tcPr>
            <w:tcW w:w="1594" w:type="pct"/>
            <w:gridSpan w:val="3"/>
            <w:vMerge/>
            <w:tcBorders>
              <w:bottom w:val="single" w:sz="18" w:space="0" w:color="auto"/>
              <w:right w:val="single" w:sz="18" w:space="0" w:color="auto"/>
            </w:tcBorders>
            <w:tcMar>
              <w:top w:w="8" w:type="dxa"/>
              <w:left w:w="28" w:type="dxa"/>
              <w:bottom w:w="8" w:type="dxa"/>
              <w:right w:w="28" w:type="dxa"/>
            </w:tcMar>
            <w:vAlign w:val="center"/>
          </w:tcPr>
          <w:p w14:paraId="3D8122A4" w14:textId="77777777" w:rsidR="007A713B" w:rsidRPr="00F5353D" w:rsidRDefault="007A713B" w:rsidP="00D63D95">
            <w:pPr>
              <w:spacing w:line="200" w:lineRule="auto"/>
              <w:rPr>
                <w:sz w:val="20"/>
                <w:szCs w:val="20"/>
              </w:rPr>
            </w:pPr>
          </w:p>
        </w:tc>
        <w:tc>
          <w:tcPr>
            <w:tcW w:w="209" w:type="pct"/>
            <w:tcBorders>
              <w:top w:val="single" w:sz="18" w:space="0" w:color="auto"/>
              <w:left w:val="single" w:sz="18" w:space="0" w:color="auto"/>
              <w:bottom w:val="single" w:sz="18" w:space="0" w:color="auto"/>
            </w:tcBorders>
            <w:tcMar>
              <w:top w:w="8" w:type="dxa"/>
              <w:left w:w="28" w:type="dxa"/>
              <w:bottom w:w="8" w:type="dxa"/>
              <w:right w:w="28" w:type="dxa"/>
            </w:tcMar>
            <w:vAlign w:val="center"/>
          </w:tcPr>
          <w:p w14:paraId="1E1AD5BB" w14:textId="77777777" w:rsidR="007A713B" w:rsidRPr="00F5353D" w:rsidRDefault="007A713B" w:rsidP="00D63D95">
            <w:pPr>
              <w:spacing w:line="200" w:lineRule="auto"/>
              <w:rPr>
                <w:sz w:val="20"/>
                <w:szCs w:val="20"/>
              </w:rPr>
            </w:pPr>
            <w:r w:rsidRPr="00F5353D">
              <w:rPr>
                <w:sz w:val="20"/>
                <w:szCs w:val="20"/>
              </w:rPr>
              <w:t>Coef.</w:t>
            </w:r>
          </w:p>
        </w:tc>
        <w:tc>
          <w:tcPr>
            <w:tcW w:w="210" w:type="pct"/>
            <w:tcBorders>
              <w:top w:val="single" w:sz="18" w:space="0" w:color="auto"/>
              <w:bottom w:val="single" w:sz="18" w:space="0" w:color="auto"/>
              <w:right w:val="single" w:sz="18" w:space="0" w:color="auto"/>
            </w:tcBorders>
            <w:tcMar>
              <w:top w:w="8" w:type="dxa"/>
              <w:left w:w="28" w:type="dxa"/>
              <w:bottom w:w="8" w:type="dxa"/>
              <w:right w:w="28" w:type="dxa"/>
            </w:tcMar>
            <w:vAlign w:val="center"/>
          </w:tcPr>
          <w:p w14:paraId="06862CD8" w14:textId="77777777" w:rsidR="007A713B" w:rsidRPr="00F5353D" w:rsidRDefault="007A713B" w:rsidP="00D63D95">
            <w:pPr>
              <w:spacing w:line="200" w:lineRule="auto"/>
              <w:rPr>
                <w:sz w:val="20"/>
                <w:szCs w:val="20"/>
              </w:rPr>
            </w:pPr>
            <w:r w:rsidRPr="00F5353D">
              <w:rPr>
                <w:sz w:val="20"/>
                <w:szCs w:val="20"/>
              </w:rPr>
              <w:t>t-stat</w:t>
            </w:r>
          </w:p>
        </w:tc>
        <w:tc>
          <w:tcPr>
            <w:tcW w:w="208" w:type="pct"/>
            <w:tcBorders>
              <w:top w:val="single" w:sz="18" w:space="0" w:color="auto"/>
              <w:left w:val="single" w:sz="18" w:space="0" w:color="auto"/>
              <w:bottom w:val="single" w:sz="18" w:space="0" w:color="auto"/>
            </w:tcBorders>
            <w:tcMar>
              <w:top w:w="8" w:type="dxa"/>
              <w:left w:w="28" w:type="dxa"/>
              <w:bottom w:w="8" w:type="dxa"/>
              <w:right w:w="28" w:type="dxa"/>
            </w:tcMar>
            <w:vAlign w:val="center"/>
          </w:tcPr>
          <w:p w14:paraId="64732000" w14:textId="77777777" w:rsidR="007A713B" w:rsidRPr="00F5353D" w:rsidRDefault="007A713B" w:rsidP="00D63D95">
            <w:pPr>
              <w:spacing w:line="200" w:lineRule="auto"/>
              <w:rPr>
                <w:sz w:val="20"/>
                <w:szCs w:val="20"/>
              </w:rPr>
            </w:pPr>
            <w:r w:rsidRPr="00F5353D">
              <w:rPr>
                <w:sz w:val="20"/>
                <w:szCs w:val="20"/>
              </w:rPr>
              <w:t>Coef.</w:t>
            </w:r>
          </w:p>
        </w:tc>
        <w:tc>
          <w:tcPr>
            <w:tcW w:w="209" w:type="pct"/>
            <w:tcBorders>
              <w:top w:val="single" w:sz="18" w:space="0" w:color="auto"/>
              <w:bottom w:val="single" w:sz="18" w:space="0" w:color="auto"/>
              <w:right w:val="single" w:sz="8" w:space="0" w:color="auto"/>
            </w:tcBorders>
            <w:tcMar>
              <w:top w:w="8" w:type="dxa"/>
              <w:left w:w="28" w:type="dxa"/>
              <w:bottom w:w="8" w:type="dxa"/>
              <w:right w:w="28" w:type="dxa"/>
            </w:tcMar>
            <w:vAlign w:val="center"/>
          </w:tcPr>
          <w:p w14:paraId="2F9F8F6B" w14:textId="77777777" w:rsidR="007A713B" w:rsidRPr="00F5353D" w:rsidRDefault="007A713B" w:rsidP="00D63D95">
            <w:pPr>
              <w:spacing w:line="200" w:lineRule="auto"/>
              <w:rPr>
                <w:sz w:val="20"/>
                <w:szCs w:val="20"/>
              </w:rPr>
            </w:pPr>
            <w:r w:rsidRPr="00F5353D">
              <w:rPr>
                <w:sz w:val="20"/>
                <w:szCs w:val="20"/>
              </w:rPr>
              <w:t>t-stat</w:t>
            </w:r>
          </w:p>
        </w:tc>
        <w:tc>
          <w:tcPr>
            <w:tcW w:w="209" w:type="pct"/>
            <w:tcBorders>
              <w:top w:val="single" w:sz="18" w:space="0" w:color="auto"/>
              <w:left w:val="single" w:sz="8" w:space="0" w:color="auto"/>
              <w:bottom w:val="single" w:sz="18" w:space="0" w:color="auto"/>
            </w:tcBorders>
            <w:tcMar>
              <w:top w:w="8" w:type="dxa"/>
              <w:left w:w="28" w:type="dxa"/>
              <w:bottom w:w="8" w:type="dxa"/>
              <w:right w:w="28" w:type="dxa"/>
            </w:tcMar>
            <w:vAlign w:val="center"/>
          </w:tcPr>
          <w:p w14:paraId="174DD989" w14:textId="77777777" w:rsidR="007A713B" w:rsidRPr="00F5353D" w:rsidRDefault="007A713B" w:rsidP="00D63D95">
            <w:pPr>
              <w:spacing w:line="200" w:lineRule="auto"/>
              <w:rPr>
                <w:sz w:val="20"/>
                <w:szCs w:val="20"/>
              </w:rPr>
            </w:pPr>
            <w:r w:rsidRPr="00F5353D">
              <w:rPr>
                <w:sz w:val="20"/>
                <w:szCs w:val="20"/>
              </w:rPr>
              <w:t>Coef.</w:t>
            </w:r>
          </w:p>
        </w:tc>
        <w:tc>
          <w:tcPr>
            <w:tcW w:w="210" w:type="pct"/>
            <w:tcBorders>
              <w:top w:val="single" w:sz="18" w:space="0" w:color="auto"/>
              <w:bottom w:val="single" w:sz="18" w:space="0" w:color="auto"/>
              <w:right w:val="single" w:sz="18" w:space="0" w:color="auto"/>
            </w:tcBorders>
            <w:tcMar>
              <w:top w:w="8" w:type="dxa"/>
              <w:left w:w="28" w:type="dxa"/>
              <w:bottom w:w="8" w:type="dxa"/>
              <w:right w:w="28" w:type="dxa"/>
            </w:tcMar>
            <w:vAlign w:val="center"/>
          </w:tcPr>
          <w:p w14:paraId="209F1232" w14:textId="77777777" w:rsidR="007A713B" w:rsidRPr="00F5353D" w:rsidRDefault="007A713B" w:rsidP="00D63D95">
            <w:pPr>
              <w:spacing w:line="200" w:lineRule="auto"/>
              <w:rPr>
                <w:sz w:val="20"/>
                <w:szCs w:val="20"/>
              </w:rPr>
            </w:pPr>
            <w:r w:rsidRPr="00F5353D">
              <w:rPr>
                <w:sz w:val="20"/>
                <w:szCs w:val="20"/>
              </w:rPr>
              <w:t>t-stat</w:t>
            </w:r>
          </w:p>
        </w:tc>
        <w:tc>
          <w:tcPr>
            <w:tcW w:w="209" w:type="pct"/>
            <w:tcBorders>
              <w:top w:val="single" w:sz="18" w:space="0" w:color="auto"/>
              <w:left w:val="single" w:sz="18" w:space="0" w:color="auto"/>
              <w:bottom w:val="single" w:sz="18" w:space="0" w:color="auto"/>
            </w:tcBorders>
            <w:tcMar>
              <w:top w:w="8" w:type="dxa"/>
              <w:left w:w="28" w:type="dxa"/>
              <w:bottom w:w="8" w:type="dxa"/>
              <w:right w:w="28" w:type="dxa"/>
            </w:tcMar>
            <w:vAlign w:val="center"/>
          </w:tcPr>
          <w:p w14:paraId="1189CF33" w14:textId="77777777" w:rsidR="007A713B" w:rsidRPr="00F5353D" w:rsidRDefault="007A713B" w:rsidP="00D63D95">
            <w:pPr>
              <w:spacing w:line="200" w:lineRule="auto"/>
              <w:rPr>
                <w:sz w:val="20"/>
                <w:szCs w:val="20"/>
              </w:rPr>
            </w:pPr>
            <w:r w:rsidRPr="00F5353D">
              <w:rPr>
                <w:sz w:val="20"/>
                <w:szCs w:val="20"/>
              </w:rPr>
              <w:t>Coef.</w:t>
            </w:r>
          </w:p>
        </w:tc>
        <w:tc>
          <w:tcPr>
            <w:tcW w:w="209" w:type="pct"/>
            <w:tcBorders>
              <w:top w:val="single" w:sz="18" w:space="0" w:color="auto"/>
              <w:bottom w:val="single" w:sz="18" w:space="0" w:color="auto"/>
              <w:right w:val="single" w:sz="8" w:space="0" w:color="auto"/>
            </w:tcBorders>
            <w:tcMar>
              <w:top w:w="8" w:type="dxa"/>
              <w:left w:w="28" w:type="dxa"/>
              <w:bottom w:w="8" w:type="dxa"/>
              <w:right w:w="28" w:type="dxa"/>
            </w:tcMar>
            <w:vAlign w:val="center"/>
          </w:tcPr>
          <w:p w14:paraId="6EDE927E" w14:textId="77777777" w:rsidR="007A713B" w:rsidRPr="00F5353D" w:rsidRDefault="007A713B" w:rsidP="00D63D95">
            <w:pPr>
              <w:spacing w:line="200" w:lineRule="auto"/>
              <w:rPr>
                <w:sz w:val="20"/>
                <w:szCs w:val="20"/>
              </w:rPr>
            </w:pPr>
            <w:r w:rsidRPr="00F5353D">
              <w:rPr>
                <w:sz w:val="20"/>
                <w:szCs w:val="20"/>
              </w:rPr>
              <w:t>t-stat</w:t>
            </w:r>
          </w:p>
        </w:tc>
        <w:tc>
          <w:tcPr>
            <w:tcW w:w="209" w:type="pct"/>
            <w:tcBorders>
              <w:top w:val="single" w:sz="18" w:space="0" w:color="auto"/>
              <w:left w:val="single" w:sz="8" w:space="0" w:color="auto"/>
              <w:bottom w:val="single" w:sz="18" w:space="0" w:color="auto"/>
            </w:tcBorders>
            <w:tcMar>
              <w:top w:w="8" w:type="dxa"/>
              <w:left w:w="28" w:type="dxa"/>
              <w:bottom w:w="8" w:type="dxa"/>
              <w:right w:w="28" w:type="dxa"/>
            </w:tcMar>
            <w:vAlign w:val="center"/>
          </w:tcPr>
          <w:p w14:paraId="6BA6EA1A" w14:textId="77777777" w:rsidR="007A713B" w:rsidRPr="00F5353D" w:rsidRDefault="007A713B" w:rsidP="00D63D95">
            <w:pPr>
              <w:spacing w:line="200" w:lineRule="auto"/>
              <w:rPr>
                <w:sz w:val="20"/>
                <w:szCs w:val="20"/>
              </w:rPr>
            </w:pPr>
            <w:r w:rsidRPr="00F5353D">
              <w:rPr>
                <w:sz w:val="20"/>
                <w:szCs w:val="20"/>
              </w:rPr>
              <w:t>Coef.</w:t>
            </w:r>
          </w:p>
        </w:tc>
        <w:tc>
          <w:tcPr>
            <w:tcW w:w="244" w:type="pct"/>
            <w:tcBorders>
              <w:top w:val="single" w:sz="18" w:space="0" w:color="auto"/>
              <w:bottom w:val="single" w:sz="18" w:space="0" w:color="auto"/>
              <w:right w:val="single" w:sz="18" w:space="0" w:color="auto"/>
            </w:tcBorders>
            <w:tcMar>
              <w:top w:w="8" w:type="dxa"/>
              <w:left w:w="28" w:type="dxa"/>
              <w:bottom w:w="8" w:type="dxa"/>
              <w:right w:w="28" w:type="dxa"/>
            </w:tcMar>
            <w:vAlign w:val="center"/>
          </w:tcPr>
          <w:p w14:paraId="7D6FCADF" w14:textId="77777777" w:rsidR="007A713B" w:rsidRPr="00F5353D" w:rsidRDefault="007A713B" w:rsidP="00D63D95">
            <w:pPr>
              <w:spacing w:line="200" w:lineRule="auto"/>
              <w:rPr>
                <w:sz w:val="20"/>
                <w:szCs w:val="20"/>
              </w:rPr>
            </w:pPr>
            <w:r w:rsidRPr="00F5353D">
              <w:rPr>
                <w:sz w:val="20"/>
                <w:szCs w:val="20"/>
              </w:rPr>
              <w:t>t-stat</w:t>
            </w:r>
          </w:p>
        </w:tc>
        <w:tc>
          <w:tcPr>
            <w:tcW w:w="209" w:type="pct"/>
            <w:tcBorders>
              <w:top w:val="single" w:sz="18" w:space="0" w:color="auto"/>
              <w:left w:val="single" w:sz="18" w:space="0" w:color="auto"/>
              <w:bottom w:val="single" w:sz="18" w:space="0" w:color="auto"/>
              <w:right w:val="dotted" w:sz="4" w:space="0" w:color="auto"/>
            </w:tcBorders>
            <w:tcMar>
              <w:top w:w="8" w:type="dxa"/>
              <w:left w:w="28" w:type="dxa"/>
              <w:bottom w:w="8" w:type="dxa"/>
              <w:right w:w="28" w:type="dxa"/>
            </w:tcMar>
            <w:vAlign w:val="center"/>
          </w:tcPr>
          <w:p w14:paraId="44C6CEB6" w14:textId="77777777" w:rsidR="007A713B" w:rsidRPr="00F5353D" w:rsidRDefault="007A713B" w:rsidP="00D63D95">
            <w:pPr>
              <w:spacing w:line="200" w:lineRule="auto"/>
              <w:rPr>
                <w:sz w:val="20"/>
                <w:szCs w:val="20"/>
              </w:rPr>
            </w:pPr>
            <w:r w:rsidRPr="00F5353D">
              <w:rPr>
                <w:sz w:val="20"/>
                <w:szCs w:val="20"/>
              </w:rPr>
              <w:t>Coef.</w:t>
            </w:r>
          </w:p>
        </w:tc>
        <w:tc>
          <w:tcPr>
            <w:tcW w:w="244" w:type="pct"/>
            <w:tcBorders>
              <w:top w:val="single" w:sz="18" w:space="0" w:color="auto"/>
              <w:left w:val="dotted" w:sz="4" w:space="0" w:color="auto"/>
              <w:bottom w:val="single" w:sz="18" w:space="0" w:color="auto"/>
              <w:right w:val="single" w:sz="18" w:space="0" w:color="auto"/>
            </w:tcBorders>
            <w:tcMar>
              <w:top w:w="8" w:type="dxa"/>
              <w:left w:w="28" w:type="dxa"/>
              <w:bottom w:w="8" w:type="dxa"/>
              <w:right w:w="28" w:type="dxa"/>
            </w:tcMar>
            <w:vAlign w:val="center"/>
          </w:tcPr>
          <w:p w14:paraId="19F50625" w14:textId="77777777" w:rsidR="007A713B" w:rsidRPr="00F5353D" w:rsidRDefault="007A713B" w:rsidP="00D63D95">
            <w:pPr>
              <w:spacing w:line="200" w:lineRule="auto"/>
              <w:rPr>
                <w:sz w:val="20"/>
                <w:szCs w:val="20"/>
              </w:rPr>
            </w:pPr>
            <w:r w:rsidRPr="00F5353D">
              <w:rPr>
                <w:sz w:val="20"/>
                <w:szCs w:val="20"/>
              </w:rPr>
              <w:t>t-stat</w:t>
            </w:r>
          </w:p>
        </w:tc>
        <w:tc>
          <w:tcPr>
            <w:tcW w:w="209" w:type="pct"/>
            <w:tcBorders>
              <w:top w:val="single" w:sz="18" w:space="0" w:color="auto"/>
              <w:left w:val="single" w:sz="18" w:space="0" w:color="auto"/>
              <w:bottom w:val="single" w:sz="18" w:space="0" w:color="auto"/>
            </w:tcBorders>
            <w:tcMar>
              <w:top w:w="8" w:type="dxa"/>
              <w:left w:w="28" w:type="dxa"/>
              <w:bottom w:w="8" w:type="dxa"/>
              <w:right w:w="28" w:type="dxa"/>
            </w:tcMar>
            <w:vAlign w:val="center"/>
          </w:tcPr>
          <w:p w14:paraId="67F96DBD" w14:textId="77777777" w:rsidR="007A713B" w:rsidRPr="00F5353D" w:rsidRDefault="007A713B" w:rsidP="00D63D95">
            <w:pPr>
              <w:spacing w:line="200" w:lineRule="auto"/>
              <w:rPr>
                <w:sz w:val="20"/>
                <w:szCs w:val="20"/>
              </w:rPr>
            </w:pPr>
            <w:r w:rsidRPr="00F5353D">
              <w:rPr>
                <w:sz w:val="20"/>
                <w:szCs w:val="20"/>
              </w:rPr>
              <w:t>Coef.</w:t>
            </w:r>
          </w:p>
        </w:tc>
        <w:tc>
          <w:tcPr>
            <w:tcW w:w="209" w:type="pct"/>
            <w:tcBorders>
              <w:top w:val="single" w:sz="18" w:space="0" w:color="auto"/>
              <w:bottom w:val="single" w:sz="18" w:space="0" w:color="auto"/>
              <w:right w:val="single" w:sz="8" w:space="0" w:color="auto"/>
            </w:tcBorders>
            <w:tcMar>
              <w:top w:w="8" w:type="dxa"/>
              <w:left w:w="28" w:type="dxa"/>
              <w:bottom w:w="8" w:type="dxa"/>
              <w:right w:w="28" w:type="dxa"/>
            </w:tcMar>
            <w:vAlign w:val="center"/>
          </w:tcPr>
          <w:p w14:paraId="66F3E39E" w14:textId="77777777" w:rsidR="007A713B" w:rsidRPr="00F5353D" w:rsidRDefault="007A713B" w:rsidP="00D63D95">
            <w:pPr>
              <w:spacing w:line="200" w:lineRule="auto"/>
              <w:rPr>
                <w:sz w:val="20"/>
                <w:szCs w:val="20"/>
              </w:rPr>
            </w:pPr>
            <w:r w:rsidRPr="00F5353D">
              <w:rPr>
                <w:sz w:val="20"/>
                <w:szCs w:val="20"/>
              </w:rPr>
              <w:t>t-stat</w:t>
            </w:r>
          </w:p>
        </w:tc>
        <w:tc>
          <w:tcPr>
            <w:tcW w:w="209" w:type="pct"/>
            <w:tcBorders>
              <w:top w:val="single" w:sz="18" w:space="0" w:color="auto"/>
              <w:left w:val="single" w:sz="8" w:space="0" w:color="auto"/>
              <w:bottom w:val="single" w:sz="18" w:space="0" w:color="auto"/>
            </w:tcBorders>
            <w:tcMar>
              <w:top w:w="8" w:type="dxa"/>
              <w:left w:w="28" w:type="dxa"/>
              <w:bottom w:w="8" w:type="dxa"/>
              <w:right w:w="28" w:type="dxa"/>
            </w:tcMar>
            <w:vAlign w:val="center"/>
          </w:tcPr>
          <w:p w14:paraId="35701D2F" w14:textId="77777777" w:rsidR="007A713B" w:rsidRPr="00F5353D" w:rsidRDefault="007A713B" w:rsidP="00D63D95">
            <w:pPr>
              <w:spacing w:line="200" w:lineRule="auto"/>
              <w:rPr>
                <w:sz w:val="20"/>
                <w:szCs w:val="20"/>
              </w:rPr>
            </w:pPr>
            <w:r w:rsidRPr="00F5353D">
              <w:rPr>
                <w:sz w:val="20"/>
                <w:szCs w:val="20"/>
              </w:rPr>
              <w:t>Coef.</w:t>
            </w:r>
          </w:p>
        </w:tc>
        <w:tc>
          <w:tcPr>
            <w:tcW w:w="200" w:type="pct"/>
            <w:tcBorders>
              <w:top w:val="single" w:sz="18" w:space="0" w:color="auto"/>
              <w:bottom w:val="single" w:sz="18" w:space="0" w:color="auto"/>
            </w:tcBorders>
            <w:tcMar>
              <w:top w:w="8" w:type="dxa"/>
              <w:left w:w="28" w:type="dxa"/>
              <w:bottom w:w="8" w:type="dxa"/>
              <w:right w:w="28" w:type="dxa"/>
            </w:tcMar>
            <w:vAlign w:val="center"/>
          </w:tcPr>
          <w:p w14:paraId="291C666C" w14:textId="77777777" w:rsidR="007A713B" w:rsidRPr="00F5353D" w:rsidRDefault="007A713B" w:rsidP="00D63D95">
            <w:pPr>
              <w:spacing w:line="200" w:lineRule="auto"/>
              <w:rPr>
                <w:sz w:val="20"/>
                <w:szCs w:val="20"/>
              </w:rPr>
            </w:pPr>
            <w:r w:rsidRPr="00F5353D">
              <w:rPr>
                <w:sz w:val="20"/>
                <w:szCs w:val="20"/>
              </w:rPr>
              <w:t>t-stat</w:t>
            </w:r>
          </w:p>
        </w:tc>
      </w:tr>
      <w:tr w:rsidR="00920D1D" w:rsidRPr="00F5353D" w14:paraId="5B989CEE" w14:textId="77777777" w:rsidTr="00AD79F7">
        <w:trPr>
          <w:cantSplit/>
          <w:trHeight w:val="187"/>
        </w:trPr>
        <w:tc>
          <w:tcPr>
            <w:tcW w:w="408" w:type="pct"/>
            <w:vMerge w:val="restart"/>
            <w:tcBorders>
              <w:top w:val="single" w:sz="8" w:space="0" w:color="auto"/>
              <w:right w:val="single" w:sz="8" w:space="0" w:color="auto"/>
            </w:tcBorders>
            <w:tcMar>
              <w:top w:w="8" w:type="dxa"/>
              <w:left w:w="28" w:type="dxa"/>
              <w:bottom w:w="8" w:type="dxa"/>
              <w:right w:w="28" w:type="dxa"/>
            </w:tcMar>
            <w:vAlign w:val="center"/>
          </w:tcPr>
          <w:p w14:paraId="416F0111" w14:textId="2D1C1263" w:rsidR="00920D1D" w:rsidRPr="00F5353D" w:rsidRDefault="00920D1D" w:rsidP="00920D1D">
            <w:pPr>
              <w:spacing w:line="200" w:lineRule="auto"/>
              <w:rPr>
                <w:b/>
                <w:bCs/>
                <w:i/>
                <w:iCs/>
                <w:sz w:val="20"/>
                <w:szCs w:val="20"/>
              </w:rPr>
            </w:pPr>
            <w:r w:rsidRPr="00F5353D">
              <w:rPr>
                <w:sz w:val="20"/>
                <w:szCs w:val="20"/>
              </w:rPr>
              <w:t>Walkability</w:t>
            </w:r>
          </w:p>
        </w:tc>
        <w:tc>
          <w:tcPr>
            <w:tcW w:w="698" w:type="pct"/>
            <w:vMerge w:val="restart"/>
            <w:tcBorders>
              <w:top w:val="single" w:sz="8" w:space="0" w:color="auto"/>
              <w:left w:val="single" w:sz="8" w:space="0" w:color="auto"/>
              <w:right w:val="single" w:sz="8" w:space="0" w:color="auto"/>
            </w:tcBorders>
            <w:vAlign w:val="center"/>
          </w:tcPr>
          <w:p w14:paraId="5A88C3EA" w14:textId="28FA2A72" w:rsidR="00920D1D" w:rsidRPr="00F5353D" w:rsidRDefault="00920D1D" w:rsidP="00920D1D">
            <w:pPr>
              <w:spacing w:line="200" w:lineRule="auto"/>
              <w:rPr>
                <w:b/>
                <w:bCs/>
                <w:i/>
                <w:iCs/>
                <w:sz w:val="20"/>
                <w:szCs w:val="20"/>
              </w:rPr>
            </w:pPr>
            <w:r w:rsidRPr="00F5353D">
              <w:rPr>
                <w:sz w:val="20"/>
                <w:szCs w:val="20"/>
              </w:rPr>
              <w:t>National Walkability Index (Least walkable, ≤ 5.75)</w:t>
            </w:r>
          </w:p>
        </w:tc>
        <w:tc>
          <w:tcPr>
            <w:tcW w:w="487" w:type="pct"/>
            <w:tcBorders>
              <w:top w:val="single" w:sz="8" w:space="0" w:color="auto"/>
              <w:left w:val="single" w:sz="8" w:space="0" w:color="auto"/>
              <w:bottom w:val="dotted" w:sz="4" w:space="0" w:color="auto"/>
              <w:right w:val="single" w:sz="18" w:space="0" w:color="auto"/>
            </w:tcBorders>
            <w:vAlign w:val="center"/>
          </w:tcPr>
          <w:p w14:paraId="036ED392" w14:textId="011EC12E" w:rsidR="00920D1D" w:rsidRPr="00F5353D" w:rsidRDefault="00920D1D" w:rsidP="00920D1D">
            <w:pPr>
              <w:spacing w:line="200" w:lineRule="auto"/>
              <w:rPr>
                <w:b/>
                <w:bCs/>
                <w:i/>
                <w:iCs/>
                <w:sz w:val="20"/>
                <w:szCs w:val="20"/>
              </w:rPr>
            </w:pPr>
            <w:r w:rsidRPr="00F5353D">
              <w:rPr>
                <w:sz w:val="20"/>
                <w:szCs w:val="20"/>
              </w:rPr>
              <w:t>Below average (5.76-10.50)</w:t>
            </w:r>
          </w:p>
        </w:tc>
        <w:tc>
          <w:tcPr>
            <w:tcW w:w="209" w:type="pct"/>
            <w:tcBorders>
              <w:top w:val="single" w:sz="8" w:space="0" w:color="auto"/>
              <w:left w:val="single" w:sz="18" w:space="0" w:color="auto"/>
              <w:bottom w:val="dotted" w:sz="4" w:space="0" w:color="auto"/>
            </w:tcBorders>
            <w:tcMar>
              <w:top w:w="8" w:type="dxa"/>
              <w:left w:w="28" w:type="dxa"/>
              <w:bottom w:w="8" w:type="dxa"/>
              <w:right w:w="28" w:type="dxa"/>
            </w:tcMar>
            <w:vAlign w:val="center"/>
          </w:tcPr>
          <w:p w14:paraId="4DB73D16" w14:textId="0043856F" w:rsidR="00920D1D" w:rsidRPr="00F5353D" w:rsidRDefault="00920D1D" w:rsidP="00920D1D">
            <w:pPr>
              <w:tabs>
                <w:tab w:val="decimal" w:pos="360"/>
              </w:tabs>
              <w:spacing w:line="200" w:lineRule="auto"/>
              <w:jc w:val="center"/>
              <w:rPr>
                <w:sz w:val="20"/>
                <w:szCs w:val="20"/>
              </w:rPr>
            </w:pPr>
            <w:r w:rsidRPr="00F5353D">
              <w:rPr>
                <w:color w:val="000000"/>
                <w:sz w:val="20"/>
                <w:szCs w:val="20"/>
              </w:rPr>
              <w:t>-0.15</w:t>
            </w:r>
          </w:p>
        </w:tc>
        <w:tc>
          <w:tcPr>
            <w:tcW w:w="210" w:type="pct"/>
            <w:tcBorders>
              <w:top w:val="single" w:sz="8" w:space="0" w:color="auto"/>
              <w:bottom w:val="dotted" w:sz="4" w:space="0" w:color="auto"/>
              <w:right w:val="single" w:sz="18" w:space="0" w:color="auto"/>
            </w:tcBorders>
            <w:tcMar>
              <w:top w:w="8" w:type="dxa"/>
              <w:left w:w="28" w:type="dxa"/>
              <w:bottom w:w="8" w:type="dxa"/>
              <w:right w:w="28" w:type="dxa"/>
            </w:tcMar>
            <w:vAlign w:val="center"/>
          </w:tcPr>
          <w:p w14:paraId="09AF65EA" w14:textId="39629B7D" w:rsidR="00920D1D" w:rsidRPr="00F5353D" w:rsidRDefault="00920D1D" w:rsidP="00920D1D">
            <w:pPr>
              <w:tabs>
                <w:tab w:val="decimal" w:pos="360"/>
              </w:tabs>
              <w:spacing w:line="200" w:lineRule="auto"/>
              <w:jc w:val="center"/>
              <w:rPr>
                <w:sz w:val="20"/>
                <w:szCs w:val="20"/>
              </w:rPr>
            </w:pPr>
            <w:r w:rsidRPr="00F5353D">
              <w:rPr>
                <w:color w:val="000000"/>
                <w:sz w:val="20"/>
                <w:szCs w:val="20"/>
              </w:rPr>
              <w:t>-2.60</w:t>
            </w:r>
          </w:p>
        </w:tc>
        <w:tc>
          <w:tcPr>
            <w:tcW w:w="208" w:type="pct"/>
            <w:tcBorders>
              <w:top w:val="single" w:sz="8" w:space="0" w:color="auto"/>
              <w:left w:val="single" w:sz="18" w:space="0" w:color="auto"/>
              <w:bottom w:val="dotted" w:sz="4" w:space="0" w:color="auto"/>
            </w:tcBorders>
            <w:tcMar>
              <w:top w:w="8" w:type="dxa"/>
              <w:left w:w="28" w:type="dxa"/>
              <w:bottom w:w="8" w:type="dxa"/>
              <w:right w:w="28" w:type="dxa"/>
            </w:tcMar>
            <w:vAlign w:val="center"/>
          </w:tcPr>
          <w:p w14:paraId="28E56B38" w14:textId="2EB2829A" w:rsidR="00920D1D" w:rsidRPr="00F5353D" w:rsidRDefault="00920D1D" w:rsidP="00920D1D">
            <w:pPr>
              <w:tabs>
                <w:tab w:val="decimal" w:pos="360"/>
              </w:tabs>
              <w:spacing w:line="200" w:lineRule="auto"/>
              <w:jc w:val="center"/>
              <w:rPr>
                <w:color w:val="000000"/>
                <w:sz w:val="20"/>
                <w:szCs w:val="20"/>
              </w:rPr>
            </w:pPr>
            <w:r w:rsidRPr="00F5353D">
              <w:rPr>
                <w:sz w:val="20"/>
                <w:szCs w:val="20"/>
              </w:rPr>
              <w:t>—</w:t>
            </w:r>
          </w:p>
        </w:tc>
        <w:tc>
          <w:tcPr>
            <w:tcW w:w="209" w:type="pct"/>
            <w:tcBorders>
              <w:top w:val="single" w:sz="8" w:space="0" w:color="auto"/>
              <w:bottom w:val="dotted" w:sz="4" w:space="0" w:color="auto"/>
              <w:right w:val="single" w:sz="8" w:space="0" w:color="auto"/>
            </w:tcBorders>
            <w:tcMar>
              <w:top w:w="8" w:type="dxa"/>
              <w:left w:w="28" w:type="dxa"/>
              <w:bottom w:w="8" w:type="dxa"/>
              <w:right w:w="28" w:type="dxa"/>
            </w:tcMar>
            <w:vAlign w:val="center"/>
          </w:tcPr>
          <w:p w14:paraId="044F1971" w14:textId="11492AEF" w:rsidR="00920D1D" w:rsidRPr="00F5353D" w:rsidRDefault="00920D1D" w:rsidP="00920D1D">
            <w:pPr>
              <w:tabs>
                <w:tab w:val="decimal" w:pos="360"/>
              </w:tabs>
              <w:spacing w:line="200" w:lineRule="auto"/>
              <w:jc w:val="center"/>
              <w:rPr>
                <w:color w:val="000000"/>
                <w:sz w:val="20"/>
                <w:szCs w:val="20"/>
              </w:rPr>
            </w:pPr>
            <w:r w:rsidRPr="00F5353D">
              <w:rPr>
                <w:sz w:val="20"/>
                <w:szCs w:val="20"/>
              </w:rPr>
              <w:t>—</w:t>
            </w:r>
          </w:p>
        </w:tc>
        <w:tc>
          <w:tcPr>
            <w:tcW w:w="209" w:type="pct"/>
            <w:tcBorders>
              <w:top w:val="single" w:sz="8" w:space="0" w:color="auto"/>
              <w:left w:val="single" w:sz="8" w:space="0" w:color="auto"/>
              <w:bottom w:val="dotted" w:sz="4" w:space="0" w:color="auto"/>
            </w:tcBorders>
            <w:tcMar>
              <w:top w:w="8" w:type="dxa"/>
              <w:left w:w="28" w:type="dxa"/>
              <w:bottom w:w="8" w:type="dxa"/>
              <w:right w:w="28" w:type="dxa"/>
            </w:tcMar>
            <w:vAlign w:val="center"/>
          </w:tcPr>
          <w:p w14:paraId="698FAC36" w14:textId="34D07FC7" w:rsidR="00920D1D" w:rsidRPr="00F5353D" w:rsidRDefault="00920D1D" w:rsidP="00920D1D">
            <w:pPr>
              <w:tabs>
                <w:tab w:val="decimal" w:pos="360"/>
              </w:tabs>
              <w:spacing w:line="200" w:lineRule="auto"/>
              <w:rPr>
                <w:sz w:val="20"/>
                <w:szCs w:val="20"/>
              </w:rPr>
            </w:pPr>
            <w:r w:rsidRPr="00F5353D">
              <w:rPr>
                <w:color w:val="000000"/>
                <w:sz w:val="20"/>
                <w:szCs w:val="20"/>
              </w:rPr>
              <w:t>0.32</w:t>
            </w:r>
          </w:p>
        </w:tc>
        <w:tc>
          <w:tcPr>
            <w:tcW w:w="210" w:type="pct"/>
            <w:tcBorders>
              <w:top w:val="single" w:sz="8" w:space="0" w:color="auto"/>
              <w:bottom w:val="dotted" w:sz="4" w:space="0" w:color="auto"/>
              <w:right w:val="single" w:sz="18" w:space="0" w:color="auto"/>
            </w:tcBorders>
            <w:tcMar>
              <w:top w:w="8" w:type="dxa"/>
              <w:left w:w="28" w:type="dxa"/>
              <w:bottom w:w="8" w:type="dxa"/>
              <w:right w:w="28" w:type="dxa"/>
            </w:tcMar>
            <w:vAlign w:val="center"/>
          </w:tcPr>
          <w:p w14:paraId="47CE7B3E" w14:textId="722D0414" w:rsidR="00920D1D" w:rsidRPr="00F5353D" w:rsidRDefault="00920D1D" w:rsidP="00920D1D">
            <w:pPr>
              <w:tabs>
                <w:tab w:val="decimal" w:pos="360"/>
              </w:tabs>
              <w:spacing w:line="200" w:lineRule="auto"/>
              <w:rPr>
                <w:sz w:val="20"/>
                <w:szCs w:val="20"/>
              </w:rPr>
            </w:pPr>
            <w:r w:rsidRPr="00F5353D">
              <w:rPr>
                <w:color w:val="000000"/>
                <w:sz w:val="20"/>
                <w:szCs w:val="20"/>
              </w:rPr>
              <w:t>1.73</w:t>
            </w:r>
          </w:p>
        </w:tc>
        <w:tc>
          <w:tcPr>
            <w:tcW w:w="209" w:type="pct"/>
            <w:tcBorders>
              <w:top w:val="single" w:sz="8" w:space="0" w:color="auto"/>
              <w:left w:val="single" w:sz="18" w:space="0" w:color="auto"/>
              <w:bottom w:val="dotted" w:sz="4" w:space="0" w:color="auto"/>
            </w:tcBorders>
            <w:tcMar>
              <w:top w:w="8" w:type="dxa"/>
              <w:left w:w="28" w:type="dxa"/>
              <w:bottom w:w="8" w:type="dxa"/>
              <w:right w:w="28" w:type="dxa"/>
            </w:tcMar>
            <w:vAlign w:val="center"/>
          </w:tcPr>
          <w:p w14:paraId="575ADB61" w14:textId="3AC779F0" w:rsidR="00920D1D" w:rsidRPr="00F5353D" w:rsidRDefault="00920D1D" w:rsidP="00920D1D">
            <w:pPr>
              <w:tabs>
                <w:tab w:val="decimal" w:pos="360"/>
              </w:tabs>
              <w:spacing w:line="200" w:lineRule="auto"/>
              <w:jc w:val="center"/>
              <w:rPr>
                <w:color w:val="000000"/>
                <w:sz w:val="20"/>
                <w:szCs w:val="20"/>
              </w:rPr>
            </w:pPr>
            <w:r w:rsidRPr="00F5353D">
              <w:rPr>
                <w:sz w:val="20"/>
                <w:szCs w:val="20"/>
              </w:rPr>
              <w:t>—</w:t>
            </w:r>
          </w:p>
        </w:tc>
        <w:tc>
          <w:tcPr>
            <w:tcW w:w="209" w:type="pct"/>
            <w:tcBorders>
              <w:top w:val="single" w:sz="8" w:space="0" w:color="auto"/>
              <w:bottom w:val="dotted" w:sz="4" w:space="0" w:color="auto"/>
              <w:right w:val="single" w:sz="8" w:space="0" w:color="auto"/>
            </w:tcBorders>
            <w:tcMar>
              <w:top w:w="8" w:type="dxa"/>
              <w:left w:w="28" w:type="dxa"/>
              <w:bottom w:w="8" w:type="dxa"/>
              <w:right w:w="28" w:type="dxa"/>
            </w:tcMar>
            <w:vAlign w:val="center"/>
          </w:tcPr>
          <w:p w14:paraId="539EFA9E" w14:textId="119DB10D" w:rsidR="00920D1D" w:rsidRPr="00F5353D" w:rsidRDefault="00920D1D" w:rsidP="00920D1D">
            <w:pPr>
              <w:tabs>
                <w:tab w:val="decimal" w:pos="360"/>
              </w:tabs>
              <w:spacing w:line="200" w:lineRule="auto"/>
              <w:jc w:val="center"/>
              <w:rPr>
                <w:color w:val="000000"/>
                <w:sz w:val="20"/>
                <w:szCs w:val="20"/>
              </w:rPr>
            </w:pPr>
            <w:r w:rsidRPr="00F5353D">
              <w:rPr>
                <w:sz w:val="20"/>
                <w:szCs w:val="20"/>
              </w:rPr>
              <w:t>—</w:t>
            </w:r>
          </w:p>
        </w:tc>
        <w:tc>
          <w:tcPr>
            <w:tcW w:w="209" w:type="pct"/>
            <w:tcBorders>
              <w:top w:val="single" w:sz="8" w:space="0" w:color="auto"/>
              <w:left w:val="single" w:sz="8" w:space="0" w:color="auto"/>
              <w:bottom w:val="dotted" w:sz="4" w:space="0" w:color="auto"/>
            </w:tcBorders>
            <w:tcMar>
              <w:top w:w="8" w:type="dxa"/>
              <w:left w:w="28" w:type="dxa"/>
              <w:bottom w:w="8" w:type="dxa"/>
              <w:right w:w="28" w:type="dxa"/>
            </w:tcMar>
            <w:vAlign w:val="center"/>
          </w:tcPr>
          <w:p w14:paraId="15016C32" w14:textId="6144D8F6" w:rsidR="00920D1D" w:rsidRPr="00F5353D" w:rsidRDefault="00920D1D" w:rsidP="00920D1D">
            <w:pPr>
              <w:tabs>
                <w:tab w:val="decimal" w:pos="360"/>
              </w:tabs>
              <w:spacing w:line="200" w:lineRule="auto"/>
              <w:jc w:val="center"/>
              <w:rPr>
                <w:sz w:val="20"/>
                <w:szCs w:val="20"/>
              </w:rPr>
            </w:pPr>
            <w:r w:rsidRPr="00F5353D">
              <w:rPr>
                <w:sz w:val="20"/>
                <w:szCs w:val="20"/>
              </w:rPr>
              <w:t>—</w:t>
            </w:r>
          </w:p>
        </w:tc>
        <w:tc>
          <w:tcPr>
            <w:tcW w:w="244" w:type="pct"/>
            <w:tcBorders>
              <w:top w:val="single" w:sz="8" w:space="0" w:color="auto"/>
              <w:bottom w:val="dotted" w:sz="4" w:space="0" w:color="auto"/>
              <w:right w:val="single" w:sz="18" w:space="0" w:color="auto"/>
            </w:tcBorders>
            <w:tcMar>
              <w:top w:w="8" w:type="dxa"/>
              <w:left w:w="28" w:type="dxa"/>
              <w:bottom w:w="8" w:type="dxa"/>
              <w:right w:w="28" w:type="dxa"/>
            </w:tcMar>
            <w:vAlign w:val="center"/>
          </w:tcPr>
          <w:p w14:paraId="72A08A1C" w14:textId="29443C18" w:rsidR="00920D1D" w:rsidRPr="00F5353D" w:rsidRDefault="00920D1D" w:rsidP="00920D1D">
            <w:pPr>
              <w:tabs>
                <w:tab w:val="decimal" w:pos="360"/>
              </w:tabs>
              <w:spacing w:line="200" w:lineRule="auto"/>
              <w:jc w:val="center"/>
              <w:rPr>
                <w:sz w:val="20"/>
                <w:szCs w:val="20"/>
              </w:rPr>
            </w:pPr>
            <w:r w:rsidRPr="00F5353D">
              <w:rPr>
                <w:sz w:val="20"/>
                <w:szCs w:val="20"/>
              </w:rPr>
              <w:t>—</w:t>
            </w:r>
          </w:p>
        </w:tc>
        <w:tc>
          <w:tcPr>
            <w:tcW w:w="209" w:type="pct"/>
            <w:tcBorders>
              <w:top w:val="single" w:sz="8" w:space="0" w:color="auto"/>
              <w:left w:val="single" w:sz="18" w:space="0" w:color="auto"/>
              <w:bottom w:val="dotted" w:sz="4" w:space="0" w:color="auto"/>
            </w:tcBorders>
            <w:tcMar>
              <w:top w:w="8" w:type="dxa"/>
              <w:left w:w="28" w:type="dxa"/>
              <w:bottom w:w="8" w:type="dxa"/>
              <w:right w:w="28" w:type="dxa"/>
            </w:tcMar>
            <w:vAlign w:val="center"/>
          </w:tcPr>
          <w:p w14:paraId="13DF4D1C" w14:textId="05587284" w:rsidR="00920D1D" w:rsidRPr="00F5353D" w:rsidRDefault="00920D1D" w:rsidP="00920D1D">
            <w:pPr>
              <w:tabs>
                <w:tab w:val="decimal" w:pos="360"/>
              </w:tabs>
              <w:spacing w:line="200" w:lineRule="auto"/>
              <w:jc w:val="center"/>
              <w:rPr>
                <w:color w:val="000000"/>
                <w:sz w:val="20"/>
                <w:szCs w:val="20"/>
              </w:rPr>
            </w:pPr>
            <w:r w:rsidRPr="00F5353D">
              <w:rPr>
                <w:sz w:val="20"/>
                <w:szCs w:val="20"/>
              </w:rPr>
              <w:t>—</w:t>
            </w:r>
          </w:p>
        </w:tc>
        <w:tc>
          <w:tcPr>
            <w:tcW w:w="244" w:type="pct"/>
            <w:tcBorders>
              <w:top w:val="single" w:sz="8" w:space="0" w:color="auto"/>
              <w:bottom w:val="dotted" w:sz="4" w:space="0" w:color="auto"/>
              <w:right w:val="single" w:sz="18" w:space="0" w:color="auto"/>
            </w:tcBorders>
            <w:tcMar>
              <w:top w:w="8" w:type="dxa"/>
              <w:left w:w="28" w:type="dxa"/>
              <w:bottom w:w="8" w:type="dxa"/>
              <w:right w:w="28" w:type="dxa"/>
            </w:tcMar>
            <w:vAlign w:val="center"/>
          </w:tcPr>
          <w:p w14:paraId="789DE53D" w14:textId="2D2DDF70" w:rsidR="00920D1D" w:rsidRPr="00F5353D" w:rsidRDefault="00920D1D" w:rsidP="00920D1D">
            <w:pPr>
              <w:tabs>
                <w:tab w:val="decimal" w:pos="360"/>
              </w:tabs>
              <w:spacing w:line="200" w:lineRule="auto"/>
              <w:jc w:val="center"/>
              <w:rPr>
                <w:color w:val="000000"/>
                <w:sz w:val="20"/>
                <w:szCs w:val="20"/>
              </w:rPr>
            </w:pPr>
            <w:r w:rsidRPr="00F5353D">
              <w:rPr>
                <w:sz w:val="20"/>
                <w:szCs w:val="20"/>
              </w:rPr>
              <w:t>—</w:t>
            </w:r>
          </w:p>
        </w:tc>
        <w:tc>
          <w:tcPr>
            <w:tcW w:w="209" w:type="pct"/>
            <w:tcBorders>
              <w:top w:val="single" w:sz="8" w:space="0" w:color="auto"/>
              <w:left w:val="single" w:sz="18" w:space="0" w:color="auto"/>
              <w:bottom w:val="dotted" w:sz="4" w:space="0" w:color="auto"/>
            </w:tcBorders>
            <w:tcMar>
              <w:top w:w="8" w:type="dxa"/>
              <w:left w:w="28" w:type="dxa"/>
              <w:bottom w:w="8" w:type="dxa"/>
              <w:right w:w="28" w:type="dxa"/>
            </w:tcMar>
            <w:vAlign w:val="center"/>
          </w:tcPr>
          <w:p w14:paraId="5C704C98" w14:textId="4D219687" w:rsidR="00920D1D" w:rsidRPr="00F5353D" w:rsidRDefault="00920D1D" w:rsidP="00920D1D">
            <w:pPr>
              <w:tabs>
                <w:tab w:val="decimal" w:pos="360"/>
              </w:tabs>
              <w:spacing w:line="200" w:lineRule="auto"/>
              <w:jc w:val="center"/>
              <w:rPr>
                <w:sz w:val="20"/>
                <w:szCs w:val="20"/>
              </w:rPr>
            </w:pPr>
            <w:r w:rsidRPr="00F5353D">
              <w:rPr>
                <w:sz w:val="20"/>
                <w:szCs w:val="20"/>
              </w:rPr>
              <w:t>—</w:t>
            </w:r>
          </w:p>
        </w:tc>
        <w:tc>
          <w:tcPr>
            <w:tcW w:w="209" w:type="pct"/>
            <w:tcBorders>
              <w:top w:val="single" w:sz="8" w:space="0" w:color="auto"/>
              <w:bottom w:val="dotted" w:sz="4" w:space="0" w:color="auto"/>
              <w:right w:val="single" w:sz="8" w:space="0" w:color="auto"/>
            </w:tcBorders>
            <w:tcMar>
              <w:top w:w="8" w:type="dxa"/>
              <w:left w:w="28" w:type="dxa"/>
              <w:bottom w:w="8" w:type="dxa"/>
              <w:right w:w="28" w:type="dxa"/>
            </w:tcMar>
            <w:vAlign w:val="center"/>
          </w:tcPr>
          <w:p w14:paraId="5B3751BD" w14:textId="1C9891FC" w:rsidR="00920D1D" w:rsidRPr="00F5353D" w:rsidRDefault="00920D1D" w:rsidP="00920D1D">
            <w:pPr>
              <w:tabs>
                <w:tab w:val="decimal" w:pos="360"/>
              </w:tabs>
              <w:spacing w:line="200" w:lineRule="auto"/>
              <w:jc w:val="center"/>
              <w:rPr>
                <w:sz w:val="20"/>
                <w:szCs w:val="20"/>
              </w:rPr>
            </w:pPr>
            <w:r w:rsidRPr="00F5353D">
              <w:rPr>
                <w:sz w:val="20"/>
                <w:szCs w:val="20"/>
              </w:rPr>
              <w:t>—</w:t>
            </w:r>
          </w:p>
        </w:tc>
        <w:tc>
          <w:tcPr>
            <w:tcW w:w="209" w:type="pct"/>
            <w:tcBorders>
              <w:top w:val="single" w:sz="8" w:space="0" w:color="auto"/>
              <w:left w:val="single" w:sz="8" w:space="0" w:color="auto"/>
              <w:bottom w:val="dotted" w:sz="4" w:space="0" w:color="auto"/>
            </w:tcBorders>
            <w:tcMar>
              <w:top w:w="8" w:type="dxa"/>
              <w:left w:w="28" w:type="dxa"/>
              <w:bottom w:w="8" w:type="dxa"/>
              <w:right w:w="28" w:type="dxa"/>
            </w:tcMar>
            <w:vAlign w:val="center"/>
          </w:tcPr>
          <w:p w14:paraId="7447966D" w14:textId="37F8D6AC" w:rsidR="00920D1D" w:rsidRPr="00F5353D" w:rsidRDefault="00920D1D" w:rsidP="00920D1D">
            <w:pPr>
              <w:tabs>
                <w:tab w:val="decimal" w:pos="360"/>
              </w:tabs>
              <w:spacing w:line="200" w:lineRule="auto"/>
              <w:jc w:val="center"/>
              <w:rPr>
                <w:sz w:val="20"/>
                <w:szCs w:val="20"/>
              </w:rPr>
            </w:pPr>
            <w:r w:rsidRPr="00F5353D">
              <w:rPr>
                <w:sz w:val="20"/>
                <w:szCs w:val="20"/>
              </w:rPr>
              <w:t>—</w:t>
            </w:r>
          </w:p>
        </w:tc>
        <w:tc>
          <w:tcPr>
            <w:tcW w:w="200" w:type="pct"/>
            <w:tcBorders>
              <w:top w:val="single" w:sz="8" w:space="0" w:color="auto"/>
              <w:bottom w:val="dotted" w:sz="4" w:space="0" w:color="auto"/>
            </w:tcBorders>
            <w:tcMar>
              <w:top w:w="8" w:type="dxa"/>
              <w:left w:w="28" w:type="dxa"/>
              <w:bottom w:w="8" w:type="dxa"/>
              <w:right w:w="28" w:type="dxa"/>
            </w:tcMar>
            <w:vAlign w:val="center"/>
          </w:tcPr>
          <w:p w14:paraId="7962BA79" w14:textId="605066B7" w:rsidR="00920D1D" w:rsidRPr="00F5353D" w:rsidRDefault="00920D1D" w:rsidP="00920D1D">
            <w:pPr>
              <w:tabs>
                <w:tab w:val="decimal" w:pos="360"/>
              </w:tabs>
              <w:spacing w:line="200" w:lineRule="auto"/>
              <w:jc w:val="center"/>
              <w:rPr>
                <w:sz w:val="20"/>
                <w:szCs w:val="20"/>
              </w:rPr>
            </w:pPr>
            <w:r w:rsidRPr="00F5353D">
              <w:rPr>
                <w:sz w:val="20"/>
                <w:szCs w:val="20"/>
              </w:rPr>
              <w:t>—</w:t>
            </w:r>
          </w:p>
        </w:tc>
      </w:tr>
      <w:tr w:rsidR="00920D1D" w:rsidRPr="00F5353D" w14:paraId="76F55A11" w14:textId="77777777" w:rsidTr="00AD79F7">
        <w:trPr>
          <w:cantSplit/>
          <w:trHeight w:val="187"/>
        </w:trPr>
        <w:tc>
          <w:tcPr>
            <w:tcW w:w="408" w:type="pct"/>
            <w:vMerge/>
            <w:tcBorders>
              <w:right w:val="single" w:sz="8" w:space="0" w:color="auto"/>
            </w:tcBorders>
            <w:tcMar>
              <w:top w:w="8" w:type="dxa"/>
              <w:left w:w="28" w:type="dxa"/>
              <w:bottom w:w="8" w:type="dxa"/>
              <w:right w:w="28" w:type="dxa"/>
            </w:tcMar>
            <w:vAlign w:val="center"/>
          </w:tcPr>
          <w:p w14:paraId="1F9407F7" w14:textId="77777777" w:rsidR="00920D1D" w:rsidRPr="00F5353D" w:rsidRDefault="00920D1D" w:rsidP="00920D1D">
            <w:pPr>
              <w:spacing w:line="200" w:lineRule="auto"/>
              <w:rPr>
                <w:b/>
                <w:bCs/>
                <w:i/>
                <w:iCs/>
                <w:sz w:val="20"/>
                <w:szCs w:val="20"/>
              </w:rPr>
            </w:pPr>
          </w:p>
        </w:tc>
        <w:tc>
          <w:tcPr>
            <w:tcW w:w="698" w:type="pct"/>
            <w:vMerge/>
            <w:tcBorders>
              <w:left w:val="single" w:sz="8" w:space="0" w:color="auto"/>
              <w:right w:val="single" w:sz="8" w:space="0" w:color="auto"/>
            </w:tcBorders>
            <w:vAlign w:val="center"/>
          </w:tcPr>
          <w:p w14:paraId="0D02492E" w14:textId="77777777" w:rsidR="00920D1D" w:rsidRPr="00F5353D" w:rsidRDefault="00920D1D" w:rsidP="00920D1D">
            <w:pPr>
              <w:spacing w:line="200" w:lineRule="auto"/>
              <w:rPr>
                <w:b/>
                <w:bCs/>
                <w:i/>
                <w:iCs/>
                <w:sz w:val="20"/>
                <w:szCs w:val="20"/>
              </w:rPr>
            </w:pPr>
          </w:p>
        </w:tc>
        <w:tc>
          <w:tcPr>
            <w:tcW w:w="487" w:type="pct"/>
            <w:tcBorders>
              <w:top w:val="dotted" w:sz="4" w:space="0" w:color="auto"/>
              <w:left w:val="single" w:sz="8" w:space="0" w:color="auto"/>
              <w:bottom w:val="dotted" w:sz="4" w:space="0" w:color="auto"/>
              <w:right w:val="single" w:sz="18" w:space="0" w:color="auto"/>
            </w:tcBorders>
            <w:vAlign w:val="center"/>
          </w:tcPr>
          <w:p w14:paraId="2BBE10E6" w14:textId="03B0BD06" w:rsidR="00920D1D" w:rsidRPr="00F5353D" w:rsidRDefault="00920D1D" w:rsidP="00920D1D">
            <w:pPr>
              <w:spacing w:line="200" w:lineRule="auto"/>
              <w:rPr>
                <w:b/>
                <w:bCs/>
                <w:i/>
                <w:iCs/>
                <w:sz w:val="20"/>
                <w:szCs w:val="20"/>
              </w:rPr>
            </w:pPr>
            <w:r w:rsidRPr="00F5353D">
              <w:rPr>
                <w:sz w:val="20"/>
                <w:szCs w:val="20"/>
              </w:rPr>
              <w:t>Above average (10.51</w:t>
            </w:r>
            <w:r w:rsidR="00061D5C" w:rsidRPr="00F5353D">
              <w:rPr>
                <w:sz w:val="20"/>
                <w:szCs w:val="20"/>
              </w:rPr>
              <w:t>-</w:t>
            </w:r>
            <w:r w:rsidRPr="00F5353D">
              <w:rPr>
                <w:sz w:val="20"/>
                <w:szCs w:val="20"/>
              </w:rPr>
              <w:t>15.25)</w:t>
            </w:r>
          </w:p>
        </w:tc>
        <w:tc>
          <w:tcPr>
            <w:tcW w:w="209" w:type="pct"/>
            <w:tcBorders>
              <w:top w:val="dotted" w:sz="4" w:space="0" w:color="auto"/>
              <w:left w:val="single" w:sz="18" w:space="0" w:color="auto"/>
              <w:bottom w:val="dotted" w:sz="4" w:space="0" w:color="auto"/>
            </w:tcBorders>
            <w:tcMar>
              <w:top w:w="8" w:type="dxa"/>
              <w:left w:w="28" w:type="dxa"/>
              <w:bottom w:w="8" w:type="dxa"/>
              <w:right w:w="28" w:type="dxa"/>
            </w:tcMar>
            <w:vAlign w:val="center"/>
          </w:tcPr>
          <w:p w14:paraId="359B2152" w14:textId="2E863E28" w:rsidR="00920D1D" w:rsidRPr="00F5353D" w:rsidRDefault="00920D1D" w:rsidP="00920D1D">
            <w:pPr>
              <w:tabs>
                <w:tab w:val="decimal" w:pos="360"/>
              </w:tabs>
              <w:spacing w:line="200" w:lineRule="auto"/>
              <w:jc w:val="center"/>
              <w:rPr>
                <w:sz w:val="20"/>
                <w:szCs w:val="20"/>
              </w:rPr>
            </w:pPr>
            <w:r w:rsidRPr="00F5353D">
              <w:rPr>
                <w:color w:val="000000"/>
                <w:sz w:val="20"/>
                <w:szCs w:val="20"/>
              </w:rPr>
              <w:t>-0.29</w:t>
            </w:r>
          </w:p>
        </w:tc>
        <w:tc>
          <w:tcPr>
            <w:tcW w:w="210" w:type="pct"/>
            <w:tcBorders>
              <w:top w:val="dotted" w:sz="4" w:space="0" w:color="auto"/>
              <w:bottom w:val="dotted" w:sz="4" w:space="0" w:color="auto"/>
              <w:right w:val="single" w:sz="18" w:space="0" w:color="auto"/>
            </w:tcBorders>
            <w:tcMar>
              <w:top w:w="8" w:type="dxa"/>
              <w:left w:w="28" w:type="dxa"/>
              <w:bottom w:w="8" w:type="dxa"/>
              <w:right w:w="28" w:type="dxa"/>
            </w:tcMar>
            <w:vAlign w:val="center"/>
          </w:tcPr>
          <w:p w14:paraId="1B5A117F" w14:textId="6F0B5959" w:rsidR="00920D1D" w:rsidRPr="00F5353D" w:rsidRDefault="00920D1D" w:rsidP="00920D1D">
            <w:pPr>
              <w:tabs>
                <w:tab w:val="decimal" w:pos="360"/>
              </w:tabs>
              <w:spacing w:line="200" w:lineRule="auto"/>
              <w:jc w:val="center"/>
              <w:rPr>
                <w:sz w:val="20"/>
                <w:szCs w:val="20"/>
              </w:rPr>
            </w:pPr>
            <w:r w:rsidRPr="00F5353D">
              <w:rPr>
                <w:color w:val="000000"/>
                <w:sz w:val="20"/>
                <w:szCs w:val="20"/>
              </w:rPr>
              <w:t>-3.96</w:t>
            </w:r>
          </w:p>
        </w:tc>
        <w:tc>
          <w:tcPr>
            <w:tcW w:w="208" w:type="pct"/>
            <w:tcBorders>
              <w:top w:val="dotted" w:sz="4" w:space="0" w:color="auto"/>
              <w:left w:val="single" w:sz="18" w:space="0" w:color="auto"/>
              <w:bottom w:val="dotted" w:sz="4" w:space="0" w:color="auto"/>
            </w:tcBorders>
            <w:tcMar>
              <w:top w:w="8" w:type="dxa"/>
              <w:left w:w="28" w:type="dxa"/>
              <w:bottom w:w="8" w:type="dxa"/>
              <w:right w:w="28" w:type="dxa"/>
            </w:tcMar>
            <w:vAlign w:val="center"/>
          </w:tcPr>
          <w:p w14:paraId="695DEC48" w14:textId="216F9CDA" w:rsidR="00920D1D" w:rsidRPr="00F5353D" w:rsidRDefault="00920D1D" w:rsidP="00920D1D">
            <w:pPr>
              <w:tabs>
                <w:tab w:val="decimal" w:pos="360"/>
              </w:tabs>
              <w:spacing w:line="200" w:lineRule="auto"/>
              <w:jc w:val="center"/>
              <w:rPr>
                <w:color w:val="000000"/>
                <w:sz w:val="20"/>
                <w:szCs w:val="20"/>
              </w:rPr>
            </w:pPr>
            <w:r w:rsidRPr="00F5353D">
              <w:rPr>
                <w:color w:val="000000"/>
                <w:sz w:val="20"/>
                <w:szCs w:val="20"/>
              </w:rPr>
              <w:t>-0.14</w:t>
            </w:r>
          </w:p>
        </w:tc>
        <w:tc>
          <w:tcPr>
            <w:tcW w:w="209" w:type="pct"/>
            <w:tcBorders>
              <w:top w:val="dotted" w:sz="4" w:space="0" w:color="auto"/>
              <w:bottom w:val="dotted" w:sz="4" w:space="0" w:color="auto"/>
              <w:right w:val="single" w:sz="8" w:space="0" w:color="auto"/>
            </w:tcBorders>
            <w:tcMar>
              <w:top w:w="8" w:type="dxa"/>
              <w:left w:w="28" w:type="dxa"/>
              <w:bottom w:w="8" w:type="dxa"/>
              <w:right w:w="28" w:type="dxa"/>
            </w:tcMar>
            <w:vAlign w:val="center"/>
          </w:tcPr>
          <w:p w14:paraId="533E7A5F" w14:textId="51E111DD" w:rsidR="00920D1D" w:rsidRPr="00F5353D" w:rsidRDefault="00920D1D" w:rsidP="00920D1D">
            <w:pPr>
              <w:tabs>
                <w:tab w:val="decimal" w:pos="360"/>
              </w:tabs>
              <w:spacing w:line="200" w:lineRule="auto"/>
              <w:jc w:val="center"/>
              <w:rPr>
                <w:color w:val="000000"/>
                <w:sz w:val="20"/>
                <w:szCs w:val="20"/>
              </w:rPr>
            </w:pPr>
            <w:r w:rsidRPr="00F5353D">
              <w:rPr>
                <w:color w:val="000000"/>
                <w:sz w:val="20"/>
                <w:szCs w:val="20"/>
              </w:rPr>
              <w:t>-1.28</w:t>
            </w:r>
          </w:p>
        </w:tc>
        <w:tc>
          <w:tcPr>
            <w:tcW w:w="209" w:type="pct"/>
            <w:tcBorders>
              <w:top w:val="dotted" w:sz="4" w:space="0" w:color="auto"/>
              <w:left w:val="single" w:sz="8" w:space="0" w:color="auto"/>
              <w:bottom w:val="dotted" w:sz="4" w:space="0" w:color="auto"/>
            </w:tcBorders>
            <w:tcMar>
              <w:top w:w="8" w:type="dxa"/>
              <w:left w:w="28" w:type="dxa"/>
              <w:bottom w:w="8" w:type="dxa"/>
              <w:right w:w="28" w:type="dxa"/>
            </w:tcMar>
            <w:vAlign w:val="center"/>
          </w:tcPr>
          <w:p w14:paraId="1EE95DCA" w14:textId="29CD3A1B" w:rsidR="00920D1D" w:rsidRPr="00F5353D" w:rsidRDefault="00920D1D" w:rsidP="00920D1D">
            <w:pPr>
              <w:tabs>
                <w:tab w:val="decimal" w:pos="360"/>
              </w:tabs>
              <w:spacing w:line="200" w:lineRule="auto"/>
              <w:rPr>
                <w:sz w:val="20"/>
                <w:szCs w:val="20"/>
              </w:rPr>
            </w:pPr>
            <w:r w:rsidRPr="00F5353D">
              <w:rPr>
                <w:color w:val="000000"/>
                <w:sz w:val="20"/>
                <w:szCs w:val="20"/>
              </w:rPr>
              <w:t>0.32</w:t>
            </w:r>
          </w:p>
        </w:tc>
        <w:tc>
          <w:tcPr>
            <w:tcW w:w="210" w:type="pct"/>
            <w:tcBorders>
              <w:top w:val="dotted" w:sz="4" w:space="0" w:color="auto"/>
              <w:bottom w:val="dotted" w:sz="4" w:space="0" w:color="auto"/>
              <w:right w:val="single" w:sz="18" w:space="0" w:color="auto"/>
            </w:tcBorders>
            <w:tcMar>
              <w:top w:w="8" w:type="dxa"/>
              <w:left w:w="28" w:type="dxa"/>
              <w:bottom w:w="8" w:type="dxa"/>
              <w:right w:w="28" w:type="dxa"/>
            </w:tcMar>
            <w:vAlign w:val="center"/>
          </w:tcPr>
          <w:p w14:paraId="79BFC899" w14:textId="0B922BA1" w:rsidR="00920D1D" w:rsidRPr="00F5353D" w:rsidRDefault="00920D1D" w:rsidP="00920D1D">
            <w:pPr>
              <w:tabs>
                <w:tab w:val="decimal" w:pos="360"/>
              </w:tabs>
              <w:spacing w:line="200" w:lineRule="auto"/>
              <w:rPr>
                <w:sz w:val="20"/>
                <w:szCs w:val="20"/>
              </w:rPr>
            </w:pPr>
            <w:r w:rsidRPr="00F5353D">
              <w:rPr>
                <w:color w:val="000000"/>
                <w:sz w:val="20"/>
                <w:szCs w:val="20"/>
              </w:rPr>
              <w:t>1.73</w:t>
            </w:r>
          </w:p>
        </w:tc>
        <w:tc>
          <w:tcPr>
            <w:tcW w:w="209" w:type="pct"/>
            <w:tcBorders>
              <w:top w:val="dotted" w:sz="4" w:space="0" w:color="auto"/>
              <w:left w:val="single" w:sz="18" w:space="0" w:color="auto"/>
              <w:bottom w:val="dotted" w:sz="4" w:space="0" w:color="auto"/>
            </w:tcBorders>
            <w:tcMar>
              <w:top w:w="8" w:type="dxa"/>
              <w:left w:w="28" w:type="dxa"/>
              <w:bottom w:w="8" w:type="dxa"/>
              <w:right w:w="28" w:type="dxa"/>
            </w:tcMar>
            <w:vAlign w:val="center"/>
          </w:tcPr>
          <w:p w14:paraId="4D7F9AF4" w14:textId="699DF06D" w:rsidR="00920D1D" w:rsidRPr="00F5353D" w:rsidRDefault="00920D1D" w:rsidP="00920D1D">
            <w:pPr>
              <w:tabs>
                <w:tab w:val="decimal" w:pos="360"/>
              </w:tabs>
              <w:spacing w:line="200" w:lineRule="auto"/>
              <w:jc w:val="center"/>
              <w:rPr>
                <w:color w:val="000000"/>
                <w:sz w:val="20"/>
                <w:szCs w:val="20"/>
              </w:rPr>
            </w:pPr>
            <w:r w:rsidRPr="00F5353D">
              <w:rPr>
                <w:sz w:val="20"/>
                <w:szCs w:val="20"/>
              </w:rPr>
              <w:t>—</w:t>
            </w:r>
          </w:p>
        </w:tc>
        <w:tc>
          <w:tcPr>
            <w:tcW w:w="209" w:type="pct"/>
            <w:tcBorders>
              <w:top w:val="dotted" w:sz="4" w:space="0" w:color="auto"/>
              <w:bottom w:val="dotted" w:sz="4" w:space="0" w:color="auto"/>
              <w:right w:val="single" w:sz="8" w:space="0" w:color="auto"/>
            </w:tcBorders>
            <w:tcMar>
              <w:top w:w="8" w:type="dxa"/>
              <w:left w:w="28" w:type="dxa"/>
              <w:bottom w:w="8" w:type="dxa"/>
              <w:right w:w="28" w:type="dxa"/>
            </w:tcMar>
            <w:vAlign w:val="center"/>
          </w:tcPr>
          <w:p w14:paraId="336868C5" w14:textId="6B1D61FB" w:rsidR="00920D1D" w:rsidRPr="00F5353D" w:rsidRDefault="00920D1D" w:rsidP="00920D1D">
            <w:pPr>
              <w:tabs>
                <w:tab w:val="decimal" w:pos="360"/>
              </w:tabs>
              <w:spacing w:line="200" w:lineRule="auto"/>
              <w:jc w:val="center"/>
              <w:rPr>
                <w:color w:val="000000"/>
                <w:sz w:val="20"/>
                <w:szCs w:val="20"/>
              </w:rPr>
            </w:pPr>
            <w:r w:rsidRPr="00F5353D">
              <w:rPr>
                <w:sz w:val="20"/>
                <w:szCs w:val="20"/>
              </w:rPr>
              <w:t>—</w:t>
            </w:r>
          </w:p>
        </w:tc>
        <w:tc>
          <w:tcPr>
            <w:tcW w:w="209" w:type="pct"/>
            <w:tcBorders>
              <w:top w:val="dotted" w:sz="4" w:space="0" w:color="auto"/>
              <w:left w:val="single" w:sz="8" w:space="0" w:color="auto"/>
              <w:bottom w:val="dotted" w:sz="4" w:space="0" w:color="auto"/>
            </w:tcBorders>
            <w:tcMar>
              <w:top w:w="8" w:type="dxa"/>
              <w:left w:w="28" w:type="dxa"/>
              <w:bottom w:w="8" w:type="dxa"/>
              <w:right w:w="28" w:type="dxa"/>
            </w:tcMar>
            <w:vAlign w:val="center"/>
          </w:tcPr>
          <w:p w14:paraId="47881725" w14:textId="39C23FAF" w:rsidR="00920D1D" w:rsidRPr="00F5353D" w:rsidRDefault="00920D1D" w:rsidP="00920D1D">
            <w:pPr>
              <w:tabs>
                <w:tab w:val="decimal" w:pos="360"/>
              </w:tabs>
              <w:spacing w:line="200" w:lineRule="auto"/>
              <w:jc w:val="center"/>
              <w:rPr>
                <w:sz w:val="20"/>
                <w:szCs w:val="20"/>
              </w:rPr>
            </w:pPr>
            <w:r w:rsidRPr="00F5353D">
              <w:rPr>
                <w:sz w:val="20"/>
                <w:szCs w:val="20"/>
              </w:rPr>
              <w:t>—</w:t>
            </w:r>
          </w:p>
        </w:tc>
        <w:tc>
          <w:tcPr>
            <w:tcW w:w="244" w:type="pct"/>
            <w:tcBorders>
              <w:top w:val="dotted" w:sz="4" w:space="0" w:color="auto"/>
              <w:bottom w:val="dotted" w:sz="4" w:space="0" w:color="auto"/>
              <w:right w:val="single" w:sz="18" w:space="0" w:color="auto"/>
            </w:tcBorders>
            <w:tcMar>
              <w:top w:w="8" w:type="dxa"/>
              <w:left w:w="28" w:type="dxa"/>
              <w:bottom w:w="8" w:type="dxa"/>
              <w:right w:w="28" w:type="dxa"/>
            </w:tcMar>
            <w:vAlign w:val="center"/>
          </w:tcPr>
          <w:p w14:paraId="4AECCE84" w14:textId="6C11E3AE" w:rsidR="00920D1D" w:rsidRPr="00F5353D" w:rsidRDefault="00920D1D" w:rsidP="00920D1D">
            <w:pPr>
              <w:tabs>
                <w:tab w:val="decimal" w:pos="360"/>
              </w:tabs>
              <w:spacing w:line="200" w:lineRule="auto"/>
              <w:jc w:val="center"/>
              <w:rPr>
                <w:sz w:val="20"/>
                <w:szCs w:val="20"/>
              </w:rPr>
            </w:pPr>
            <w:r w:rsidRPr="00F5353D">
              <w:rPr>
                <w:sz w:val="20"/>
                <w:szCs w:val="20"/>
              </w:rPr>
              <w:t>—</w:t>
            </w:r>
          </w:p>
        </w:tc>
        <w:tc>
          <w:tcPr>
            <w:tcW w:w="209" w:type="pct"/>
            <w:tcBorders>
              <w:top w:val="dotted" w:sz="4" w:space="0" w:color="auto"/>
              <w:left w:val="single" w:sz="18" w:space="0" w:color="auto"/>
              <w:bottom w:val="dotted" w:sz="4" w:space="0" w:color="auto"/>
            </w:tcBorders>
            <w:tcMar>
              <w:top w:w="8" w:type="dxa"/>
              <w:left w:w="28" w:type="dxa"/>
              <w:bottom w:w="8" w:type="dxa"/>
              <w:right w:w="28" w:type="dxa"/>
            </w:tcMar>
            <w:vAlign w:val="center"/>
          </w:tcPr>
          <w:p w14:paraId="79BB8341" w14:textId="53E188FA" w:rsidR="00920D1D" w:rsidRPr="00F5353D" w:rsidRDefault="00920D1D" w:rsidP="00920D1D">
            <w:pPr>
              <w:tabs>
                <w:tab w:val="decimal" w:pos="360"/>
              </w:tabs>
              <w:spacing w:line="200" w:lineRule="auto"/>
              <w:jc w:val="center"/>
              <w:rPr>
                <w:color w:val="000000"/>
                <w:sz w:val="20"/>
                <w:szCs w:val="20"/>
              </w:rPr>
            </w:pPr>
            <w:r w:rsidRPr="00F5353D">
              <w:rPr>
                <w:sz w:val="20"/>
                <w:szCs w:val="20"/>
              </w:rPr>
              <w:t>—</w:t>
            </w:r>
          </w:p>
        </w:tc>
        <w:tc>
          <w:tcPr>
            <w:tcW w:w="244" w:type="pct"/>
            <w:tcBorders>
              <w:top w:val="dotted" w:sz="4" w:space="0" w:color="auto"/>
              <w:bottom w:val="dotted" w:sz="4" w:space="0" w:color="auto"/>
              <w:right w:val="single" w:sz="18" w:space="0" w:color="auto"/>
            </w:tcBorders>
            <w:tcMar>
              <w:top w:w="8" w:type="dxa"/>
              <w:left w:w="28" w:type="dxa"/>
              <w:bottom w:w="8" w:type="dxa"/>
              <w:right w:w="28" w:type="dxa"/>
            </w:tcMar>
            <w:vAlign w:val="center"/>
          </w:tcPr>
          <w:p w14:paraId="29A744A2" w14:textId="0E50CEFE" w:rsidR="00920D1D" w:rsidRPr="00F5353D" w:rsidRDefault="00920D1D" w:rsidP="00920D1D">
            <w:pPr>
              <w:tabs>
                <w:tab w:val="decimal" w:pos="360"/>
              </w:tabs>
              <w:spacing w:line="200" w:lineRule="auto"/>
              <w:jc w:val="center"/>
              <w:rPr>
                <w:color w:val="000000"/>
                <w:sz w:val="20"/>
                <w:szCs w:val="20"/>
              </w:rPr>
            </w:pPr>
            <w:r w:rsidRPr="00F5353D">
              <w:rPr>
                <w:sz w:val="20"/>
                <w:szCs w:val="20"/>
              </w:rPr>
              <w:t>—</w:t>
            </w:r>
          </w:p>
        </w:tc>
        <w:tc>
          <w:tcPr>
            <w:tcW w:w="209" w:type="pct"/>
            <w:tcBorders>
              <w:top w:val="dotted" w:sz="4" w:space="0" w:color="auto"/>
              <w:left w:val="single" w:sz="18" w:space="0" w:color="auto"/>
              <w:bottom w:val="dotted" w:sz="4" w:space="0" w:color="auto"/>
            </w:tcBorders>
            <w:tcMar>
              <w:top w:w="8" w:type="dxa"/>
              <w:left w:w="28" w:type="dxa"/>
              <w:bottom w:w="8" w:type="dxa"/>
              <w:right w:w="28" w:type="dxa"/>
            </w:tcMar>
            <w:vAlign w:val="center"/>
          </w:tcPr>
          <w:p w14:paraId="1100C39C" w14:textId="24253B54" w:rsidR="00920D1D" w:rsidRPr="00F5353D" w:rsidRDefault="00920D1D" w:rsidP="00920D1D">
            <w:pPr>
              <w:tabs>
                <w:tab w:val="decimal" w:pos="360"/>
              </w:tabs>
              <w:spacing w:line="200" w:lineRule="auto"/>
              <w:jc w:val="center"/>
              <w:rPr>
                <w:sz w:val="20"/>
                <w:szCs w:val="20"/>
              </w:rPr>
            </w:pPr>
            <w:r w:rsidRPr="00F5353D">
              <w:rPr>
                <w:sz w:val="20"/>
                <w:szCs w:val="20"/>
              </w:rPr>
              <w:t>—</w:t>
            </w:r>
          </w:p>
        </w:tc>
        <w:tc>
          <w:tcPr>
            <w:tcW w:w="209" w:type="pct"/>
            <w:tcBorders>
              <w:top w:val="dotted" w:sz="4" w:space="0" w:color="auto"/>
              <w:bottom w:val="dotted" w:sz="4" w:space="0" w:color="auto"/>
              <w:right w:val="single" w:sz="8" w:space="0" w:color="auto"/>
            </w:tcBorders>
            <w:tcMar>
              <w:top w:w="8" w:type="dxa"/>
              <w:left w:w="28" w:type="dxa"/>
              <w:bottom w:w="8" w:type="dxa"/>
              <w:right w:w="28" w:type="dxa"/>
            </w:tcMar>
            <w:vAlign w:val="center"/>
          </w:tcPr>
          <w:p w14:paraId="655CF975" w14:textId="4361C3A2" w:rsidR="00920D1D" w:rsidRPr="00F5353D" w:rsidRDefault="00920D1D" w:rsidP="00920D1D">
            <w:pPr>
              <w:tabs>
                <w:tab w:val="decimal" w:pos="360"/>
              </w:tabs>
              <w:spacing w:line="200" w:lineRule="auto"/>
              <w:jc w:val="center"/>
              <w:rPr>
                <w:sz w:val="20"/>
                <w:szCs w:val="20"/>
              </w:rPr>
            </w:pPr>
            <w:r w:rsidRPr="00F5353D">
              <w:rPr>
                <w:sz w:val="20"/>
                <w:szCs w:val="20"/>
              </w:rPr>
              <w:t>—</w:t>
            </w:r>
          </w:p>
        </w:tc>
        <w:tc>
          <w:tcPr>
            <w:tcW w:w="209" w:type="pct"/>
            <w:tcBorders>
              <w:top w:val="dotted" w:sz="4" w:space="0" w:color="auto"/>
              <w:left w:val="single" w:sz="8" w:space="0" w:color="auto"/>
              <w:bottom w:val="dotted" w:sz="4" w:space="0" w:color="auto"/>
            </w:tcBorders>
            <w:tcMar>
              <w:top w:w="8" w:type="dxa"/>
              <w:left w:w="28" w:type="dxa"/>
              <w:bottom w:w="8" w:type="dxa"/>
              <w:right w:w="28" w:type="dxa"/>
            </w:tcMar>
            <w:vAlign w:val="center"/>
          </w:tcPr>
          <w:p w14:paraId="3ADAE9C7" w14:textId="584AE46D" w:rsidR="00920D1D" w:rsidRPr="00F5353D" w:rsidRDefault="00920D1D" w:rsidP="00920D1D">
            <w:pPr>
              <w:tabs>
                <w:tab w:val="decimal" w:pos="360"/>
              </w:tabs>
              <w:spacing w:line="200" w:lineRule="auto"/>
              <w:jc w:val="center"/>
              <w:rPr>
                <w:sz w:val="20"/>
                <w:szCs w:val="20"/>
              </w:rPr>
            </w:pPr>
            <w:r w:rsidRPr="00F5353D">
              <w:rPr>
                <w:color w:val="000000"/>
                <w:sz w:val="20"/>
                <w:szCs w:val="20"/>
              </w:rPr>
              <w:t>-0.21</w:t>
            </w:r>
          </w:p>
        </w:tc>
        <w:tc>
          <w:tcPr>
            <w:tcW w:w="200" w:type="pct"/>
            <w:tcBorders>
              <w:top w:val="dotted" w:sz="4" w:space="0" w:color="auto"/>
              <w:bottom w:val="dotted" w:sz="4" w:space="0" w:color="auto"/>
            </w:tcBorders>
            <w:tcMar>
              <w:top w:w="8" w:type="dxa"/>
              <w:left w:w="28" w:type="dxa"/>
              <w:bottom w:w="8" w:type="dxa"/>
              <w:right w:w="28" w:type="dxa"/>
            </w:tcMar>
            <w:vAlign w:val="center"/>
          </w:tcPr>
          <w:p w14:paraId="7B473CD3" w14:textId="4C29FC8B" w:rsidR="00920D1D" w:rsidRPr="00F5353D" w:rsidRDefault="00920D1D" w:rsidP="00920D1D">
            <w:pPr>
              <w:tabs>
                <w:tab w:val="decimal" w:pos="360"/>
              </w:tabs>
              <w:spacing w:line="200" w:lineRule="auto"/>
              <w:jc w:val="center"/>
              <w:rPr>
                <w:sz w:val="20"/>
                <w:szCs w:val="20"/>
              </w:rPr>
            </w:pPr>
            <w:r w:rsidRPr="00F5353D">
              <w:rPr>
                <w:color w:val="000000"/>
                <w:sz w:val="20"/>
                <w:szCs w:val="20"/>
              </w:rPr>
              <w:t>-2.18</w:t>
            </w:r>
          </w:p>
        </w:tc>
      </w:tr>
      <w:tr w:rsidR="00920D1D" w:rsidRPr="00F5353D" w14:paraId="49D23087" w14:textId="77777777" w:rsidTr="00AD79F7">
        <w:trPr>
          <w:cantSplit/>
          <w:trHeight w:val="187"/>
        </w:trPr>
        <w:tc>
          <w:tcPr>
            <w:tcW w:w="408" w:type="pct"/>
            <w:vMerge/>
            <w:tcBorders>
              <w:bottom w:val="single" w:sz="18" w:space="0" w:color="auto"/>
              <w:right w:val="single" w:sz="8" w:space="0" w:color="auto"/>
            </w:tcBorders>
            <w:tcMar>
              <w:top w:w="8" w:type="dxa"/>
              <w:left w:w="28" w:type="dxa"/>
              <w:bottom w:w="8" w:type="dxa"/>
              <w:right w:w="28" w:type="dxa"/>
            </w:tcMar>
            <w:vAlign w:val="center"/>
          </w:tcPr>
          <w:p w14:paraId="1EEE5FDA" w14:textId="77777777" w:rsidR="00920D1D" w:rsidRPr="00F5353D" w:rsidRDefault="00920D1D" w:rsidP="00920D1D">
            <w:pPr>
              <w:spacing w:line="200" w:lineRule="auto"/>
              <w:rPr>
                <w:b/>
                <w:bCs/>
                <w:i/>
                <w:iCs/>
                <w:sz w:val="20"/>
                <w:szCs w:val="20"/>
              </w:rPr>
            </w:pPr>
          </w:p>
        </w:tc>
        <w:tc>
          <w:tcPr>
            <w:tcW w:w="698" w:type="pct"/>
            <w:vMerge/>
            <w:tcBorders>
              <w:left w:val="single" w:sz="8" w:space="0" w:color="auto"/>
              <w:bottom w:val="single" w:sz="18" w:space="0" w:color="auto"/>
              <w:right w:val="single" w:sz="8" w:space="0" w:color="auto"/>
            </w:tcBorders>
            <w:vAlign w:val="center"/>
          </w:tcPr>
          <w:p w14:paraId="39DFE02C" w14:textId="77777777" w:rsidR="00920D1D" w:rsidRPr="00F5353D" w:rsidRDefault="00920D1D" w:rsidP="00920D1D">
            <w:pPr>
              <w:spacing w:line="200" w:lineRule="auto"/>
              <w:rPr>
                <w:b/>
                <w:bCs/>
                <w:i/>
                <w:iCs/>
                <w:sz w:val="20"/>
                <w:szCs w:val="20"/>
              </w:rPr>
            </w:pPr>
          </w:p>
        </w:tc>
        <w:tc>
          <w:tcPr>
            <w:tcW w:w="487" w:type="pct"/>
            <w:tcBorders>
              <w:top w:val="dotted" w:sz="4" w:space="0" w:color="auto"/>
              <w:left w:val="single" w:sz="8" w:space="0" w:color="auto"/>
              <w:bottom w:val="single" w:sz="18" w:space="0" w:color="auto"/>
              <w:right w:val="single" w:sz="18" w:space="0" w:color="auto"/>
            </w:tcBorders>
            <w:vAlign w:val="center"/>
          </w:tcPr>
          <w:p w14:paraId="5CA7D7BE" w14:textId="6E6D63B8" w:rsidR="00920D1D" w:rsidRPr="00F5353D" w:rsidRDefault="00920D1D" w:rsidP="00920D1D">
            <w:pPr>
              <w:spacing w:line="200" w:lineRule="auto"/>
              <w:rPr>
                <w:b/>
                <w:bCs/>
                <w:i/>
                <w:iCs/>
                <w:sz w:val="20"/>
                <w:szCs w:val="20"/>
              </w:rPr>
            </w:pPr>
            <w:r w:rsidRPr="00F5353D">
              <w:rPr>
                <w:sz w:val="20"/>
                <w:szCs w:val="20"/>
              </w:rPr>
              <w:t>Most walkable (&gt; 15.25)</w:t>
            </w:r>
          </w:p>
        </w:tc>
        <w:tc>
          <w:tcPr>
            <w:tcW w:w="209" w:type="pct"/>
            <w:tcBorders>
              <w:top w:val="dotted" w:sz="4" w:space="0" w:color="auto"/>
              <w:left w:val="single" w:sz="18" w:space="0" w:color="auto"/>
              <w:bottom w:val="single" w:sz="18" w:space="0" w:color="auto"/>
            </w:tcBorders>
            <w:tcMar>
              <w:top w:w="8" w:type="dxa"/>
              <w:left w:w="28" w:type="dxa"/>
              <w:bottom w:w="8" w:type="dxa"/>
              <w:right w:w="28" w:type="dxa"/>
            </w:tcMar>
            <w:vAlign w:val="center"/>
          </w:tcPr>
          <w:p w14:paraId="2E0C731C" w14:textId="01CA3D43" w:rsidR="00920D1D" w:rsidRPr="00F5353D" w:rsidRDefault="00920D1D" w:rsidP="00920D1D">
            <w:pPr>
              <w:tabs>
                <w:tab w:val="decimal" w:pos="360"/>
              </w:tabs>
              <w:spacing w:line="200" w:lineRule="auto"/>
              <w:jc w:val="center"/>
              <w:rPr>
                <w:sz w:val="20"/>
                <w:szCs w:val="20"/>
              </w:rPr>
            </w:pPr>
            <w:r w:rsidRPr="00F5353D">
              <w:rPr>
                <w:color w:val="000000"/>
                <w:sz w:val="20"/>
                <w:szCs w:val="20"/>
              </w:rPr>
              <w:t>-0.39</w:t>
            </w:r>
          </w:p>
        </w:tc>
        <w:tc>
          <w:tcPr>
            <w:tcW w:w="210" w:type="pct"/>
            <w:tcBorders>
              <w:top w:val="dotted" w:sz="4" w:space="0" w:color="auto"/>
              <w:bottom w:val="single" w:sz="18" w:space="0" w:color="auto"/>
              <w:right w:val="single" w:sz="18" w:space="0" w:color="auto"/>
            </w:tcBorders>
            <w:tcMar>
              <w:top w:w="8" w:type="dxa"/>
              <w:left w:w="28" w:type="dxa"/>
              <w:bottom w:w="8" w:type="dxa"/>
              <w:right w:w="28" w:type="dxa"/>
            </w:tcMar>
            <w:vAlign w:val="center"/>
          </w:tcPr>
          <w:p w14:paraId="2EA8BFE8" w14:textId="469CE1DF" w:rsidR="00920D1D" w:rsidRPr="00F5353D" w:rsidRDefault="00920D1D" w:rsidP="00920D1D">
            <w:pPr>
              <w:tabs>
                <w:tab w:val="decimal" w:pos="360"/>
              </w:tabs>
              <w:spacing w:line="200" w:lineRule="auto"/>
              <w:jc w:val="center"/>
              <w:rPr>
                <w:sz w:val="20"/>
                <w:szCs w:val="20"/>
              </w:rPr>
            </w:pPr>
            <w:r w:rsidRPr="00F5353D">
              <w:rPr>
                <w:color w:val="000000"/>
                <w:sz w:val="20"/>
                <w:szCs w:val="20"/>
              </w:rPr>
              <w:t>-2.62</w:t>
            </w:r>
          </w:p>
        </w:tc>
        <w:tc>
          <w:tcPr>
            <w:tcW w:w="208" w:type="pct"/>
            <w:tcBorders>
              <w:top w:val="dotted" w:sz="4" w:space="0" w:color="auto"/>
              <w:left w:val="single" w:sz="18" w:space="0" w:color="auto"/>
              <w:bottom w:val="single" w:sz="18" w:space="0" w:color="auto"/>
            </w:tcBorders>
            <w:tcMar>
              <w:top w:w="8" w:type="dxa"/>
              <w:left w:w="28" w:type="dxa"/>
              <w:bottom w:w="8" w:type="dxa"/>
              <w:right w:w="28" w:type="dxa"/>
            </w:tcMar>
            <w:vAlign w:val="center"/>
          </w:tcPr>
          <w:p w14:paraId="1AD6ECBE" w14:textId="0B91FA24" w:rsidR="00920D1D" w:rsidRPr="00F5353D" w:rsidRDefault="00920D1D" w:rsidP="00920D1D">
            <w:pPr>
              <w:tabs>
                <w:tab w:val="decimal" w:pos="360"/>
              </w:tabs>
              <w:spacing w:line="200" w:lineRule="auto"/>
              <w:jc w:val="center"/>
              <w:rPr>
                <w:color w:val="000000"/>
                <w:sz w:val="20"/>
                <w:szCs w:val="20"/>
              </w:rPr>
            </w:pPr>
            <w:r w:rsidRPr="00F5353D">
              <w:rPr>
                <w:color w:val="000000"/>
                <w:sz w:val="20"/>
                <w:szCs w:val="20"/>
              </w:rPr>
              <w:t>-0.14</w:t>
            </w:r>
          </w:p>
        </w:tc>
        <w:tc>
          <w:tcPr>
            <w:tcW w:w="209" w:type="pct"/>
            <w:tcBorders>
              <w:top w:val="dotted" w:sz="4" w:space="0" w:color="auto"/>
              <w:bottom w:val="single" w:sz="18" w:space="0" w:color="auto"/>
              <w:right w:val="single" w:sz="8" w:space="0" w:color="auto"/>
            </w:tcBorders>
            <w:tcMar>
              <w:top w:w="8" w:type="dxa"/>
              <w:left w:w="28" w:type="dxa"/>
              <w:bottom w:w="8" w:type="dxa"/>
              <w:right w:w="28" w:type="dxa"/>
            </w:tcMar>
            <w:vAlign w:val="center"/>
          </w:tcPr>
          <w:p w14:paraId="4244F71C" w14:textId="7A35DE30" w:rsidR="00920D1D" w:rsidRPr="00F5353D" w:rsidRDefault="00920D1D" w:rsidP="00920D1D">
            <w:pPr>
              <w:tabs>
                <w:tab w:val="decimal" w:pos="360"/>
              </w:tabs>
              <w:spacing w:line="200" w:lineRule="auto"/>
              <w:jc w:val="center"/>
              <w:rPr>
                <w:color w:val="000000"/>
                <w:sz w:val="20"/>
                <w:szCs w:val="20"/>
              </w:rPr>
            </w:pPr>
            <w:r w:rsidRPr="00F5353D">
              <w:rPr>
                <w:color w:val="000000"/>
                <w:sz w:val="20"/>
                <w:szCs w:val="20"/>
              </w:rPr>
              <w:t>-1.28</w:t>
            </w:r>
          </w:p>
        </w:tc>
        <w:tc>
          <w:tcPr>
            <w:tcW w:w="209" w:type="pct"/>
            <w:tcBorders>
              <w:top w:val="dotted" w:sz="4" w:space="0" w:color="auto"/>
              <w:left w:val="single" w:sz="8" w:space="0" w:color="auto"/>
              <w:bottom w:val="single" w:sz="18" w:space="0" w:color="auto"/>
            </w:tcBorders>
            <w:tcMar>
              <w:top w:w="8" w:type="dxa"/>
              <w:left w:w="28" w:type="dxa"/>
              <w:bottom w:w="8" w:type="dxa"/>
              <w:right w:w="28" w:type="dxa"/>
            </w:tcMar>
            <w:vAlign w:val="center"/>
          </w:tcPr>
          <w:p w14:paraId="6AC8CEF3" w14:textId="05F981CA" w:rsidR="00920D1D" w:rsidRPr="00F5353D" w:rsidRDefault="00920D1D" w:rsidP="00920D1D">
            <w:pPr>
              <w:tabs>
                <w:tab w:val="decimal" w:pos="360"/>
              </w:tabs>
              <w:spacing w:line="200" w:lineRule="auto"/>
              <w:rPr>
                <w:sz w:val="20"/>
                <w:szCs w:val="20"/>
              </w:rPr>
            </w:pPr>
            <w:r w:rsidRPr="00F5353D">
              <w:rPr>
                <w:color w:val="000000"/>
                <w:sz w:val="20"/>
                <w:szCs w:val="20"/>
              </w:rPr>
              <w:t>0.32</w:t>
            </w:r>
          </w:p>
        </w:tc>
        <w:tc>
          <w:tcPr>
            <w:tcW w:w="210" w:type="pct"/>
            <w:tcBorders>
              <w:top w:val="dotted" w:sz="4" w:space="0" w:color="auto"/>
              <w:bottom w:val="single" w:sz="18" w:space="0" w:color="auto"/>
              <w:right w:val="single" w:sz="18" w:space="0" w:color="auto"/>
            </w:tcBorders>
            <w:tcMar>
              <w:top w:w="8" w:type="dxa"/>
              <w:left w:w="28" w:type="dxa"/>
              <w:bottom w:w="8" w:type="dxa"/>
              <w:right w:w="28" w:type="dxa"/>
            </w:tcMar>
            <w:vAlign w:val="center"/>
          </w:tcPr>
          <w:p w14:paraId="34B8420E" w14:textId="00F93C5C" w:rsidR="00920D1D" w:rsidRPr="00F5353D" w:rsidRDefault="00920D1D" w:rsidP="00920D1D">
            <w:pPr>
              <w:tabs>
                <w:tab w:val="decimal" w:pos="360"/>
              </w:tabs>
              <w:spacing w:line="200" w:lineRule="auto"/>
              <w:rPr>
                <w:sz w:val="20"/>
                <w:szCs w:val="20"/>
              </w:rPr>
            </w:pPr>
            <w:r w:rsidRPr="00F5353D">
              <w:rPr>
                <w:color w:val="000000"/>
                <w:sz w:val="20"/>
                <w:szCs w:val="20"/>
              </w:rPr>
              <w:t>1.73</w:t>
            </w:r>
          </w:p>
        </w:tc>
        <w:tc>
          <w:tcPr>
            <w:tcW w:w="209" w:type="pct"/>
            <w:tcBorders>
              <w:top w:val="dotted" w:sz="4" w:space="0" w:color="auto"/>
              <w:left w:val="single" w:sz="18" w:space="0" w:color="auto"/>
              <w:bottom w:val="single" w:sz="18" w:space="0" w:color="auto"/>
            </w:tcBorders>
            <w:tcMar>
              <w:top w:w="8" w:type="dxa"/>
              <w:left w:w="28" w:type="dxa"/>
              <w:bottom w:w="8" w:type="dxa"/>
              <w:right w:w="28" w:type="dxa"/>
            </w:tcMar>
            <w:vAlign w:val="center"/>
          </w:tcPr>
          <w:p w14:paraId="1BCADDA4" w14:textId="7645DB55" w:rsidR="00920D1D" w:rsidRPr="00F5353D" w:rsidRDefault="00920D1D" w:rsidP="00920D1D">
            <w:pPr>
              <w:tabs>
                <w:tab w:val="decimal" w:pos="360"/>
              </w:tabs>
              <w:spacing w:line="200" w:lineRule="auto"/>
              <w:jc w:val="center"/>
              <w:rPr>
                <w:color w:val="000000"/>
                <w:sz w:val="20"/>
                <w:szCs w:val="20"/>
              </w:rPr>
            </w:pPr>
            <w:r w:rsidRPr="00F5353D">
              <w:rPr>
                <w:sz w:val="20"/>
                <w:szCs w:val="20"/>
              </w:rPr>
              <w:t>—</w:t>
            </w:r>
          </w:p>
        </w:tc>
        <w:tc>
          <w:tcPr>
            <w:tcW w:w="209" w:type="pct"/>
            <w:tcBorders>
              <w:top w:val="dotted" w:sz="4" w:space="0" w:color="auto"/>
              <w:bottom w:val="single" w:sz="18" w:space="0" w:color="auto"/>
              <w:right w:val="single" w:sz="8" w:space="0" w:color="auto"/>
            </w:tcBorders>
            <w:tcMar>
              <w:top w:w="8" w:type="dxa"/>
              <w:left w:w="28" w:type="dxa"/>
              <w:bottom w:w="8" w:type="dxa"/>
              <w:right w:w="28" w:type="dxa"/>
            </w:tcMar>
            <w:vAlign w:val="center"/>
          </w:tcPr>
          <w:p w14:paraId="50A5AC27" w14:textId="70FC3932" w:rsidR="00920D1D" w:rsidRPr="00F5353D" w:rsidRDefault="00920D1D" w:rsidP="00920D1D">
            <w:pPr>
              <w:tabs>
                <w:tab w:val="decimal" w:pos="360"/>
              </w:tabs>
              <w:spacing w:line="200" w:lineRule="auto"/>
              <w:jc w:val="center"/>
              <w:rPr>
                <w:color w:val="000000"/>
                <w:sz w:val="20"/>
                <w:szCs w:val="20"/>
              </w:rPr>
            </w:pPr>
            <w:r w:rsidRPr="00F5353D">
              <w:rPr>
                <w:sz w:val="20"/>
                <w:szCs w:val="20"/>
              </w:rPr>
              <w:t>—</w:t>
            </w:r>
          </w:p>
        </w:tc>
        <w:tc>
          <w:tcPr>
            <w:tcW w:w="209" w:type="pct"/>
            <w:tcBorders>
              <w:top w:val="dotted" w:sz="4" w:space="0" w:color="auto"/>
              <w:left w:val="single" w:sz="8" w:space="0" w:color="auto"/>
              <w:bottom w:val="single" w:sz="18" w:space="0" w:color="auto"/>
            </w:tcBorders>
            <w:tcMar>
              <w:top w:w="8" w:type="dxa"/>
              <w:left w:w="28" w:type="dxa"/>
              <w:bottom w:w="8" w:type="dxa"/>
              <w:right w:w="28" w:type="dxa"/>
            </w:tcMar>
            <w:vAlign w:val="center"/>
          </w:tcPr>
          <w:p w14:paraId="7ECA2A42" w14:textId="3356EEDD" w:rsidR="00920D1D" w:rsidRPr="00F5353D" w:rsidRDefault="00920D1D" w:rsidP="00920D1D">
            <w:pPr>
              <w:tabs>
                <w:tab w:val="decimal" w:pos="360"/>
              </w:tabs>
              <w:spacing w:line="200" w:lineRule="auto"/>
              <w:jc w:val="center"/>
              <w:rPr>
                <w:sz w:val="20"/>
                <w:szCs w:val="20"/>
              </w:rPr>
            </w:pPr>
            <w:r w:rsidRPr="00F5353D">
              <w:rPr>
                <w:color w:val="000000"/>
                <w:sz w:val="20"/>
                <w:szCs w:val="20"/>
              </w:rPr>
              <w:t>0.55</w:t>
            </w:r>
          </w:p>
        </w:tc>
        <w:tc>
          <w:tcPr>
            <w:tcW w:w="244" w:type="pct"/>
            <w:tcBorders>
              <w:top w:val="dotted" w:sz="4" w:space="0" w:color="auto"/>
              <w:bottom w:val="single" w:sz="18" w:space="0" w:color="auto"/>
              <w:right w:val="single" w:sz="18" w:space="0" w:color="auto"/>
            </w:tcBorders>
            <w:tcMar>
              <w:top w:w="8" w:type="dxa"/>
              <w:left w:w="28" w:type="dxa"/>
              <w:bottom w:w="8" w:type="dxa"/>
              <w:right w:w="28" w:type="dxa"/>
            </w:tcMar>
            <w:vAlign w:val="center"/>
          </w:tcPr>
          <w:p w14:paraId="2CC41ADE" w14:textId="29166882" w:rsidR="00920D1D" w:rsidRPr="00F5353D" w:rsidRDefault="00920D1D" w:rsidP="00920D1D">
            <w:pPr>
              <w:tabs>
                <w:tab w:val="decimal" w:pos="360"/>
              </w:tabs>
              <w:spacing w:line="200" w:lineRule="auto"/>
              <w:jc w:val="center"/>
              <w:rPr>
                <w:sz w:val="20"/>
                <w:szCs w:val="20"/>
              </w:rPr>
            </w:pPr>
            <w:r w:rsidRPr="00F5353D">
              <w:rPr>
                <w:color w:val="000000"/>
                <w:sz w:val="20"/>
                <w:szCs w:val="20"/>
              </w:rPr>
              <w:t>2.36</w:t>
            </w:r>
          </w:p>
        </w:tc>
        <w:tc>
          <w:tcPr>
            <w:tcW w:w="209" w:type="pct"/>
            <w:tcBorders>
              <w:top w:val="dotted" w:sz="4" w:space="0" w:color="auto"/>
              <w:left w:val="single" w:sz="18" w:space="0" w:color="auto"/>
              <w:bottom w:val="single" w:sz="18" w:space="0" w:color="auto"/>
            </w:tcBorders>
            <w:tcMar>
              <w:top w:w="8" w:type="dxa"/>
              <w:left w:w="28" w:type="dxa"/>
              <w:bottom w:w="8" w:type="dxa"/>
              <w:right w:w="28" w:type="dxa"/>
            </w:tcMar>
            <w:vAlign w:val="center"/>
          </w:tcPr>
          <w:p w14:paraId="7A4777E8" w14:textId="2616EF40" w:rsidR="00920D1D" w:rsidRPr="00F5353D" w:rsidRDefault="00920D1D" w:rsidP="00920D1D">
            <w:pPr>
              <w:tabs>
                <w:tab w:val="decimal" w:pos="360"/>
              </w:tabs>
              <w:spacing w:line="200" w:lineRule="auto"/>
              <w:jc w:val="center"/>
              <w:rPr>
                <w:color w:val="000000"/>
                <w:sz w:val="20"/>
                <w:szCs w:val="20"/>
              </w:rPr>
            </w:pPr>
            <w:r w:rsidRPr="00F5353D">
              <w:rPr>
                <w:sz w:val="20"/>
                <w:szCs w:val="20"/>
              </w:rPr>
              <w:t>—</w:t>
            </w:r>
          </w:p>
        </w:tc>
        <w:tc>
          <w:tcPr>
            <w:tcW w:w="244" w:type="pct"/>
            <w:tcBorders>
              <w:top w:val="dotted" w:sz="4" w:space="0" w:color="auto"/>
              <w:bottom w:val="single" w:sz="18" w:space="0" w:color="auto"/>
              <w:right w:val="single" w:sz="18" w:space="0" w:color="auto"/>
            </w:tcBorders>
            <w:tcMar>
              <w:top w:w="8" w:type="dxa"/>
              <w:left w:w="28" w:type="dxa"/>
              <w:bottom w:w="8" w:type="dxa"/>
              <w:right w:w="28" w:type="dxa"/>
            </w:tcMar>
            <w:vAlign w:val="center"/>
          </w:tcPr>
          <w:p w14:paraId="22D00781" w14:textId="58E52704" w:rsidR="00920D1D" w:rsidRPr="00F5353D" w:rsidRDefault="00920D1D" w:rsidP="00920D1D">
            <w:pPr>
              <w:tabs>
                <w:tab w:val="decimal" w:pos="360"/>
              </w:tabs>
              <w:spacing w:line="200" w:lineRule="auto"/>
              <w:jc w:val="center"/>
              <w:rPr>
                <w:color w:val="000000"/>
                <w:sz w:val="20"/>
                <w:szCs w:val="20"/>
              </w:rPr>
            </w:pPr>
            <w:r w:rsidRPr="00F5353D">
              <w:rPr>
                <w:sz w:val="20"/>
                <w:szCs w:val="20"/>
              </w:rPr>
              <w:t>—</w:t>
            </w:r>
          </w:p>
        </w:tc>
        <w:tc>
          <w:tcPr>
            <w:tcW w:w="209" w:type="pct"/>
            <w:tcBorders>
              <w:top w:val="dotted" w:sz="4" w:space="0" w:color="auto"/>
              <w:left w:val="single" w:sz="18" w:space="0" w:color="auto"/>
              <w:bottom w:val="single" w:sz="18" w:space="0" w:color="auto"/>
            </w:tcBorders>
            <w:tcMar>
              <w:top w:w="8" w:type="dxa"/>
              <w:left w:w="28" w:type="dxa"/>
              <w:bottom w:w="8" w:type="dxa"/>
              <w:right w:w="28" w:type="dxa"/>
            </w:tcMar>
            <w:vAlign w:val="center"/>
          </w:tcPr>
          <w:p w14:paraId="21BC9C08" w14:textId="6A16AA34" w:rsidR="00920D1D" w:rsidRPr="00F5353D" w:rsidRDefault="00920D1D" w:rsidP="00920D1D">
            <w:pPr>
              <w:tabs>
                <w:tab w:val="decimal" w:pos="360"/>
              </w:tabs>
              <w:spacing w:line="200" w:lineRule="auto"/>
              <w:jc w:val="center"/>
              <w:rPr>
                <w:sz w:val="20"/>
                <w:szCs w:val="20"/>
              </w:rPr>
            </w:pPr>
            <w:r w:rsidRPr="00F5353D">
              <w:rPr>
                <w:sz w:val="20"/>
                <w:szCs w:val="20"/>
              </w:rPr>
              <w:t>—</w:t>
            </w:r>
          </w:p>
        </w:tc>
        <w:tc>
          <w:tcPr>
            <w:tcW w:w="209" w:type="pct"/>
            <w:tcBorders>
              <w:top w:val="dotted" w:sz="4" w:space="0" w:color="auto"/>
              <w:bottom w:val="single" w:sz="18" w:space="0" w:color="auto"/>
              <w:right w:val="single" w:sz="8" w:space="0" w:color="auto"/>
            </w:tcBorders>
            <w:tcMar>
              <w:top w:w="8" w:type="dxa"/>
              <w:left w:w="28" w:type="dxa"/>
              <w:bottom w:w="8" w:type="dxa"/>
              <w:right w:w="28" w:type="dxa"/>
            </w:tcMar>
            <w:vAlign w:val="center"/>
          </w:tcPr>
          <w:p w14:paraId="5BBAB346" w14:textId="028C805C" w:rsidR="00920D1D" w:rsidRPr="00F5353D" w:rsidRDefault="00920D1D" w:rsidP="00920D1D">
            <w:pPr>
              <w:tabs>
                <w:tab w:val="decimal" w:pos="360"/>
              </w:tabs>
              <w:spacing w:line="200" w:lineRule="auto"/>
              <w:jc w:val="center"/>
              <w:rPr>
                <w:sz w:val="20"/>
                <w:szCs w:val="20"/>
              </w:rPr>
            </w:pPr>
            <w:r w:rsidRPr="00F5353D">
              <w:rPr>
                <w:sz w:val="20"/>
                <w:szCs w:val="20"/>
              </w:rPr>
              <w:t>—</w:t>
            </w:r>
          </w:p>
        </w:tc>
        <w:tc>
          <w:tcPr>
            <w:tcW w:w="209" w:type="pct"/>
            <w:tcBorders>
              <w:top w:val="dotted" w:sz="4" w:space="0" w:color="auto"/>
              <w:left w:val="single" w:sz="8" w:space="0" w:color="auto"/>
              <w:bottom w:val="single" w:sz="18" w:space="0" w:color="auto"/>
            </w:tcBorders>
            <w:tcMar>
              <w:top w:w="8" w:type="dxa"/>
              <w:left w:w="28" w:type="dxa"/>
              <w:bottom w:w="8" w:type="dxa"/>
              <w:right w:w="28" w:type="dxa"/>
            </w:tcMar>
            <w:vAlign w:val="center"/>
          </w:tcPr>
          <w:p w14:paraId="247C7280" w14:textId="5BB3FCFF" w:rsidR="00920D1D" w:rsidRPr="00F5353D" w:rsidRDefault="00920D1D" w:rsidP="00920D1D">
            <w:pPr>
              <w:tabs>
                <w:tab w:val="decimal" w:pos="360"/>
              </w:tabs>
              <w:spacing w:line="200" w:lineRule="auto"/>
              <w:jc w:val="center"/>
              <w:rPr>
                <w:sz w:val="20"/>
                <w:szCs w:val="20"/>
              </w:rPr>
            </w:pPr>
            <w:r w:rsidRPr="00F5353D">
              <w:rPr>
                <w:color w:val="000000"/>
                <w:sz w:val="20"/>
                <w:szCs w:val="20"/>
              </w:rPr>
              <w:t>-0.21</w:t>
            </w:r>
          </w:p>
        </w:tc>
        <w:tc>
          <w:tcPr>
            <w:tcW w:w="200" w:type="pct"/>
            <w:tcBorders>
              <w:top w:val="dotted" w:sz="4" w:space="0" w:color="auto"/>
            </w:tcBorders>
            <w:tcMar>
              <w:top w:w="8" w:type="dxa"/>
              <w:left w:w="28" w:type="dxa"/>
              <w:bottom w:w="8" w:type="dxa"/>
              <w:right w:w="28" w:type="dxa"/>
            </w:tcMar>
            <w:vAlign w:val="center"/>
          </w:tcPr>
          <w:p w14:paraId="55416BD2" w14:textId="22FD9E34" w:rsidR="00920D1D" w:rsidRPr="00F5353D" w:rsidRDefault="00920D1D" w:rsidP="00920D1D">
            <w:pPr>
              <w:tabs>
                <w:tab w:val="decimal" w:pos="360"/>
              </w:tabs>
              <w:spacing w:line="200" w:lineRule="auto"/>
              <w:jc w:val="center"/>
              <w:rPr>
                <w:sz w:val="20"/>
                <w:szCs w:val="20"/>
              </w:rPr>
            </w:pPr>
            <w:r w:rsidRPr="00F5353D">
              <w:rPr>
                <w:color w:val="000000"/>
                <w:sz w:val="20"/>
                <w:szCs w:val="20"/>
              </w:rPr>
              <w:t>-2.18</w:t>
            </w:r>
          </w:p>
        </w:tc>
      </w:tr>
      <w:tr w:rsidR="00DD7F73" w:rsidRPr="00F5353D" w14:paraId="5A8F72D1" w14:textId="77777777" w:rsidTr="00DD7F73">
        <w:trPr>
          <w:cantSplit/>
          <w:trHeight w:val="187"/>
        </w:trPr>
        <w:tc>
          <w:tcPr>
            <w:tcW w:w="4800" w:type="pct"/>
            <w:gridSpan w:val="18"/>
            <w:tcBorders>
              <w:top w:val="single" w:sz="18" w:space="0" w:color="auto"/>
            </w:tcBorders>
            <w:tcMar>
              <w:top w:w="8" w:type="dxa"/>
              <w:left w:w="28" w:type="dxa"/>
              <w:bottom w:w="8" w:type="dxa"/>
              <w:right w:w="28" w:type="dxa"/>
            </w:tcMar>
            <w:vAlign w:val="center"/>
          </w:tcPr>
          <w:p w14:paraId="5B3B85A5" w14:textId="4EACC704" w:rsidR="00DD7F73" w:rsidRPr="00F5353D" w:rsidRDefault="00DD7F73" w:rsidP="00DD7F73">
            <w:pPr>
              <w:tabs>
                <w:tab w:val="decimal" w:pos="360"/>
              </w:tabs>
              <w:spacing w:line="200" w:lineRule="auto"/>
              <w:rPr>
                <w:sz w:val="20"/>
                <w:szCs w:val="20"/>
              </w:rPr>
            </w:pPr>
            <w:r w:rsidRPr="00F5353D">
              <w:rPr>
                <w:b/>
                <w:bCs/>
                <w:i/>
                <w:iCs/>
                <w:sz w:val="20"/>
                <w:szCs w:val="20"/>
              </w:rPr>
              <w:t>Correlations (only upper diagonal shown)</w:t>
            </w:r>
          </w:p>
        </w:tc>
        <w:tc>
          <w:tcPr>
            <w:tcW w:w="200" w:type="pct"/>
            <w:tcBorders>
              <w:top w:val="single" w:sz="18" w:space="0" w:color="auto"/>
            </w:tcBorders>
            <w:tcMar>
              <w:top w:w="8" w:type="dxa"/>
              <w:left w:w="28" w:type="dxa"/>
              <w:bottom w:w="8" w:type="dxa"/>
              <w:right w:w="28" w:type="dxa"/>
            </w:tcMar>
            <w:vAlign w:val="center"/>
          </w:tcPr>
          <w:p w14:paraId="1582EB74" w14:textId="77777777" w:rsidR="00DD7F73" w:rsidRPr="00F5353D" w:rsidRDefault="00DD7F73" w:rsidP="00650644">
            <w:pPr>
              <w:tabs>
                <w:tab w:val="decimal" w:pos="360"/>
              </w:tabs>
              <w:spacing w:line="200" w:lineRule="auto"/>
              <w:jc w:val="center"/>
              <w:rPr>
                <w:sz w:val="20"/>
                <w:szCs w:val="20"/>
              </w:rPr>
            </w:pPr>
          </w:p>
        </w:tc>
      </w:tr>
      <w:tr w:rsidR="00650644" w:rsidRPr="00F5353D" w14:paraId="500B8727" w14:textId="77777777" w:rsidTr="00C35990">
        <w:trPr>
          <w:cantSplit/>
          <w:trHeight w:val="187"/>
        </w:trPr>
        <w:tc>
          <w:tcPr>
            <w:tcW w:w="1594" w:type="pct"/>
            <w:gridSpan w:val="3"/>
            <w:tcBorders>
              <w:top w:val="single" w:sz="8" w:space="0" w:color="auto"/>
              <w:right w:val="single" w:sz="18" w:space="0" w:color="auto"/>
            </w:tcBorders>
            <w:tcMar>
              <w:top w:w="8" w:type="dxa"/>
              <w:left w:w="28" w:type="dxa"/>
              <w:bottom w:w="8" w:type="dxa"/>
              <w:right w:w="28" w:type="dxa"/>
            </w:tcMar>
            <w:vAlign w:val="center"/>
          </w:tcPr>
          <w:p w14:paraId="2C2F0FD7" w14:textId="52A4DC96" w:rsidR="00650644" w:rsidRPr="00F5353D" w:rsidRDefault="00650644" w:rsidP="00650644">
            <w:pPr>
              <w:spacing w:line="200" w:lineRule="auto"/>
              <w:rPr>
                <w:sz w:val="20"/>
                <w:szCs w:val="20"/>
              </w:rPr>
            </w:pPr>
            <w:r w:rsidRPr="00F5353D">
              <w:rPr>
                <w:sz w:val="20"/>
                <w:szCs w:val="20"/>
              </w:rPr>
              <w:t>NRAT</w:t>
            </w:r>
          </w:p>
        </w:tc>
        <w:tc>
          <w:tcPr>
            <w:tcW w:w="209" w:type="pct"/>
            <w:tcBorders>
              <w:top w:val="single" w:sz="8" w:space="0" w:color="auto"/>
              <w:left w:val="single" w:sz="18" w:space="0" w:color="auto"/>
            </w:tcBorders>
            <w:tcMar>
              <w:top w:w="8" w:type="dxa"/>
              <w:left w:w="28" w:type="dxa"/>
              <w:bottom w:w="8" w:type="dxa"/>
              <w:right w:w="28" w:type="dxa"/>
            </w:tcMar>
            <w:vAlign w:val="center"/>
          </w:tcPr>
          <w:p w14:paraId="247F6BFF" w14:textId="77777777" w:rsidR="00650644" w:rsidRPr="00F5353D" w:rsidRDefault="00650644" w:rsidP="00650644">
            <w:pPr>
              <w:tabs>
                <w:tab w:val="decimal" w:pos="360"/>
              </w:tabs>
              <w:spacing w:line="200" w:lineRule="auto"/>
              <w:jc w:val="center"/>
              <w:rPr>
                <w:sz w:val="20"/>
                <w:szCs w:val="20"/>
              </w:rPr>
            </w:pPr>
            <w:r w:rsidRPr="00F5353D">
              <w:rPr>
                <w:sz w:val="20"/>
                <w:szCs w:val="20"/>
              </w:rPr>
              <w:t>1.00</w:t>
            </w:r>
          </w:p>
        </w:tc>
        <w:tc>
          <w:tcPr>
            <w:tcW w:w="210" w:type="pct"/>
            <w:tcBorders>
              <w:top w:val="single" w:sz="8" w:space="0" w:color="auto"/>
              <w:right w:val="single" w:sz="18" w:space="0" w:color="auto"/>
            </w:tcBorders>
            <w:tcMar>
              <w:top w:w="8" w:type="dxa"/>
              <w:left w:w="28" w:type="dxa"/>
              <w:bottom w:w="8" w:type="dxa"/>
              <w:right w:w="28" w:type="dxa"/>
            </w:tcMar>
            <w:vAlign w:val="center"/>
          </w:tcPr>
          <w:p w14:paraId="475ED4A7" w14:textId="77777777" w:rsidR="00650644" w:rsidRPr="00F5353D" w:rsidRDefault="00650644" w:rsidP="00650644">
            <w:pPr>
              <w:tabs>
                <w:tab w:val="decimal" w:pos="360"/>
              </w:tabs>
              <w:spacing w:line="200" w:lineRule="auto"/>
              <w:jc w:val="center"/>
              <w:rPr>
                <w:sz w:val="20"/>
                <w:szCs w:val="20"/>
              </w:rPr>
            </w:pPr>
          </w:p>
        </w:tc>
        <w:tc>
          <w:tcPr>
            <w:tcW w:w="208" w:type="pct"/>
            <w:tcBorders>
              <w:top w:val="single" w:sz="8" w:space="0" w:color="auto"/>
              <w:left w:val="single" w:sz="18" w:space="0" w:color="auto"/>
            </w:tcBorders>
            <w:tcMar>
              <w:top w:w="8" w:type="dxa"/>
              <w:left w:w="28" w:type="dxa"/>
              <w:bottom w:w="8" w:type="dxa"/>
              <w:right w:w="28" w:type="dxa"/>
            </w:tcMar>
            <w:vAlign w:val="bottom"/>
          </w:tcPr>
          <w:p w14:paraId="1C10DB4B" w14:textId="3BF77208" w:rsidR="00650644" w:rsidRPr="00F5353D" w:rsidRDefault="00650644" w:rsidP="00650644">
            <w:pPr>
              <w:tabs>
                <w:tab w:val="decimal" w:pos="360"/>
              </w:tabs>
              <w:spacing w:line="200" w:lineRule="auto"/>
              <w:jc w:val="center"/>
              <w:rPr>
                <w:sz w:val="20"/>
                <w:szCs w:val="20"/>
              </w:rPr>
            </w:pPr>
            <w:r w:rsidRPr="00F5353D">
              <w:rPr>
                <w:color w:val="000000"/>
                <w:sz w:val="20"/>
                <w:szCs w:val="20"/>
              </w:rPr>
              <w:t>-0.16</w:t>
            </w:r>
          </w:p>
        </w:tc>
        <w:tc>
          <w:tcPr>
            <w:tcW w:w="209" w:type="pct"/>
            <w:tcBorders>
              <w:top w:val="single" w:sz="8" w:space="0" w:color="auto"/>
              <w:right w:val="single" w:sz="8" w:space="0" w:color="auto"/>
            </w:tcBorders>
            <w:tcMar>
              <w:top w:w="8" w:type="dxa"/>
              <w:left w:w="28" w:type="dxa"/>
              <w:bottom w:w="8" w:type="dxa"/>
              <w:right w:w="28" w:type="dxa"/>
            </w:tcMar>
            <w:vAlign w:val="bottom"/>
          </w:tcPr>
          <w:p w14:paraId="4DB990CE" w14:textId="55480889" w:rsidR="00650644" w:rsidRPr="00F5353D" w:rsidRDefault="00650644" w:rsidP="00650644">
            <w:pPr>
              <w:tabs>
                <w:tab w:val="decimal" w:pos="360"/>
              </w:tabs>
              <w:spacing w:line="200" w:lineRule="auto"/>
              <w:jc w:val="center"/>
              <w:rPr>
                <w:sz w:val="20"/>
                <w:szCs w:val="20"/>
              </w:rPr>
            </w:pPr>
            <w:r w:rsidRPr="00F5353D">
              <w:rPr>
                <w:color w:val="000000"/>
                <w:sz w:val="20"/>
                <w:szCs w:val="20"/>
              </w:rPr>
              <w:t>-1.31</w:t>
            </w:r>
          </w:p>
        </w:tc>
        <w:tc>
          <w:tcPr>
            <w:tcW w:w="209" w:type="pct"/>
            <w:tcBorders>
              <w:top w:val="single" w:sz="8" w:space="0" w:color="auto"/>
              <w:left w:val="single" w:sz="8" w:space="0" w:color="auto"/>
            </w:tcBorders>
            <w:tcMar>
              <w:top w:w="8" w:type="dxa"/>
              <w:left w:w="28" w:type="dxa"/>
              <w:bottom w:w="8" w:type="dxa"/>
              <w:right w:w="28" w:type="dxa"/>
            </w:tcMar>
            <w:vAlign w:val="center"/>
          </w:tcPr>
          <w:p w14:paraId="62F51064" w14:textId="49667AFA" w:rsidR="00650644" w:rsidRPr="00F5353D" w:rsidRDefault="00650644" w:rsidP="00650644">
            <w:pPr>
              <w:tabs>
                <w:tab w:val="decimal" w:pos="360"/>
              </w:tabs>
              <w:spacing w:line="200" w:lineRule="auto"/>
              <w:jc w:val="center"/>
              <w:rPr>
                <w:sz w:val="20"/>
                <w:szCs w:val="20"/>
              </w:rPr>
            </w:pPr>
            <w:r w:rsidRPr="00F5353D">
              <w:rPr>
                <w:sz w:val="20"/>
                <w:szCs w:val="20"/>
              </w:rPr>
              <w:t>—</w:t>
            </w:r>
          </w:p>
        </w:tc>
        <w:tc>
          <w:tcPr>
            <w:tcW w:w="210" w:type="pct"/>
            <w:tcBorders>
              <w:top w:val="single" w:sz="8" w:space="0" w:color="auto"/>
              <w:right w:val="single" w:sz="18" w:space="0" w:color="auto"/>
            </w:tcBorders>
            <w:tcMar>
              <w:top w:w="8" w:type="dxa"/>
              <w:left w:w="28" w:type="dxa"/>
              <w:bottom w:w="8" w:type="dxa"/>
              <w:right w:w="28" w:type="dxa"/>
            </w:tcMar>
            <w:vAlign w:val="center"/>
          </w:tcPr>
          <w:p w14:paraId="6E82B932" w14:textId="7B8899F7" w:rsidR="00650644" w:rsidRPr="00F5353D" w:rsidRDefault="00650644" w:rsidP="00650644">
            <w:pPr>
              <w:tabs>
                <w:tab w:val="decimal" w:pos="360"/>
              </w:tabs>
              <w:spacing w:line="200" w:lineRule="auto"/>
              <w:jc w:val="center"/>
              <w:rPr>
                <w:sz w:val="20"/>
                <w:szCs w:val="20"/>
              </w:rPr>
            </w:pPr>
            <w:r w:rsidRPr="00F5353D">
              <w:rPr>
                <w:sz w:val="20"/>
                <w:szCs w:val="20"/>
              </w:rPr>
              <w:t>—</w:t>
            </w:r>
          </w:p>
        </w:tc>
        <w:tc>
          <w:tcPr>
            <w:tcW w:w="209" w:type="pct"/>
            <w:tcBorders>
              <w:top w:val="single" w:sz="8" w:space="0" w:color="auto"/>
              <w:left w:val="single" w:sz="18" w:space="0" w:color="auto"/>
            </w:tcBorders>
            <w:tcMar>
              <w:top w:w="8" w:type="dxa"/>
              <w:left w:w="28" w:type="dxa"/>
              <w:bottom w:w="8" w:type="dxa"/>
              <w:right w:w="28" w:type="dxa"/>
            </w:tcMar>
            <w:vAlign w:val="bottom"/>
          </w:tcPr>
          <w:p w14:paraId="2807B072" w14:textId="002EAAEE" w:rsidR="00650644" w:rsidRPr="00F5353D" w:rsidRDefault="00650644" w:rsidP="00650644">
            <w:pPr>
              <w:tabs>
                <w:tab w:val="decimal" w:pos="360"/>
              </w:tabs>
              <w:spacing w:line="200" w:lineRule="auto"/>
              <w:jc w:val="center"/>
              <w:rPr>
                <w:sz w:val="20"/>
                <w:szCs w:val="20"/>
              </w:rPr>
            </w:pPr>
            <w:r w:rsidRPr="00F5353D">
              <w:rPr>
                <w:color w:val="000000"/>
                <w:sz w:val="20"/>
                <w:szCs w:val="20"/>
              </w:rPr>
              <w:t>-0.32</w:t>
            </w:r>
          </w:p>
        </w:tc>
        <w:tc>
          <w:tcPr>
            <w:tcW w:w="209" w:type="pct"/>
            <w:tcBorders>
              <w:top w:val="single" w:sz="8" w:space="0" w:color="auto"/>
              <w:right w:val="single" w:sz="8" w:space="0" w:color="auto"/>
            </w:tcBorders>
            <w:tcMar>
              <w:top w:w="8" w:type="dxa"/>
              <w:left w:w="28" w:type="dxa"/>
              <w:bottom w:w="8" w:type="dxa"/>
              <w:right w:w="28" w:type="dxa"/>
            </w:tcMar>
            <w:vAlign w:val="bottom"/>
          </w:tcPr>
          <w:p w14:paraId="4A08D3DD" w14:textId="19DDF308" w:rsidR="00650644" w:rsidRPr="00F5353D" w:rsidRDefault="00650644" w:rsidP="00650644">
            <w:pPr>
              <w:tabs>
                <w:tab w:val="decimal" w:pos="360"/>
              </w:tabs>
              <w:spacing w:line="200" w:lineRule="auto"/>
              <w:jc w:val="center"/>
              <w:rPr>
                <w:sz w:val="20"/>
                <w:szCs w:val="20"/>
              </w:rPr>
            </w:pPr>
            <w:r w:rsidRPr="00F5353D">
              <w:rPr>
                <w:color w:val="000000"/>
                <w:sz w:val="20"/>
                <w:szCs w:val="20"/>
              </w:rPr>
              <w:t>-2.78</w:t>
            </w:r>
          </w:p>
        </w:tc>
        <w:tc>
          <w:tcPr>
            <w:tcW w:w="209" w:type="pct"/>
            <w:tcBorders>
              <w:top w:val="single" w:sz="8" w:space="0" w:color="auto"/>
              <w:left w:val="single" w:sz="8" w:space="0" w:color="auto"/>
            </w:tcBorders>
            <w:tcMar>
              <w:top w:w="8" w:type="dxa"/>
              <w:left w:w="28" w:type="dxa"/>
              <w:bottom w:w="8" w:type="dxa"/>
              <w:right w:w="28" w:type="dxa"/>
            </w:tcMar>
            <w:vAlign w:val="center"/>
          </w:tcPr>
          <w:p w14:paraId="4FB4A5F1" w14:textId="1A055C7B" w:rsidR="00650644" w:rsidRPr="00F5353D" w:rsidRDefault="00650644" w:rsidP="00650644">
            <w:pPr>
              <w:tabs>
                <w:tab w:val="decimal" w:pos="360"/>
              </w:tabs>
              <w:spacing w:line="200" w:lineRule="auto"/>
              <w:jc w:val="center"/>
              <w:rPr>
                <w:sz w:val="20"/>
                <w:szCs w:val="20"/>
              </w:rPr>
            </w:pPr>
            <w:r w:rsidRPr="00F5353D">
              <w:rPr>
                <w:sz w:val="20"/>
                <w:szCs w:val="20"/>
              </w:rPr>
              <w:t>—</w:t>
            </w:r>
          </w:p>
        </w:tc>
        <w:tc>
          <w:tcPr>
            <w:tcW w:w="244" w:type="pct"/>
            <w:tcBorders>
              <w:top w:val="single" w:sz="8" w:space="0" w:color="auto"/>
              <w:right w:val="single" w:sz="18" w:space="0" w:color="auto"/>
            </w:tcBorders>
            <w:tcMar>
              <w:top w:w="8" w:type="dxa"/>
              <w:left w:w="28" w:type="dxa"/>
              <w:bottom w:w="8" w:type="dxa"/>
              <w:right w:w="28" w:type="dxa"/>
            </w:tcMar>
            <w:vAlign w:val="center"/>
          </w:tcPr>
          <w:p w14:paraId="604EF487" w14:textId="5AB9AD8E" w:rsidR="00650644" w:rsidRPr="00F5353D" w:rsidRDefault="00650644" w:rsidP="00650644">
            <w:pPr>
              <w:tabs>
                <w:tab w:val="decimal" w:pos="360"/>
              </w:tabs>
              <w:spacing w:line="200" w:lineRule="auto"/>
              <w:jc w:val="center"/>
              <w:rPr>
                <w:sz w:val="20"/>
                <w:szCs w:val="20"/>
              </w:rPr>
            </w:pPr>
            <w:r w:rsidRPr="00F5353D">
              <w:rPr>
                <w:sz w:val="20"/>
                <w:szCs w:val="20"/>
              </w:rPr>
              <w:t>—</w:t>
            </w:r>
          </w:p>
        </w:tc>
        <w:tc>
          <w:tcPr>
            <w:tcW w:w="209" w:type="pct"/>
            <w:tcBorders>
              <w:top w:val="single" w:sz="8" w:space="0" w:color="auto"/>
              <w:left w:val="single" w:sz="18" w:space="0" w:color="auto"/>
            </w:tcBorders>
            <w:tcMar>
              <w:top w:w="8" w:type="dxa"/>
              <w:left w:w="28" w:type="dxa"/>
              <w:bottom w:w="8" w:type="dxa"/>
              <w:right w:w="28" w:type="dxa"/>
            </w:tcMar>
            <w:vAlign w:val="bottom"/>
          </w:tcPr>
          <w:p w14:paraId="5007C10C" w14:textId="06E4846D" w:rsidR="00650644" w:rsidRPr="00F5353D" w:rsidRDefault="00650644" w:rsidP="00650644">
            <w:pPr>
              <w:tabs>
                <w:tab w:val="decimal" w:pos="360"/>
              </w:tabs>
              <w:spacing w:line="200" w:lineRule="auto"/>
              <w:jc w:val="center"/>
              <w:rPr>
                <w:sz w:val="20"/>
                <w:szCs w:val="20"/>
              </w:rPr>
            </w:pPr>
            <w:r w:rsidRPr="00F5353D">
              <w:rPr>
                <w:color w:val="000000"/>
                <w:sz w:val="20"/>
                <w:szCs w:val="20"/>
              </w:rPr>
              <w:t>0.52</w:t>
            </w:r>
          </w:p>
        </w:tc>
        <w:tc>
          <w:tcPr>
            <w:tcW w:w="244" w:type="pct"/>
            <w:tcBorders>
              <w:top w:val="single" w:sz="8" w:space="0" w:color="auto"/>
              <w:right w:val="single" w:sz="18" w:space="0" w:color="auto"/>
            </w:tcBorders>
            <w:tcMar>
              <w:top w:w="8" w:type="dxa"/>
              <w:left w:w="28" w:type="dxa"/>
              <w:bottom w:w="8" w:type="dxa"/>
              <w:right w:w="28" w:type="dxa"/>
            </w:tcMar>
            <w:vAlign w:val="bottom"/>
          </w:tcPr>
          <w:p w14:paraId="5485D9AD" w14:textId="60895FC9" w:rsidR="00650644" w:rsidRPr="00F5353D" w:rsidRDefault="00650644" w:rsidP="00650644">
            <w:pPr>
              <w:tabs>
                <w:tab w:val="decimal" w:pos="360"/>
              </w:tabs>
              <w:spacing w:line="200" w:lineRule="auto"/>
              <w:jc w:val="center"/>
              <w:rPr>
                <w:sz w:val="20"/>
                <w:szCs w:val="20"/>
              </w:rPr>
            </w:pPr>
            <w:r w:rsidRPr="00F5353D">
              <w:rPr>
                <w:color w:val="000000"/>
                <w:sz w:val="20"/>
                <w:szCs w:val="20"/>
              </w:rPr>
              <w:t>2.64</w:t>
            </w:r>
          </w:p>
        </w:tc>
        <w:tc>
          <w:tcPr>
            <w:tcW w:w="209" w:type="pct"/>
            <w:tcBorders>
              <w:top w:val="single" w:sz="8" w:space="0" w:color="auto"/>
              <w:left w:val="single" w:sz="18" w:space="0" w:color="auto"/>
            </w:tcBorders>
            <w:tcMar>
              <w:top w:w="8" w:type="dxa"/>
              <w:left w:w="28" w:type="dxa"/>
              <w:bottom w:w="8" w:type="dxa"/>
              <w:right w:w="28" w:type="dxa"/>
            </w:tcMar>
            <w:vAlign w:val="center"/>
          </w:tcPr>
          <w:p w14:paraId="2DFCA667" w14:textId="75D0B517" w:rsidR="00650644" w:rsidRPr="00F5353D" w:rsidRDefault="00650644" w:rsidP="00650644">
            <w:pPr>
              <w:tabs>
                <w:tab w:val="decimal" w:pos="360"/>
              </w:tabs>
              <w:spacing w:line="200" w:lineRule="auto"/>
              <w:jc w:val="center"/>
              <w:rPr>
                <w:sz w:val="20"/>
                <w:szCs w:val="20"/>
              </w:rPr>
            </w:pPr>
            <w:r w:rsidRPr="00F5353D">
              <w:rPr>
                <w:sz w:val="20"/>
                <w:szCs w:val="20"/>
              </w:rPr>
              <w:t>—</w:t>
            </w:r>
          </w:p>
        </w:tc>
        <w:tc>
          <w:tcPr>
            <w:tcW w:w="209" w:type="pct"/>
            <w:tcBorders>
              <w:top w:val="single" w:sz="8" w:space="0" w:color="auto"/>
              <w:right w:val="single" w:sz="8" w:space="0" w:color="auto"/>
            </w:tcBorders>
            <w:tcMar>
              <w:top w:w="8" w:type="dxa"/>
              <w:left w:w="28" w:type="dxa"/>
              <w:bottom w:w="8" w:type="dxa"/>
              <w:right w:w="28" w:type="dxa"/>
            </w:tcMar>
            <w:vAlign w:val="center"/>
          </w:tcPr>
          <w:p w14:paraId="50888E1D" w14:textId="62C01AAE" w:rsidR="00650644" w:rsidRPr="00F5353D" w:rsidRDefault="00650644" w:rsidP="00650644">
            <w:pPr>
              <w:tabs>
                <w:tab w:val="decimal" w:pos="360"/>
              </w:tabs>
              <w:spacing w:line="200" w:lineRule="auto"/>
              <w:jc w:val="center"/>
              <w:rPr>
                <w:sz w:val="20"/>
                <w:szCs w:val="20"/>
              </w:rPr>
            </w:pPr>
            <w:r w:rsidRPr="00F5353D">
              <w:rPr>
                <w:sz w:val="20"/>
                <w:szCs w:val="20"/>
              </w:rPr>
              <w:t>—</w:t>
            </w:r>
          </w:p>
        </w:tc>
        <w:tc>
          <w:tcPr>
            <w:tcW w:w="209" w:type="pct"/>
            <w:tcBorders>
              <w:top w:val="single" w:sz="8" w:space="0" w:color="auto"/>
              <w:left w:val="single" w:sz="8" w:space="0" w:color="auto"/>
            </w:tcBorders>
            <w:tcMar>
              <w:top w:w="8" w:type="dxa"/>
              <w:left w:w="28" w:type="dxa"/>
              <w:bottom w:w="8" w:type="dxa"/>
              <w:right w:w="28" w:type="dxa"/>
            </w:tcMar>
            <w:vAlign w:val="center"/>
          </w:tcPr>
          <w:p w14:paraId="21C0E06E" w14:textId="04302753" w:rsidR="00650644" w:rsidRPr="00F5353D" w:rsidRDefault="00650644" w:rsidP="00650644">
            <w:pPr>
              <w:tabs>
                <w:tab w:val="decimal" w:pos="360"/>
              </w:tabs>
              <w:spacing w:line="200" w:lineRule="auto"/>
              <w:jc w:val="center"/>
              <w:rPr>
                <w:sz w:val="20"/>
                <w:szCs w:val="20"/>
              </w:rPr>
            </w:pPr>
            <w:r w:rsidRPr="00F5353D">
              <w:rPr>
                <w:sz w:val="20"/>
                <w:szCs w:val="20"/>
              </w:rPr>
              <w:t>—</w:t>
            </w:r>
          </w:p>
        </w:tc>
        <w:tc>
          <w:tcPr>
            <w:tcW w:w="200" w:type="pct"/>
            <w:tcBorders>
              <w:top w:val="single" w:sz="8" w:space="0" w:color="auto"/>
            </w:tcBorders>
            <w:tcMar>
              <w:top w:w="8" w:type="dxa"/>
              <w:left w:w="28" w:type="dxa"/>
              <w:bottom w:w="8" w:type="dxa"/>
              <w:right w:w="28" w:type="dxa"/>
            </w:tcMar>
            <w:vAlign w:val="center"/>
          </w:tcPr>
          <w:p w14:paraId="7F6E9308" w14:textId="46615C1D" w:rsidR="00650644" w:rsidRPr="00F5353D" w:rsidRDefault="00650644" w:rsidP="00650644">
            <w:pPr>
              <w:tabs>
                <w:tab w:val="decimal" w:pos="360"/>
              </w:tabs>
              <w:spacing w:line="200" w:lineRule="auto"/>
              <w:jc w:val="center"/>
              <w:rPr>
                <w:sz w:val="20"/>
                <w:szCs w:val="20"/>
              </w:rPr>
            </w:pPr>
            <w:r w:rsidRPr="00F5353D">
              <w:rPr>
                <w:sz w:val="20"/>
                <w:szCs w:val="20"/>
              </w:rPr>
              <w:t>—</w:t>
            </w:r>
          </w:p>
        </w:tc>
      </w:tr>
      <w:tr w:rsidR="0077008F" w:rsidRPr="00F5353D" w14:paraId="44F12DEF" w14:textId="77777777" w:rsidTr="00C35990">
        <w:trPr>
          <w:cantSplit/>
          <w:trHeight w:val="187"/>
        </w:trPr>
        <w:tc>
          <w:tcPr>
            <w:tcW w:w="1594" w:type="pct"/>
            <w:gridSpan w:val="3"/>
            <w:tcBorders>
              <w:right w:val="single" w:sz="18" w:space="0" w:color="auto"/>
            </w:tcBorders>
            <w:tcMar>
              <w:top w:w="8" w:type="dxa"/>
              <w:left w:w="28" w:type="dxa"/>
              <w:bottom w:w="8" w:type="dxa"/>
              <w:right w:w="28" w:type="dxa"/>
            </w:tcMar>
            <w:vAlign w:val="center"/>
          </w:tcPr>
          <w:p w14:paraId="654CB6B6" w14:textId="7BB5C31D" w:rsidR="0077008F" w:rsidRPr="00F5353D" w:rsidRDefault="0077008F" w:rsidP="0077008F">
            <w:pPr>
              <w:spacing w:line="200" w:lineRule="auto"/>
              <w:rPr>
                <w:sz w:val="20"/>
                <w:szCs w:val="20"/>
              </w:rPr>
            </w:pPr>
            <w:r w:rsidRPr="00F5353D">
              <w:rPr>
                <w:sz w:val="20"/>
                <w:szCs w:val="20"/>
              </w:rPr>
              <w:t>Lack of sidewalks / bicycle lanes</w:t>
            </w:r>
          </w:p>
        </w:tc>
        <w:tc>
          <w:tcPr>
            <w:tcW w:w="209" w:type="pct"/>
            <w:tcBorders>
              <w:left w:val="single" w:sz="18" w:space="0" w:color="auto"/>
            </w:tcBorders>
            <w:tcMar>
              <w:top w:w="8" w:type="dxa"/>
              <w:left w:w="28" w:type="dxa"/>
              <w:bottom w:w="8" w:type="dxa"/>
              <w:right w:w="28" w:type="dxa"/>
            </w:tcMar>
            <w:vAlign w:val="center"/>
          </w:tcPr>
          <w:p w14:paraId="4B0A5243" w14:textId="77777777" w:rsidR="0077008F" w:rsidRPr="00F5353D" w:rsidRDefault="0077008F" w:rsidP="0077008F">
            <w:pPr>
              <w:tabs>
                <w:tab w:val="decimal" w:pos="360"/>
              </w:tabs>
              <w:spacing w:line="200" w:lineRule="auto"/>
              <w:jc w:val="center"/>
              <w:rPr>
                <w:sz w:val="20"/>
                <w:szCs w:val="20"/>
              </w:rPr>
            </w:pPr>
            <w:r w:rsidRPr="00F5353D">
              <w:rPr>
                <w:sz w:val="20"/>
                <w:szCs w:val="20"/>
              </w:rPr>
              <w:t>—</w:t>
            </w:r>
          </w:p>
        </w:tc>
        <w:tc>
          <w:tcPr>
            <w:tcW w:w="210" w:type="pct"/>
            <w:tcBorders>
              <w:right w:val="single" w:sz="18" w:space="0" w:color="auto"/>
            </w:tcBorders>
            <w:tcMar>
              <w:top w:w="8" w:type="dxa"/>
              <w:left w:w="28" w:type="dxa"/>
              <w:bottom w:w="8" w:type="dxa"/>
              <w:right w:w="28" w:type="dxa"/>
            </w:tcMar>
            <w:vAlign w:val="center"/>
          </w:tcPr>
          <w:p w14:paraId="6602AEA0" w14:textId="77777777" w:rsidR="0077008F" w:rsidRPr="00F5353D" w:rsidRDefault="0077008F" w:rsidP="0077008F">
            <w:pPr>
              <w:tabs>
                <w:tab w:val="decimal" w:pos="360"/>
              </w:tabs>
              <w:spacing w:line="200" w:lineRule="auto"/>
              <w:jc w:val="center"/>
              <w:rPr>
                <w:sz w:val="20"/>
                <w:szCs w:val="20"/>
              </w:rPr>
            </w:pPr>
            <w:r w:rsidRPr="00F5353D">
              <w:rPr>
                <w:sz w:val="20"/>
                <w:szCs w:val="20"/>
              </w:rPr>
              <w:t>—</w:t>
            </w:r>
          </w:p>
        </w:tc>
        <w:tc>
          <w:tcPr>
            <w:tcW w:w="208" w:type="pct"/>
            <w:tcBorders>
              <w:left w:val="single" w:sz="18" w:space="0" w:color="auto"/>
            </w:tcBorders>
            <w:tcMar>
              <w:top w:w="8" w:type="dxa"/>
              <w:left w:w="28" w:type="dxa"/>
              <w:bottom w:w="8" w:type="dxa"/>
              <w:right w:w="28" w:type="dxa"/>
            </w:tcMar>
            <w:vAlign w:val="center"/>
          </w:tcPr>
          <w:p w14:paraId="0FF22B9C" w14:textId="77777777" w:rsidR="0077008F" w:rsidRPr="00F5353D" w:rsidRDefault="0077008F" w:rsidP="0077008F">
            <w:pPr>
              <w:tabs>
                <w:tab w:val="decimal" w:pos="360"/>
              </w:tabs>
              <w:spacing w:line="200" w:lineRule="auto"/>
              <w:jc w:val="center"/>
              <w:rPr>
                <w:sz w:val="20"/>
                <w:szCs w:val="20"/>
              </w:rPr>
            </w:pPr>
            <w:r w:rsidRPr="00F5353D">
              <w:rPr>
                <w:sz w:val="20"/>
                <w:szCs w:val="20"/>
              </w:rPr>
              <w:t>1.00</w:t>
            </w:r>
          </w:p>
        </w:tc>
        <w:tc>
          <w:tcPr>
            <w:tcW w:w="209" w:type="pct"/>
            <w:tcBorders>
              <w:right w:val="single" w:sz="8" w:space="0" w:color="auto"/>
            </w:tcBorders>
            <w:tcMar>
              <w:top w:w="8" w:type="dxa"/>
              <w:left w:w="28" w:type="dxa"/>
              <w:bottom w:w="8" w:type="dxa"/>
              <w:right w:w="28" w:type="dxa"/>
            </w:tcMar>
            <w:vAlign w:val="center"/>
          </w:tcPr>
          <w:p w14:paraId="587FC055" w14:textId="77777777" w:rsidR="0077008F" w:rsidRPr="00F5353D" w:rsidRDefault="0077008F" w:rsidP="0077008F">
            <w:pPr>
              <w:tabs>
                <w:tab w:val="decimal" w:pos="360"/>
              </w:tabs>
              <w:spacing w:line="200" w:lineRule="auto"/>
              <w:jc w:val="center"/>
              <w:rPr>
                <w:sz w:val="20"/>
                <w:szCs w:val="20"/>
              </w:rPr>
            </w:pPr>
          </w:p>
        </w:tc>
        <w:tc>
          <w:tcPr>
            <w:tcW w:w="209" w:type="pct"/>
            <w:tcBorders>
              <w:left w:val="single" w:sz="8" w:space="0" w:color="auto"/>
            </w:tcBorders>
            <w:tcMar>
              <w:top w:w="8" w:type="dxa"/>
              <w:left w:w="28" w:type="dxa"/>
              <w:bottom w:w="8" w:type="dxa"/>
              <w:right w:w="28" w:type="dxa"/>
            </w:tcMar>
            <w:vAlign w:val="bottom"/>
          </w:tcPr>
          <w:p w14:paraId="380273B7" w14:textId="67D82186" w:rsidR="0077008F" w:rsidRPr="00F5353D" w:rsidRDefault="0077008F" w:rsidP="0077008F">
            <w:pPr>
              <w:tabs>
                <w:tab w:val="decimal" w:pos="360"/>
              </w:tabs>
              <w:spacing w:line="200" w:lineRule="auto"/>
              <w:jc w:val="center"/>
              <w:rPr>
                <w:sz w:val="20"/>
                <w:szCs w:val="20"/>
              </w:rPr>
            </w:pPr>
            <w:r w:rsidRPr="00F5353D">
              <w:rPr>
                <w:color w:val="000000"/>
                <w:sz w:val="20"/>
                <w:szCs w:val="20"/>
              </w:rPr>
              <w:t>0.71</w:t>
            </w:r>
          </w:p>
        </w:tc>
        <w:tc>
          <w:tcPr>
            <w:tcW w:w="210" w:type="pct"/>
            <w:tcBorders>
              <w:right w:val="single" w:sz="18" w:space="0" w:color="auto"/>
            </w:tcBorders>
            <w:tcMar>
              <w:top w:w="8" w:type="dxa"/>
              <w:left w:w="28" w:type="dxa"/>
              <w:bottom w:w="8" w:type="dxa"/>
              <w:right w:w="28" w:type="dxa"/>
            </w:tcMar>
            <w:vAlign w:val="bottom"/>
          </w:tcPr>
          <w:p w14:paraId="511E1077" w14:textId="159BEF66" w:rsidR="0077008F" w:rsidRPr="00F5353D" w:rsidRDefault="0077008F" w:rsidP="0077008F">
            <w:pPr>
              <w:tabs>
                <w:tab w:val="decimal" w:pos="360"/>
              </w:tabs>
              <w:spacing w:line="200" w:lineRule="auto"/>
              <w:jc w:val="center"/>
              <w:rPr>
                <w:sz w:val="20"/>
                <w:szCs w:val="20"/>
              </w:rPr>
            </w:pPr>
            <w:r w:rsidRPr="00F5353D">
              <w:rPr>
                <w:color w:val="000000"/>
                <w:sz w:val="20"/>
                <w:szCs w:val="20"/>
              </w:rPr>
              <w:t>11.32</w:t>
            </w:r>
          </w:p>
        </w:tc>
        <w:tc>
          <w:tcPr>
            <w:tcW w:w="209" w:type="pct"/>
            <w:tcBorders>
              <w:left w:val="single" w:sz="18" w:space="0" w:color="auto"/>
            </w:tcBorders>
            <w:tcMar>
              <w:top w:w="8" w:type="dxa"/>
              <w:left w:w="28" w:type="dxa"/>
              <w:bottom w:w="8" w:type="dxa"/>
              <w:right w:w="28" w:type="dxa"/>
            </w:tcMar>
            <w:vAlign w:val="bottom"/>
          </w:tcPr>
          <w:p w14:paraId="096A8F08" w14:textId="7C7977B4" w:rsidR="0077008F" w:rsidRPr="00F5353D" w:rsidRDefault="0077008F" w:rsidP="0077008F">
            <w:pPr>
              <w:tabs>
                <w:tab w:val="decimal" w:pos="360"/>
              </w:tabs>
              <w:spacing w:line="200" w:lineRule="auto"/>
              <w:jc w:val="center"/>
              <w:rPr>
                <w:sz w:val="20"/>
                <w:szCs w:val="20"/>
              </w:rPr>
            </w:pPr>
            <w:r w:rsidRPr="00F5353D">
              <w:rPr>
                <w:color w:val="000000"/>
                <w:sz w:val="20"/>
                <w:szCs w:val="20"/>
              </w:rPr>
              <w:t>0.74</w:t>
            </w:r>
          </w:p>
        </w:tc>
        <w:tc>
          <w:tcPr>
            <w:tcW w:w="209" w:type="pct"/>
            <w:tcBorders>
              <w:right w:val="single" w:sz="8" w:space="0" w:color="auto"/>
            </w:tcBorders>
            <w:tcMar>
              <w:top w:w="8" w:type="dxa"/>
              <w:left w:w="28" w:type="dxa"/>
              <w:bottom w:w="8" w:type="dxa"/>
              <w:right w:w="28" w:type="dxa"/>
            </w:tcMar>
            <w:vAlign w:val="bottom"/>
          </w:tcPr>
          <w:p w14:paraId="57FDEBAA" w14:textId="15940287" w:rsidR="0077008F" w:rsidRPr="00F5353D" w:rsidRDefault="0077008F" w:rsidP="0077008F">
            <w:pPr>
              <w:tabs>
                <w:tab w:val="decimal" w:pos="360"/>
              </w:tabs>
              <w:spacing w:line="200" w:lineRule="auto"/>
              <w:jc w:val="center"/>
              <w:rPr>
                <w:sz w:val="20"/>
                <w:szCs w:val="20"/>
              </w:rPr>
            </w:pPr>
            <w:r w:rsidRPr="00F5353D">
              <w:rPr>
                <w:color w:val="000000"/>
                <w:sz w:val="20"/>
                <w:szCs w:val="20"/>
              </w:rPr>
              <w:t>17.87</w:t>
            </w:r>
          </w:p>
        </w:tc>
        <w:tc>
          <w:tcPr>
            <w:tcW w:w="209" w:type="pct"/>
            <w:tcBorders>
              <w:left w:val="single" w:sz="8" w:space="0" w:color="auto"/>
            </w:tcBorders>
            <w:tcMar>
              <w:top w:w="8" w:type="dxa"/>
              <w:left w:w="28" w:type="dxa"/>
              <w:bottom w:w="8" w:type="dxa"/>
              <w:right w:w="28" w:type="dxa"/>
            </w:tcMar>
            <w:vAlign w:val="bottom"/>
          </w:tcPr>
          <w:p w14:paraId="4346B6B8" w14:textId="67E187BC" w:rsidR="0077008F" w:rsidRPr="00F5353D" w:rsidRDefault="0077008F" w:rsidP="0077008F">
            <w:pPr>
              <w:tabs>
                <w:tab w:val="decimal" w:pos="360"/>
              </w:tabs>
              <w:spacing w:line="200" w:lineRule="auto"/>
              <w:jc w:val="center"/>
              <w:rPr>
                <w:sz w:val="20"/>
                <w:szCs w:val="20"/>
              </w:rPr>
            </w:pPr>
            <w:r w:rsidRPr="00F5353D">
              <w:rPr>
                <w:color w:val="000000"/>
                <w:sz w:val="20"/>
                <w:szCs w:val="20"/>
              </w:rPr>
              <w:t>0.70</w:t>
            </w:r>
          </w:p>
        </w:tc>
        <w:tc>
          <w:tcPr>
            <w:tcW w:w="244" w:type="pct"/>
            <w:tcBorders>
              <w:right w:val="single" w:sz="18" w:space="0" w:color="auto"/>
            </w:tcBorders>
            <w:tcMar>
              <w:top w:w="8" w:type="dxa"/>
              <w:left w:w="28" w:type="dxa"/>
              <w:bottom w:w="8" w:type="dxa"/>
              <w:right w:w="28" w:type="dxa"/>
            </w:tcMar>
            <w:vAlign w:val="bottom"/>
          </w:tcPr>
          <w:p w14:paraId="0ADC8225" w14:textId="5F217DC2" w:rsidR="0077008F" w:rsidRPr="00F5353D" w:rsidRDefault="0077008F" w:rsidP="0077008F">
            <w:pPr>
              <w:tabs>
                <w:tab w:val="decimal" w:pos="360"/>
              </w:tabs>
              <w:spacing w:line="200" w:lineRule="auto"/>
              <w:jc w:val="center"/>
              <w:rPr>
                <w:sz w:val="20"/>
                <w:szCs w:val="20"/>
              </w:rPr>
            </w:pPr>
            <w:r w:rsidRPr="00F5353D">
              <w:rPr>
                <w:color w:val="000000"/>
                <w:sz w:val="20"/>
                <w:szCs w:val="20"/>
              </w:rPr>
              <w:t>16.90</w:t>
            </w:r>
          </w:p>
        </w:tc>
        <w:tc>
          <w:tcPr>
            <w:tcW w:w="209" w:type="pct"/>
            <w:tcBorders>
              <w:left w:val="single" w:sz="18" w:space="0" w:color="auto"/>
            </w:tcBorders>
            <w:tcMar>
              <w:top w:w="8" w:type="dxa"/>
              <w:left w:w="28" w:type="dxa"/>
              <w:bottom w:w="8" w:type="dxa"/>
              <w:right w:w="28" w:type="dxa"/>
            </w:tcMar>
            <w:vAlign w:val="bottom"/>
          </w:tcPr>
          <w:p w14:paraId="48797BFD" w14:textId="1E655F72" w:rsidR="0077008F" w:rsidRPr="00F5353D" w:rsidRDefault="0077008F" w:rsidP="0077008F">
            <w:pPr>
              <w:tabs>
                <w:tab w:val="decimal" w:pos="360"/>
              </w:tabs>
              <w:spacing w:line="200" w:lineRule="auto"/>
              <w:jc w:val="center"/>
              <w:rPr>
                <w:sz w:val="20"/>
                <w:szCs w:val="20"/>
              </w:rPr>
            </w:pPr>
            <w:r w:rsidRPr="00F5353D">
              <w:rPr>
                <w:color w:val="000000"/>
                <w:sz w:val="20"/>
                <w:szCs w:val="20"/>
              </w:rPr>
              <w:t>0.45</w:t>
            </w:r>
          </w:p>
        </w:tc>
        <w:tc>
          <w:tcPr>
            <w:tcW w:w="244" w:type="pct"/>
            <w:tcBorders>
              <w:right w:val="single" w:sz="18" w:space="0" w:color="auto"/>
            </w:tcBorders>
            <w:tcMar>
              <w:top w:w="8" w:type="dxa"/>
              <w:left w:w="28" w:type="dxa"/>
              <w:bottom w:w="8" w:type="dxa"/>
              <w:right w:w="28" w:type="dxa"/>
            </w:tcMar>
            <w:vAlign w:val="bottom"/>
          </w:tcPr>
          <w:p w14:paraId="77967BBD" w14:textId="7AA40ADF" w:rsidR="0077008F" w:rsidRPr="00F5353D" w:rsidRDefault="0077008F" w:rsidP="0077008F">
            <w:pPr>
              <w:tabs>
                <w:tab w:val="decimal" w:pos="360"/>
              </w:tabs>
              <w:spacing w:line="200" w:lineRule="auto"/>
              <w:jc w:val="center"/>
              <w:rPr>
                <w:sz w:val="20"/>
                <w:szCs w:val="20"/>
              </w:rPr>
            </w:pPr>
            <w:r w:rsidRPr="00F5353D">
              <w:rPr>
                <w:color w:val="000000"/>
                <w:sz w:val="20"/>
                <w:szCs w:val="20"/>
              </w:rPr>
              <w:t>5.02</w:t>
            </w:r>
          </w:p>
        </w:tc>
        <w:tc>
          <w:tcPr>
            <w:tcW w:w="209" w:type="pct"/>
            <w:tcBorders>
              <w:left w:val="single" w:sz="18" w:space="0" w:color="auto"/>
            </w:tcBorders>
            <w:tcMar>
              <w:top w:w="8" w:type="dxa"/>
              <w:left w:w="28" w:type="dxa"/>
              <w:bottom w:w="8" w:type="dxa"/>
              <w:right w:w="28" w:type="dxa"/>
            </w:tcMar>
            <w:vAlign w:val="bottom"/>
          </w:tcPr>
          <w:p w14:paraId="6315F1E7" w14:textId="24DFE7B3" w:rsidR="0077008F" w:rsidRPr="00F5353D" w:rsidRDefault="0077008F" w:rsidP="0077008F">
            <w:pPr>
              <w:tabs>
                <w:tab w:val="decimal" w:pos="360"/>
              </w:tabs>
              <w:spacing w:line="200" w:lineRule="auto"/>
              <w:jc w:val="center"/>
              <w:rPr>
                <w:sz w:val="20"/>
                <w:szCs w:val="20"/>
              </w:rPr>
            </w:pPr>
            <w:r w:rsidRPr="00F5353D">
              <w:rPr>
                <w:color w:val="000000"/>
                <w:sz w:val="20"/>
                <w:szCs w:val="20"/>
              </w:rPr>
              <w:t>0.57</w:t>
            </w:r>
          </w:p>
        </w:tc>
        <w:tc>
          <w:tcPr>
            <w:tcW w:w="209" w:type="pct"/>
            <w:tcBorders>
              <w:right w:val="single" w:sz="8" w:space="0" w:color="auto"/>
            </w:tcBorders>
            <w:tcMar>
              <w:top w:w="8" w:type="dxa"/>
              <w:left w:w="28" w:type="dxa"/>
              <w:bottom w:w="8" w:type="dxa"/>
              <w:right w:w="28" w:type="dxa"/>
            </w:tcMar>
            <w:vAlign w:val="bottom"/>
          </w:tcPr>
          <w:p w14:paraId="5BEE08A7" w14:textId="757CDC92" w:rsidR="0077008F" w:rsidRPr="00F5353D" w:rsidRDefault="0077008F" w:rsidP="0077008F">
            <w:pPr>
              <w:tabs>
                <w:tab w:val="decimal" w:pos="360"/>
              </w:tabs>
              <w:spacing w:line="200" w:lineRule="auto"/>
              <w:jc w:val="center"/>
              <w:rPr>
                <w:sz w:val="20"/>
                <w:szCs w:val="20"/>
              </w:rPr>
            </w:pPr>
            <w:r w:rsidRPr="00F5353D">
              <w:rPr>
                <w:color w:val="000000"/>
                <w:sz w:val="20"/>
                <w:szCs w:val="20"/>
              </w:rPr>
              <w:t>11.82</w:t>
            </w:r>
          </w:p>
        </w:tc>
        <w:tc>
          <w:tcPr>
            <w:tcW w:w="209" w:type="pct"/>
            <w:tcBorders>
              <w:left w:val="single" w:sz="8" w:space="0" w:color="auto"/>
            </w:tcBorders>
            <w:tcMar>
              <w:top w:w="8" w:type="dxa"/>
              <w:left w:w="28" w:type="dxa"/>
              <w:bottom w:w="8" w:type="dxa"/>
              <w:right w:w="28" w:type="dxa"/>
            </w:tcMar>
            <w:vAlign w:val="bottom"/>
          </w:tcPr>
          <w:p w14:paraId="55CED16C" w14:textId="4F5B92DF" w:rsidR="0077008F" w:rsidRPr="00F5353D" w:rsidRDefault="0077008F" w:rsidP="0077008F">
            <w:pPr>
              <w:tabs>
                <w:tab w:val="decimal" w:pos="360"/>
              </w:tabs>
              <w:spacing w:line="200" w:lineRule="auto"/>
              <w:jc w:val="center"/>
              <w:rPr>
                <w:sz w:val="20"/>
                <w:szCs w:val="20"/>
              </w:rPr>
            </w:pPr>
            <w:r w:rsidRPr="00F5353D">
              <w:rPr>
                <w:color w:val="000000"/>
                <w:sz w:val="20"/>
                <w:szCs w:val="20"/>
              </w:rPr>
              <w:t>0.31</w:t>
            </w:r>
          </w:p>
        </w:tc>
        <w:tc>
          <w:tcPr>
            <w:tcW w:w="200" w:type="pct"/>
            <w:tcMar>
              <w:top w:w="8" w:type="dxa"/>
              <w:left w:w="28" w:type="dxa"/>
              <w:bottom w:w="8" w:type="dxa"/>
              <w:right w:w="28" w:type="dxa"/>
            </w:tcMar>
            <w:vAlign w:val="bottom"/>
          </w:tcPr>
          <w:p w14:paraId="7A450581" w14:textId="2F14A644" w:rsidR="0077008F" w:rsidRPr="00F5353D" w:rsidRDefault="0077008F" w:rsidP="0077008F">
            <w:pPr>
              <w:tabs>
                <w:tab w:val="decimal" w:pos="360"/>
              </w:tabs>
              <w:spacing w:line="200" w:lineRule="auto"/>
              <w:jc w:val="center"/>
              <w:rPr>
                <w:sz w:val="20"/>
                <w:szCs w:val="20"/>
              </w:rPr>
            </w:pPr>
            <w:r w:rsidRPr="00F5353D">
              <w:rPr>
                <w:color w:val="000000"/>
                <w:sz w:val="20"/>
                <w:szCs w:val="20"/>
              </w:rPr>
              <w:t>5.79</w:t>
            </w:r>
          </w:p>
        </w:tc>
      </w:tr>
      <w:tr w:rsidR="008D4085" w:rsidRPr="00F5353D" w14:paraId="17826DE0" w14:textId="77777777" w:rsidTr="00C35990">
        <w:trPr>
          <w:cantSplit/>
          <w:trHeight w:val="187"/>
        </w:trPr>
        <w:tc>
          <w:tcPr>
            <w:tcW w:w="1594" w:type="pct"/>
            <w:gridSpan w:val="3"/>
            <w:tcBorders>
              <w:right w:val="single" w:sz="18" w:space="0" w:color="auto"/>
            </w:tcBorders>
            <w:tcMar>
              <w:top w:w="8" w:type="dxa"/>
              <w:left w:w="28" w:type="dxa"/>
              <w:bottom w:w="8" w:type="dxa"/>
              <w:right w:w="28" w:type="dxa"/>
            </w:tcMar>
            <w:vAlign w:val="center"/>
          </w:tcPr>
          <w:p w14:paraId="737BFE44" w14:textId="77777777" w:rsidR="008D4085" w:rsidRPr="00F5353D" w:rsidRDefault="008D4085" w:rsidP="008D4085">
            <w:pPr>
              <w:spacing w:line="200" w:lineRule="auto"/>
              <w:rPr>
                <w:sz w:val="20"/>
                <w:szCs w:val="20"/>
              </w:rPr>
            </w:pPr>
            <w:r w:rsidRPr="00F5353D">
              <w:rPr>
                <w:sz w:val="20"/>
                <w:szCs w:val="20"/>
              </w:rPr>
              <w:t>Insufficient lighting</w:t>
            </w:r>
          </w:p>
        </w:tc>
        <w:tc>
          <w:tcPr>
            <w:tcW w:w="209" w:type="pct"/>
            <w:tcBorders>
              <w:left w:val="single" w:sz="18" w:space="0" w:color="auto"/>
            </w:tcBorders>
            <w:tcMar>
              <w:top w:w="8" w:type="dxa"/>
              <w:left w:w="28" w:type="dxa"/>
              <w:bottom w:w="8" w:type="dxa"/>
              <w:right w:w="28" w:type="dxa"/>
            </w:tcMar>
            <w:vAlign w:val="center"/>
          </w:tcPr>
          <w:p w14:paraId="76D66BBD"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10" w:type="pct"/>
            <w:tcBorders>
              <w:right w:val="single" w:sz="18" w:space="0" w:color="auto"/>
            </w:tcBorders>
            <w:tcMar>
              <w:top w:w="8" w:type="dxa"/>
              <w:left w:w="28" w:type="dxa"/>
              <w:bottom w:w="8" w:type="dxa"/>
              <w:right w:w="28" w:type="dxa"/>
            </w:tcMar>
            <w:vAlign w:val="center"/>
          </w:tcPr>
          <w:p w14:paraId="1AF02760"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08" w:type="pct"/>
            <w:tcBorders>
              <w:left w:val="single" w:sz="18" w:space="0" w:color="auto"/>
            </w:tcBorders>
            <w:tcMar>
              <w:top w:w="8" w:type="dxa"/>
              <w:left w:w="28" w:type="dxa"/>
              <w:bottom w:w="8" w:type="dxa"/>
              <w:right w:w="28" w:type="dxa"/>
            </w:tcMar>
            <w:vAlign w:val="center"/>
          </w:tcPr>
          <w:p w14:paraId="0A234F24"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079FD393"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09" w:type="pct"/>
            <w:tcBorders>
              <w:left w:val="single" w:sz="8" w:space="0" w:color="auto"/>
            </w:tcBorders>
            <w:tcMar>
              <w:top w:w="8" w:type="dxa"/>
              <w:left w:w="28" w:type="dxa"/>
              <w:bottom w:w="8" w:type="dxa"/>
              <w:right w:w="28" w:type="dxa"/>
            </w:tcMar>
            <w:vAlign w:val="center"/>
          </w:tcPr>
          <w:p w14:paraId="19846A6C" w14:textId="77777777" w:rsidR="008D4085" w:rsidRPr="00F5353D" w:rsidRDefault="008D4085" w:rsidP="008D4085">
            <w:pPr>
              <w:tabs>
                <w:tab w:val="decimal" w:pos="360"/>
              </w:tabs>
              <w:spacing w:line="200" w:lineRule="auto"/>
              <w:jc w:val="center"/>
              <w:rPr>
                <w:sz w:val="20"/>
                <w:szCs w:val="20"/>
              </w:rPr>
            </w:pPr>
            <w:r w:rsidRPr="00F5353D">
              <w:rPr>
                <w:sz w:val="20"/>
                <w:szCs w:val="20"/>
              </w:rPr>
              <w:t>1.00</w:t>
            </w:r>
          </w:p>
        </w:tc>
        <w:tc>
          <w:tcPr>
            <w:tcW w:w="210" w:type="pct"/>
            <w:tcBorders>
              <w:right w:val="single" w:sz="18" w:space="0" w:color="auto"/>
            </w:tcBorders>
            <w:tcMar>
              <w:top w:w="8" w:type="dxa"/>
              <w:left w:w="28" w:type="dxa"/>
              <w:bottom w:w="8" w:type="dxa"/>
              <w:right w:w="28" w:type="dxa"/>
            </w:tcMar>
            <w:vAlign w:val="center"/>
          </w:tcPr>
          <w:p w14:paraId="07F377AC" w14:textId="77777777" w:rsidR="008D4085" w:rsidRPr="00F5353D" w:rsidRDefault="008D4085" w:rsidP="008D4085">
            <w:pPr>
              <w:tabs>
                <w:tab w:val="decimal" w:pos="360"/>
              </w:tabs>
              <w:spacing w:line="200" w:lineRule="auto"/>
              <w:jc w:val="center"/>
              <w:rPr>
                <w:sz w:val="20"/>
                <w:szCs w:val="20"/>
              </w:rPr>
            </w:pPr>
          </w:p>
        </w:tc>
        <w:tc>
          <w:tcPr>
            <w:tcW w:w="209" w:type="pct"/>
            <w:tcBorders>
              <w:left w:val="single" w:sz="18" w:space="0" w:color="auto"/>
            </w:tcBorders>
            <w:tcMar>
              <w:top w:w="8" w:type="dxa"/>
              <w:left w:w="28" w:type="dxa"/>
              <w:bottom w:w="8" w:type="dxa"/>
              <w:right w:w="28" w:type="dxa"/>
            </w:tcMar>
            <w:vAlign w:val="bottom"/>
          </w:tcPr>
          <w:p w14:paraId="2242AB12" w14:textId="2AEBFB16" w:rsidR="008D4085" w:rsidRPr="00F5353D" w:rsidRDefault="008D4085" w:rsidP="008D4085">
            <w:pPr>
              <w:tabs>
                <w:tab w:val="decimal" w:pos="360"/>
              </w:tabs>
              <w:spacing w:line="200" w:lineRule="auto"/>
              <w:jc w:val="center"/>
              <w:rPr>
                <w:sz w:val="20"/>
                <w:szCs w:val="20"/>
              </w:rPr>
            </w:pPr>
            <w:r w:rsidRPr="00F5353D">
              <w:rPr>
                <w:color w:val="000000"/>
                <w:sz w:val="20"/>
                <w:szCs w:val="20"/>
              </w:rPr>
              <w:t>0.68</w:t>
            </w:r>
          </w:p>
        </w:tc>
        <w:tc>
          <w:tcPr>
            <w:tcW w:w="209" w:type="pct"/>
            <w:tcBorders>
              <w:right w:val="single" w:sz="8" w:space="0" w:color="auto"/>
            </w:tcBorders>
            <w:tcMar>
              <w:top w:w="8" w:type="dxa"/>
              <w:left w:w="28" w:type="dxa"/>
              <w:bottom w:w="8" w:type="dxa"/>
              <w:right w:w="28" w:type="dxa"/>
            </w:tcMar>
            <w:vAlign w:val="bottom"/>
          </w:tcPr>
          <w:p w14:paraId="72A9A41B" w14:textId="05560A1C" w:rsidR="008D4085" w:rsidRPr="00F5353D" w:rsidRDefault="008D4085" w:rsidP="008D4085">
            <w:pPr>
              <w:tabs>
                <w:tab w:val="decimal" w:pos="360"/>
              </w:tabs>
              <w:spacing w:line="200" w:lineRule="auto"/>
              <w:jc w:val="center"/>
              <w:rPr>
                <w:sz w:val="20"/>
                <w:szCs w:val="20"/>
              </w:rPr>
            </w:pPr>
            <w:r w:rsidRPr="00F5353D">
              <w:rPr>
                <w:color w:val="000000"/>
                <w:sz w:val="20"/>
                <w:szCs w:val="20"/>
              </w:rPr>
              <w:t>8.99</w:t>
            </w:r>
          </w:p>
        </w:tc>
        <w:tc>
          <w:tcPr>
            <w:tcW w:w="209" w:type="pct"/>
            <w:tcBorders>
              <w:left w:val="single" w:sz="8" w:space="0" w:color="auto"/>
            </w:tcBorders>
            <w:tcMar>
              <w:top w:w="8" w:type="dxa"/>
              <w:left w:w="28" w:type="dxa"/>
              <w:bottom w:w="8" w:type="dxa"/>
              <w:right w:w="28" w:type="dxa"/>
            </w:tcMar>
            <w:vAlign w:val="bottom"/>
          </w:tcPr>
          <w:p w14:paraId="7109A674" w14:textId="2ECE9C78" w:rsidR="008D4085" w:rsidRPr="00F5353D" w:rsidRDefault="008D4085" w:rsidP="008D4085">
            <w:pPr>
              <w:tabs>
                <w:tab w:val="decimal" w:pos="360"/>
              </w:tabs>
              <w:spacing w:line="200" w:lineRule="auto"/>
              <w:jc w:val="center"/>
              <w:rPr>
                <w:sz w:val="20"/>
                <w:szCs w:val="20"/>
              </w:rPr>
            </w:pPr>
            <w:r w:rsidRPr="00F5353D">
              <w:rPr>
                <w:color w:val="000000"/>
                <w:sz w:val="20"/>
                <w:szCs w:val="20"/>
              </w:rPr>
              <w:t>0.63</w:t>
            </w:r>
          </w:p>
        </w:tc>
        <w:tc>
          <w:tcPr>
            <w:tcW w:w="244" w:type="pct"/>
            <w:tcBorders>
              <w:right w:val="single" w:sz="18" w:space="0" w:color="auto"/>
            </w:tcBorders>
            <w:tcMar>
              <w:top w:w="8" w:type="dxa"/>
              <w:left w:w="28" w:type="dxa"/>
              <w:bottom w:w="8" w:type="dxa"/>
              <w:right w:w="28" w:type="dxa"/>
            </w:tcMar>
            <w:vAlign w:val="bottom"/>
          </w:tcPr>
          <w:p w14:paraId="1A4399B8" w14:textId="36FCE95E" w:rsidR="008D4085" w:rsidRPr="00F5353D" w:rsidRDefault="008D4085" w:rsidP="008D4085">
            <w:pPr>
              <w:tabs>
                <w:tab w:val="decimal" w:pos="360"/>
              </w:tabs>
              <w:spacing w:line="200" w:lineRule="auto"/>
              <w:jc w:val="center"/>
              <w:rPr>
                <w:sz w:val="20"/>
                <w:szCs w:val="20"/>
              </w:rPr>
            </w:pPr>
            <w:r w:rsidRPr="00F5353D">
              <w:rPr>
                <w:color w:val="000000"/>
                <w:sz w:val="20"/>
                <w:szCs w:val="20"/>
              </w:rPr>
              <w:t>10.54</w:t>
            </w:r>
          </w:p>
        </w:tc>
        <w:tc>
          <w:tcPr>
            <w:tcW w:w="209" w:type="pct"/>
            <w:tcBorders>
              <w:left w:val="single" w:sz="18" w:space="0" w:color="auto"/>
            </w:tcBorders>
            <w:tcMar>
              <w:top w:w="8" w:type="dxa"/>
              <w:left w:w="28" w:type="dxa"/>
              <w:bottom w:w="8" w:type="dxa"/>
              <w:right w:w="28" w:type="dxa"/>
            </w:tcMar>
            <w:vAlign w:val="bottom"/>
          </w:tcPr>
          <w:p w14:paraId="2E6CD8C6" w14:textId="6E99A85A" w:rsidR="008D4085" w:rsidRPr="00F5353D" w:rsidRDefault="008D4085" w:rsidP="008D4085">
            <w:pPr>
              <w:tabs>
                <w:tab w:val="decimal" w:pos="360"/>
              </w:tabs>
              <w:spacing w:line="200" w:lineRule="auto"/>
              <w:jc w:val="center"/>
              <w:rPr>
                <w:sz w:val="20"/>
                <w:szCs w:val="20"/>
              </w:rPr>
            </w:pPr>
            <w:r w:rsidRPr="00F5353D">
              <w:rPr>
                <w:color w:val="000000"/>
                <w:sz w:val="20"/>
                <w:szCs w:val="20"/>
              </w:rPr>
              <w:t>0.61</w:t>
            </w:r>
          </w:p>
        </w:tc>
        <w:tc>
          <w:tcPr>
            <w:tcW w:w="244" w:type="pct"/>
            <w:tcBorders>
              <w:right w:val="single" w:sz="18" w:space="0" w:color="auto"/>
            </w:tcBorders>
            <w:tcMar>
              <w:top w:w="8" w:type="dxa"/>
              <w:left w:w="28" w:type="dxa"/>
              <w:bottom w:w="8" w:type="dxa"/>
              <w:right w:w="28" w:type="dxa"/>
            </w:tcMar>
            <w:vAlign w:val="bottom"/>
          </w:tcPr>
          <w:p w14:paraId="20C4EEDC" w14:textId="7F429B8F" w:rsidR="008D4085" w:rsidRPr="00F5353D" w:rsidRDefault="008D4085" w:rsidP="008D4085">
            <w:pPr>
              <w:tabs>
                <w:tab w:val="decimal" w:pos="360"/>
              </w:tabs>
              <w:spacing w:line="200" w:lineRule="auto"/>
              <w:jc w:val="center"/>
              <w:rPr>
                <w:sz w:val="20"/>
                <w:szCs w:val="20"/>
              </w:rPr>
            </w:pPr>
            <w:r w:rsidRPr="00F5353D">
              <w:rPr>
                <w:color w:val="000000"/>
                <w:sz w:val="20"/>
                <w:szCs w:val="20"/>
              </w:rPr>
              <w:t>6.10</w:t>
            </w:r>
          </w:p>
        </w:tc>
        <w:tc>
          <w:tcPr>
            <w:tcW w:w="209" w:type="pct"/>
            <w:tcBorders>
              <w:left w:val="single" w:sz="18" w:space="0" w:color="auto"/>
            </w:tcBorders>
            <w:tcMar>
              <w:top w:w="8" w:type="dxa"/>
              <w:left w:w="28" w:type="dxa"/>
              <w:bottom w:w="8" w:type="dxa"/>
              <w:right w:w="28" w:type="dxa"/>
            </w:tcMar>
            <w:vAlign w:val="bottom"/>
          </w:tcPr>
          <w:p w14:paraId="3E0C39F9" w14:textId="6316CBF7" w:rsidR="008D4085" w:rsidRPr="00F5353D" w:rsidRDefault="008D4085" w:rsidP="008D4085">
            <w:pPr>
              <w:tabs>
                <w:tab w:val="decimal" w:pos="360"/>
              </w:tabs>
              <w:spacing w:line="200" w:lineRule="auto"/>
              <w:jc w:val="center"/>
              <w:rPr>
                <w:sz w:val="20"/>
                <w:szCs w:val="20"/>
              </w:rPr>
            </w:pPr>
            <w:r w:rsidRPr="00F5353D">
              <w:rPr>
                <w:color w:val="000000"/>
                <w:sz w:val="20"/>
                <w:szCs w:val="20"/>
              </w:rPr>
              <w:t>0.56</w:t>
            </w:r>
          </w:p>
        </w:tc>
        <w:tc>
          <w:tcPr>
            <w:tcW w:w="209" w:type="pct"/>
            <w:tcBorders>
              <w:right w:val="single" w:sz="8" w:space="0" w:color="auto"/>
            </w:tcBorders>
            <w:tcMar>
              <w:top w:w="8" w:type="dxa"/>
              <w:left w:w="28" w:type="dxa"/>
              <w:bottom w:w="8" w:type="dxa"/>
              <w:right w:w="28" w:type="dxa"/>
            </w:tcMar>
            <w:vAlign w:val="bottom"/>
          </w:tcPr>
          <w:p w14:paraId="7618ED4E" w14:textId="7DD18528" w:rsidR="008D4085" w:rsidRPr="00F5353D" w:rsidRDefault="008D4085" w:rsidP="008D4085">
            <w:pPr>
              <w:tabs>
                <w:tab w:val="decimal" w:pos="360"/>
              </w:tabs>
              <w:spacing w:line="200" w:lineRule="auto"/>
              <w:ind w:left="-10"/>
              <w:jc w:val="center"/>
              <w:rPr>
                <w:sz w:val="20"/>
                <w:szCs w:val="20"/>
              </w:rPr>
            </w:pPr>
            <w:r w:rsidRPr="00F5353D">
              <w:rPr>
                <w:color w:val="000000"/>
                <w:sz w:val="20"/>
                <w:szCs w:val="20"/>
              </w:rPr>
              <w:t>8.26</w:t>
            </w:r>
          </w:p>
        </w:tc>
        <w:tc>
          <w:tcPr>
            <w:tcW w:w="209" w:type="pct"/>
            <w:tcBorders>
              <w:left w:val="single" w:sz="8" w:space="0" w:color="auto"/>
            </w:tcBorders>
            <w:tcMar>
              <w:top w:w="8" w:type="dxa"/>
              <w:left w:w="28" w:type="dxa"/>
              <w:bottom w:w="8" w:type="dxa"/>
              <w:right w:w="28" w:type="dxa"/>
            </w:tcMar>
            <w:vAlign w:val="bottom"/>
          </w:tcPr>
          <w:p w14:paraId="3554C019" w14:textId="747260FD" w:rsidR="008D4085" w:rsidRPr="00F5353D" w:rsidRDefault="008D4085" w:rsidP="008D4085">
            <w:pPr>
              <w:tabs>
                <w:tab w:val="decimal" w:pos="360"/>
              </w:tabs>
              <w:spacing w:line="200" w:lineRule="auto"/>
              <w:jc w:val="center"/>
              <w:rPr>
                <w:sz w:val="20"/>
                <w:szCs w:val="20"/>
              </w:rPr>
            </w:pPr>
            <w:r w:rsidRPr="00F5353D">
              <w:rPr>
                <w:color w:val="000000"/>
                <w:sz w:val="20"/>
                <w:szCs w:val="20"/>
              </w:rPr>
              <w:t>0.27</w:t>
            </w:r>
          </w:p>
        </w:tc>
        <w:tc>
          <w:tcPr>
            <w:tcW w:w="200" w:type="pct"/>
            <w:tcMar>
              <w:top w:w="8" w:type="dxa"/>
              <w:left w:w="28" w:type="dxa"/>
              <w:bottom w:w="8" w:type="dxa"/>
              <w:right w:w="28" w:type="dxa"/>
            </w:tcMar>
            <w:vAlign w:val="bottom"/>
          </w:tcPr>
          <w:p w14:paraId="0F5A552E" w14:textId="09BD2F14" w:rsidR="008D4085" w:rsidRPr="00F5353D" w:rsidRDefault="008D4085" w:rsidP="008D4085">
            <w:pPr>
              <w:tabs>
                <w:tab w:val="decimal" w:pos="360"/>
              </w:tabs>
              <w:spacing w:line="200" w:lineRule="auto"/>
              <w:jc w:val="center"/>
              <w:rPr>
                <w:sz w:val="20"/>
                <w:szCs w:val="20"/>
              </w:rPr>
            </w:pPr>
            <w:r w:rsidRPr="00F5353D">
              <w:rPr>
                <w:color w:val="000000"/>
                <w:sz w:val="20"/>
                <w:szCs w:val="20"/>
              </w:rPr>
              <w:t>3.97</w:t>
            </w:r>
          </w:p>
        </w:tc>
      </w:tr>
      <w:tr w:rsidR="008D4085" w:rsidRPr="00F5353D" w14:paraId="177E993C" w14:textId="77777777" w:rsidTr="00C35990">
        <w:trPr>
          <w:cantSplit/>
          <w:trHeight w:val="187"/>
        </w:trPr>
        <w:tc>
          <w:tcPr>
            <w:tcW w:w="1594" w:type="pct"/>
            <w:gridSpan w:val="3"/>
            <w:tcBorders>
              <w:right w:val="single" w:sz="18" w:space="0" w:color="auto"/>
            </w:tcBorders>
            <w:tcMar>
              <w:top w:w="8" w:type="dxa"/>
              <w:left w:w="28" w:type="dxa"/>
              <w:bottom w:w="8" w:type="dxa"/>
              <w:right w:w="28" w:type="dxa"/>
            </w:tcMar>
            <w:vAlign w:val="center"/>
          </w:tcPr>
          <w:p w14:paraId="01BDEBA4" w14:textId="77777777" w:rsidR="008D4085" w:rsidRPr="00F5353D" w:rsidRDefault="008D4085" w:rsidP="008D4085">
            <w:pPr>
              <w:spacing w:line="200" w:lineRule="auto"/>
              <w:rPr>
                <w:sz w:val="20"/>
                <w:szCs w:val="20"/>
              </w:rPr>
            </w:pPr>
            <w:r w:rsidRPr="00F5353D">
              <w:rPr>
                <w:sz w:val="20"/>
                <w:szCs w:val="20"/>
              </w:rPr>
              <w:t>Aggressive drivers</w:t>
            </w:r>
          </w:p>
        </w:tc>
        <w:tc>
          <w:tcPr>
            <w:tcW w:w="209" w:type="pct"/>
            <w:tcBorders>
              <w:left w:val="single" w:sz="18" w:space="0" w:color="auto"/>
            </w:tcBorders>
            <w:tcMar>
              <w:top w:w="8" w:type="dxa"/>
              <w:left w:w="28" w:type="dxa"/>
              <w:bottom w:w="8" w:type="dxa"/>
              <w:right w:w="28" w:type="dxa"/>
            </w:tcMar>
            <w:vAlign w:val="center"/>
          </w:tcPr>
          <w:p w14:paraId="6E05AE12"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10" w:type="pct"/>
            <w:tcBorders>
              <w:right w:val="single" w:sz="18" w:space="0" w:color="auto"/>
            </w:tcBorders>
            <w:tcMar>
              <w:top w:w="8" w:type="dxa"/>
              <w:left w:w="28" w:type="dxa"/>
              <w:bottom w:w="8" w:type="dxa"/>
              <w:right w:w="28" w:type="dxa"/>
            </w:tcMar>
            <w:vAlign w:val="center"/>
          </w:tcPr>
          <w:p w14:paraId="6AF3CAEC"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08" w:type="pct"/>
            <w:tcBorders>
              <w:left w:val="single" w:sz="18" w:space="0" w:color="auto"/>
            </w:tcBorders>
            <w:tcMar>
              <w:top w:w="8" w:type="dxa"/>
              <w:left w:w="28" w:type="dxa"/>
              <w:bottom w:w="8" w:type="dxa"/>
              <w:right w:w="28" w:type="dxa"/>
            </w:tcMar>
            <w:vAlign w:val="center"/>
          </w:tcPr>
          <w:p w14:paraId="25BC9D2C"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4FE667F1"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09" w:type="pct"/>
            <w:tcBorders>
              <w:left w:val="single" w:sz="8" w:space="0" w:color="auto"/>
            </w:tcBorders>
            <w:tcMar>
              <w:top w:w="8" w:type="dxa"/>
              <w:left w:w="28" w:type="dxa"/>
              <w:bottom w:w="8" w:type="dxa"/>
              <w:right w:w="28" w:type="dxa"/>
            </w:tcMar>
            <w:vAlign w:val="center"/>
          </w:tcPr>
          <w:p w14:paraId="552E62EA"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10" w:type="pct"/>
            <w:tcBorders>
              <w:right w:val="single" w:sz="18" w:space="0" w:color="auto"/>
            </w:tcBorders>
            <w:tcMar>
              <w:top w:w="8" w:type="dxa"/>
              <w:left w:w="28" w:type="dxa"/>
              <w:bottom w:w="8" w:type="dxa"/>
              <w:right w:w="28" w:type="dxa"/>
            </w:tcMar>
            <w:vAlign w:val="center"/>
          </w:tcPr>
          <w:p w14:paraId="6F958718"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09" w:type="pct"/>
            <w:tcBorders>
              <w:left w:val="single" w:sz="18" w:space="0" w:color="auto"/>
            </w:tcBorders>
            <w:tcMar>
              <w:top w:w="8" w:type="dxa"/>
              <w:left w:w="28" w:type="dxa"/>
              <w:bottom w:w="8" w:type="dxa"/>
              <w:right w:w="28" w:type="dxa"/>
            </w:tcMar>
            <w:vAlign w:val="center"/>
          </w:tcPr>
          <w:p w14:paraId="566C86A0" w14:textId="77777777" w:rsidR="008D4085" w:rsidRPr="00F5353D" w:rsidRDefault="008D4085" w:rsidP="008D4085">
            <w:pPr>
              <w:tabs>
                <w:tab w:val="decimal" w:pos="360"/>
              </w:tabs>
              <w:spacing w:line="200" w:lineRule="auto"/>
              <w:jc w:val="center"/>
              <w:rPr>
                <w:sz w:val="20"/>
                <w:szCs w:val="20"/>
              </w:rPr>
            </w:pPr>
            <w:r w:rsidRPr="00F5353D">
              <w:rPr>
                <w:sz w:val="20"/>
                <w:szCs w:val="20"/>
              </w:rPr>
              <w:t>1.00</w:t>
            </w:r>
          </w:p>
        </w:tc>
        <w:tc>
          <w:tcPr>
            <w:tcW w:w="209" w:type="pct"/>
            <w:tcBorders>
              <w:right w:val="single" w:sz="8" w:space="0" w:color="auto"/>
            </w:tcBorders>
            <w:tcMar>
              <w:top w:w="8" w:type="dxa"/>
              <w:left w:w="28" w:type="dxa"/>
              <w:bottom w:w="8" w:type="dxa"/>
              <w:right w:w="28" w:type="dxa"/>
            </w:tcMar>
            <w:vAlign w:val="center"/>
          </w:tcPr>
          <w:p w14:paraId="1C7578FA" w14:textId="77777777" w:rsidR="008D4085" w:rsidRPr="00F5353D" w:rsidRDefault="008D4085" w:rsidP="008D4085">
            <w:pPr>
              <w:tabs>
                <w:tab w:val="decimal" w:pos="360"/>
              </w:tabs>
              <w:spacing w:line="200" w:lineRule="auto"/>
              <w:jc w:val="center"/>
              <w:rPr>
                <w:sz w:val="20"/>
                <w:szCs w:val="20"/>
              </w:rPr>
            </w:pPr>
          </w:p>
        </w:tc>
        <w:tc>
          <w:tcPr>
            <w:tcW w:w="209" w:type="pct"/>
            <w:tcBorders>
              <w:left w:val="single" w:sz="8" w:space="0" w:color="auto"/>
            </w:tcBorders>
            <w:tcMar>
              <w:top w:w="8" w:type="dxa"/>
              <w:left w:w="28" w:type="dxa"/>
              <w:bottom w:w="8" w:type="dxa"/>
              <w:right w:w="28" w:type="dxa"/>
            </w:tcMar>
            <w:vAlign w:val="bottom"/>
          </w:tcPr>
          <w:p w14:paraId="61AEC1EB" w14:textId="6586EDDE" w:rsidR="008D4085" w:rsidRPr="00F5353D" w:rsidRDefault="008D4085" w:rsidP="008D4085">
            <w:pPr>
              <w:tabs>
                <w:tab w:val="decimal" w:pos="360"/>
              </w:tabs>
              <w:spacing w:line="200" w:lineRule="auto"/>
              <w:jc w:val="center"/>
              <w:rPr>
                <w:sz w:val="20"/>
                <w:szCs w:val="20"/>
              </w:rPr>
            </w:pPr>
            <w:r w:rsidRPr="00F5353D">
              <w:rPr>
                <w:color w:val="000000"/>
                <w:sz w:val="20"/>
                <w:szCs w:val="20"/>
              </w:rPr>
              <w:t>0.88</w:t>
            </w:r>
          </w:p>
        </w:tc>
        <w:tc>
          <w:tcPr>
            <w:tcW w:w="244" w:type="pct"/>
            <w:tcBorders>
              <w:right w:val="single" w:sz="18" w:space="0" w:color="auto"/>
            </w:tcBorders>
            <w:tcMar>
              <w:top w:w="8" w:type="dxa"/>
              <w:left w:w="28" w:type="dxa"/>
              <w:bottom w:w="8" w:type="dxa"/>
              <w:right w:w="28" w:type="dxa"/>
            </w:tcMar>
            <w:vAlign w:val="bottom"/>
          </w:tcPr>
          <w:p w14:paraId="08524FEE" w14:textId="7A68A624" w:rsidR="008D4085" w:rsidRPr="00F5353D" w:rsidRDefault="008D4085" w:rsidP="008D4085">
            <w:pPr>
              <w:tabs>
                <w:tab w:val="decimal" w:pos="360"/>
              </w:tabs>
              <w:spacing w:line="200" w:lineRule="auto"/>
              <w:jc w:val="center"/>
              <w:rPr>
                <w:sz w:val="20"/>
                <w:szCs w:val="20"/>
              </w:rPr>
            </w:pPr>
            <w:r w:rsidRPr="00F5353D">
              <w:rPr>
                <w:color w:val="000000"/>
                <w:sz w:val="20"/>
                <w:szCs w:val="20"/>
              </w:rPr>
              <w:t>22.07</w:t>
            </w:r>
          </w:p>
        </w:tc>
        <w:tc>
          <w:tcPr>
            <w:tcW w:w="209" w:type="pct"/>
            <w:tcBorders>
              <w:left w:val="single" w:sz="18" w:space="0" w:color="auto"/>
            </w:tcBorders>
            <w:tcMar>
              <w:top w:w="8" w:type="dxa"/>
              <w:left w:w="28" w:type="dxa"/>
              <w:bottom w:w="8" w:type="dxa"/>
              <w:right w:w="28" w:type="dxa"/>
            </w:tcMar>
            <w:vAlign w:val="bottom"/>
          </w:tcPr>
          <w:p w14:paraId="58D12517" w14:textId="13285AAC" w:rsidR="008D4085" w:rsidRPr="00F5353D" w:rsidRDefault="008D4085" w:rsidP="008D4085">
            <w:pPr>
              <w:tabs>
                <w:tab w:val="decimal" w:pos="360"/>
              </w:tabs>
              <w:spacing w:line="200" w:lineRule="auto"/>
              <w:jc w:val="center"/>
              <w:rPr>
                <w:sz w:val="20"/>
                <w:szCs w:val="20"/>
              </w:rPr>
            </w:pPr>
            <w:r w:rsidRPr="00F5353D">
              <w:rPr>
                <w:color w:val="000000"/>
                <w:sz w:val="20"/>
                <w:szCs w:val="20"/>
              </w:rPr>
              <w:t>0.48</w:t>
            </w:r>
          </w:p>
        </w:tc>
        <w:tc>
          <w:tcPr>
            <w:tcW w:w="244" w:type="pct"/>
            <w:tcBorders>
              <w:right w:val="single" w:sz="18" w:space="0" w:color="auto"/>
            </w:tcBorders>
            <w:tcMar>
              <w:top w:w="8" w:type="dxa"/>
              <w:left w:w="28" w:type="dxa"/>
              <w:bottom w:w="8" w:type="dxa"/>
              <w:right w:w="28" w:type="dxa"/>
            </w:tcMar>
            <w:vAlign w:val="bottom"/>
          </w:tcPr>
          <w:p w14:paraId="6A88D612" w14:textId="2A84568F" w:rsidR="008D4085" w:rsidRPr="00F5353D" w:rsidRDefault="008D4085" w:rsidP="008D4085">
            <w:pPr>
              <w:tabs>
                <w:tab w:val="decimal" w:pos="360"/>
              </w:tabs>
              <w:spacing w:line="200" w:lineRule="auto"/>
              <w:jc w:val="center"/>
              <w:rPr>
                <w:sz w:val="20"/>
                <w:szCs w:val="20"/>
              </w:rPr>
            </w:pPr>
            <w:r w:rsidRPr="00F5353D">
              <w:rPr>
                <w:color w:val="000000"/>
                <w:sz w:val="20"/>
                <w:szCs w:val="20"/>
              </w:rPr>
              <w:t>4.58</w:t>
            </w:r>
          </w:p>
        </w:tc>
        <w:tc>
          <w:tcPr>
            <w:tcW w:w="209" w:type="pct"/>
            <w:tcBorders>
              <w:left w:val="single" w:sz="18" w:space="0" w:color="auto"/>
            </w:tcBorders>
            <w:tcMar>
              <w:top w:w="8" w:type="dxa"/>
              <w:left w:w="28" w:type="dxa"/>
              <w:bottom w:w="8" w:type="dxa"/>
              <w:right w:w="28" w:type="dxa"/>
            </w:tcMar>
            <w:vAlign w:val="bottom"/>
          </w:tcPr>
          <w:p w14:paraId="1E894DE7" w14:textId="34AFFA1E" w:rsidR="008D4085" w:rsidRPr="00F5353D" w:rsidRDefault="008D4085" w:rsidP="008D4085">
            <w:pPr>
              <w:tabs>
                <w:tab w:val="decimal" w:pos="360"/>
              </w:tabs>
              <w:spacing w:line="200" w:lineRule="auto"/>
              <w:jc w:val="center"/>
              <w:rPr>
                <w:sz w:val="20"/>
                <w:szCs w:val="20"/>
              </w:rPr>
            </w:pPr>
            <w:r w:rsidRPr="00F5353D">
              <w:rPr>
                <w:color w:val="000000"/>
                <w:sz w:val="20"/>
                <w:szCs w:val="20"/>
              </w:rPr>
              <w:t>0.64</w:t>
            </w:r>
          </w:p>
        </w:tc>
        <w:tc>
          <w:tcPr>
            <w:tcW w:w="209" w:type="pct"/>
            <w:tcBorders>
              <w:right w:val="single" w:sz="8" w:space="0" w:color="auto"/>
            </w:tcBorders>
            <w:tcMar>
              <w:top w:w="8" w:type="dxa"/>
              <w:left w:w="28" w:type="dxa"/>
              <w:bottom w:w="8" w:type="dxa"/>
              <w:right w:w="28" w:type="dxa"/>
            </w:tcMar>
            <w:vAlign w:val="bottom"/>
          </w:tcPr>
          <w:p w14:paraId="147E56D6" w14:textId="4F2A3589" w:rsidR="008D4085" w:rsidRPr="00F5353D" w:rsidRDefault="008D4085" w:rsidP="008D4085">
            <w:pPr>
              <w:tabs>
                <w:tab w:val="decimal" w:pos="360"/>
              </w:tabs>
              <w:spacing w:line="200" w:lineRule="auto"/>
              <w:jc w:val="center"/>
              <w:rPr>
                <w:sz w:val="20"/>
                <w:szCs w:val="20"/>
              </w:rPr>
            </w:pPr>
            <w:r w:rsidRPr="00F5353D">
              <w:rPr>
                <w:color w:val="000000"/>
                <w:sz w:val="20"/>
                <w:szCs w:val="20"/>
              </w:rPr>
              <w:t>11.72</w:t>
            </w:r>
          </w:p>
        </w:tc>
        <w:tc>
          <w:tcPr>
            <w:tcW w:w="209" w:type="pct"/>
            <w:tcBorders>
              <w:left w:val="single" w:sz="8" w:space="0" w:color="auto"/>
            </w:tcBorders>
            <w:tcMar>
              <w:top w:w="8" w:type="dxa"/>
              <w:left w:w="28" w:type="dxa"/>
              <w:bottom w:w="8" w:type="dxa"/>
              <w:right w:w="28" w:type="dxa"/>
            </w:tcMar>
            <w:vAlign w:val="bottom"/>
          </w:tcPr>
          <w:p w14:paraId="4DD600E5" w14:textId="7F683B91" w:rsidR="008D4085" w:rsidRPr="00F5353D" w:rsidRDefault="008D4085" w:rsidP="008D4085">
            <w:pPr>
              <w:tabs>
                <w:tab w:val="decimal" w:pos="360"/>
              </w:tabs>
              <w:spacing w:line="200" w:lineRule="auto"/>
              <w:jc w:val="center"/>
              <w:rPr>
                <w:sz w:val="20"/>
                <w:szCs w:val="20"/>
              </w:rPr>
            </w:pPr>
            <w:r w:rsidRPr="00F5353D">
              <w:rPr>
                <w:color w:val="000000"/>
                <w:sz w:val="20"/>
                <w:szCs w:val="20"/>
              </w:rPr>
              <w:t>0.20</w:t>
            </w:r>
          </w:p>
        </w:tc>
        <w:tc>
          <w:tcPr>
            <w:tcW w:w="200" w:type="pct"/>
            <w:tcMar>
              <w:top w:w="8" w:type="dxa"/>
              <w:left w:w="28" w:type="dxa"/>
              <w:bottom w:w="8" w:type="dxa"/>
              <w:right w:w="28" w:type="dxa"/>
            </w:tcMar>
            <w:vAlign w:val="bottom"/>
          </w:tcPr>
          <w:p w14:paraId="25ED3107" w14:textId="2176DB59" w:rsidR="008D4085" w:rsidRPr="00F5353D" w:rsidRDefault="008D4085" w:rsidP="008D4085">
            <w:pPr>
              <w:tabs>
                <w:tab w:val="decimal" w:pos="360"/>
              </w:tabs>
              <w:spacing w:line="200" w:lineRule="auto"/>
              <w:jc w:val="center"/>
              <w:rPr>
                <w:sz w:val="20"/>
                <w:szCs w:val="20"/>
              </w:rPr>
            </w:pPr>
            <w:r w:rsidRPr="00F5353D">
              <w:rPr>
                <w:color w:val="000000"/>
                <w:sz w:val="20"/>
                <w:szCs w:val="20"/>
              </w:rPr>
              <w:t>2.87</w:t>
            </w:r>
          </w:p>
        </w:tc>
      </w:tr>
      <w:tr w:rsidR="008D4085" w:rsidRPr="00F5353D" w14:paraId="6FBB9334" w14:textId="77777777" w:rsidTr="00C35990">
        <w:trPr>
          <w:cantSplit/>
          <w:trHeight w:val="187"/>
        </w:trPr>
        <w:tc>
          <w:tcPr>
            <w:tcW w:w="1594" w:type="pct"/>
            <w:gridSpan w:val="3"/>
            <w:tcBorders>
              <w:right w:val="single" w:sz="18" w:space="0" w:color="auto"/>
            </w:tcBorders>
            <w:tcMar>
              <w:top w:w="8" w:type="dxa"/>
              <w:left w:w="28" w:type="dxa"/>
              <w:bottom w:w="8" w:type="dxa"/>
              <w:right w:w="28" w:type="dxa"/>
            </w:tcMar>
            <w:vAlign w:val="center"/>
          </w:tcPr>
          <w:p w14:paraId="6EC95568" w14:textId="77777777" w:rsidR="008D4085" w:rsidRPr="00F5353D" w:rsidRDefault="008D4085" w:rsidP="008D4085">
            <w:pPr>
              <w:spacing w:line="200" w:lineRule="auto"/>
              <w:rPr>
                <w:sz w:val="20"/>
                <w:szCs w:val="20"/>
              </w:rPr>
            </w:pPr>
            <w:r w:rsidRPr="00F5353D">
              <w:rPr>
                <w:sz w:val="20"/>
                <w:szCs w:val="20"/>
              </w:rPr>
              <w:t>Distracted drivers</w:t>
            </w:r>
          </w:p>
        </w:tc>
        <w:tc>
          <w:tcPr>
            <w:tcW w:w="209" w:type="pct"/>
            <w:tcBorders>
              <w:left w:val="single" w:sz="18" w:space="0" w:color="auto"/>
            </w:tcBorders>
            <w:tcMar>
              <w:top w:w="8" w:type="dxa"/>
              <w:left w:w="28" w:type="dxa"/>
              <w:bottom w:w="8" w:type="dxa"/>
              <w:right w:w="28" w:type="dxa"/>
            </w:tcMar>
            <w:vAlign w:val="center"/>
          </w:tcPr>
          <w:p w14:paraId="3CDE62FA"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10" w:type="pct"/>
            <w:tcBorders>
              <w:right w:val="single" w:sz="18" w:space="0" w:color="auto"/>
            </w:tcBorders>
            <w:tcMar>
              <w:top w:w="8" w:type="dxa"/>
              <w:left w:w="28" w:type="dxa"/>
              <w:bottom w:w="8" w:type="dxa"/>
              <w:right w:w="28" w:type="dxa"/>
            </w:tcMar>
            <w:vAlign w:val="center"/>
          </w:tcPr>
          <w:p w14:paraId="3A87F5C0"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08" w:type="pct"/>
            <w:tcBorders>
              <w:left w:val="single" w:sz="18" w:space="0" w:color="auto"/>
            </w:tcBorders>
            <w:tcMar>
              <w:top w:w="8" w:type="dxa"/>
              <w:left w:w="28" w:type="dxa"/>
              <w:bottom w:w="8" w:type="dxa"/>
              <w:right w:w="28" w:type="dxa"/>
            </w:tcMar>
            <w:vAlign w:val="center"/>
          </w:tcPr>
          <w:p w14:paraId="0CEB93EE"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4496C862"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09" w:type="pct"/>
            <w:tcBorders>
              <w:left w:val="single" w:sz="8" w:space="0" w:color="auto"/>
            </w:tcBorders>
            <w:tcMar>
              <w:top w:w="8" w:type="dxa"/>
              <w:left w:w="28" w:type="dxa"/>
              <w:bottom w:w="8" w:type="dxa"/>
              <w:right w:w="28" w:type="dxa"/>
            </w:tcMar>
            <w:vAlign w:val="center"/>
          </w:tcPr>
          <w:p w14:paraId="679236E9"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10" w:type="pct"/>
            <w:tcBorders>
              <w:right w:val="single" w:sz="18" w:space="0" w:color="auto"/>
            </w:tcBorders>
            <w:tcMar>
              <w:top w:w="8" w:type="dxa"/>
              <w:left w:w="28" w:type="dxa"/>
              <w:bottom w:w="8" w:type="dxa"/>
              <w:right w:w="28" w:type="dxa"/>
            </w:tcMar>
            <w:vAlign w:val="center"/>
          </w:tcPr>
          <w:p w14:paraId="6F516447"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09" w:type="pct"/>
            <w:tcBorders>
              <w:left w:val="single" w:sz="18" w:space="0" w:color="auto"/>
            </w:tcBorders>
            <w:tcMar>
              <w:top w:w="8" w:type="dxa"/>
              <w:left w:w="28" w:type="dxa"/>
              <w:bottom w:w="8" w:type="dxa"/>
              <w:right w:w="28" w:type="dxa"/>
            </w:tcMar>
            <w:vAlign w:val="center"/>
          </w:tcPr>
          <w:p w14:paraId="2080FD9E"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0F8E59C3"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09" w:type="pct"/>
            <w:tcBorders>
              <w:left w:val="single" w:sz="8" w:space="0" w:color="auto"/>
            </w:tcBorders>
            <w:tcMar>
              <w:top w:w="8" w:type="dxa"/>
              <w:left w:w="28" w:type="dxa"/>
              <w:bottom w:w="8" w:type="dxa"/>
              <w:right w:w="28" w:type="dxa"/>
            </w:tcMar>
            <w:vAlign w:val="center"/>
          </w:tcPr>
          <w:p w14:paraId="63164CA1" w14:textId="77777777" w:rsidR="008D4085" w:rsidRPr="00F5353D" w:rsidRDefault="008D4085" w:rsidP="008D4085">
            <w:pPr>
              <w:tabs>
                <w:tab w:val="decimal" w:pos="360"/>
              </w:tabs>
              <w:spacing w:line="200" w:lineRule="auto"/>
              <w:jc w:val="center"/>
              <w:rPr>
                <w:sz w:val="20"/>
                <w:szCs w:val="20"/>
              </w:rPr>
            </w:pPr>
            <w:r w:rsidRPr="00F5353D">
              <w:rPr>
                <w:sz w:val="20"/>
                <w:szCs w:val="20"/>
              </w:rPr>
              <w:t>1.00</w:t>
            </w:r>
          </w:p>
        </w:tc>
        <w:tc>
          <w:tcPr>
            <w:tcW w:w="244" w:type="pct"/>
            <w:tcBorders>
              <w:right w:val="single" w:sz="18" w:space="0" w:color="auto"/>
            </w:tcBorders>
            <w:tcMar>
              <w:top w:w="8" w:type="dxa"/>
              <w:left w:w="28" w:type="dxa"/>
              <w:bottom w:w="8" w:type="dxa"/>
              <w:right w:w="28" w:type="dxa"/>
            </w:tcMar>
            <w:vAlign w:val="center"/>
          </w:tcPr>
          <w:p w14:paraId="69869E91" w14:textId="77777777" w:rsidR="008D4085" w:rsidRPr="00F5353D" w:rsidRDefault="008D4085" w:rsidP="008D4085">
            <w:pPr>
              <w:tabs>
                <w:tab w:val="decimal" w:pos="360"/>
              </w:tabs>
              <w:spacing w:line="200" w:lineRule="auto"/>
              <w:jc w:val="center"/>
              <w:rPr>
                <w:sz w:val="20"/>
                <w:szCs w:val="20"/>
              </w:rPr>
            </w:pPr>
          </w:p>
        </w:tc>
        <w:tc>
          <w:tcPr>
            <w:tcW w:w="209" w:type="pct"/>
            <w:tcBorders>
              <w:left w:val="single" w:sz="18" w:space="0" w:color="auto"/>
            </w:tcBorders>
            <w:tcMar>
              <w:top w:w="8" w:type="dxa"/>
              <w:left w:w="28" w:type="dxa"/>
              <w:bottom w:w="8" w:type="dxa"/>
              <w:right w:w="28" w:type="dxa"/>
            </w:tcMar>
            <w:vAlign w:val="bottom"/>
          </w:tcPr>
          <w:p w14:paraId="6C7E17F6" w14:textId="4A87EA89" w:rsidR="008D4085" w:rsidRPr="00F5353D" w:rsidRDefault="008D4085" w:rsidP="008D4085">
            <w:pPr>
              <w:tabs>
                <w:tab w:val="decimal" w:pos="360"/>
              </w:tabs>
              <w:spacing w:line="200" w:lineRule="auto"/>
              <w:jc w:val="center"/>
              <w:rPr>
                <w:sz w:val="20"/>
                <w:szCs w:val="20"/>
              </w:rPr>
            </w:pPr>
            <w:r w:rsidRPr="00F5353D">
              <w:rPr>
                <w:color w:val="000000"/>
                <w:sz w:val="20"/>
                <w:szCs w:val="20"/>
              </w:rPr>
              <w:t>0.56</w:t>
            </w:r>
          </w:p>
        </w:tc>
        <w:tc>
          <w:tcPr>
            <w:tcW w:w="244" w:type="pct"/>
            <w:tcBorders>
              <w:right w:val="single" w:sz="18" w:space="0" w:color="auto"/>
            </w:tcBorders>
            <w:tcMar>
              <w:top w:w="8" w:type="dxa"/>
              <w:left w:w="28" w:type="dxa"/>
              <w:bottom w:w="8" w:type="dxa"/>
              <w:right w:w="28" w:type="dxa"/>
            </w:tcMar>
            <w:vAlign w:val="bottom"/>
          </w:tcPr>
          <w:p w14:paraId="3C6A18CD" w14:textId="5EE6750A" w:rsidR="008D4085" w:rsidRPr="00F5353D" w:rsidRDefault="008D4085" w:rsidP="008D4085">
            <w:pPr>
              <w:tabs>
                <w:tab w:val="decimal" w:pos="360"/>
              </w:tabs>
              <w:spacing w:line="200" w:lineRule="auto"/>
              <w:jc w:val="center"/>
              <w:rPr>
                <w:sz w:val="20"/>
                <w:szCs w:val="20"/>
              </w:rPr>
            </w:pPr>
            <w:r w:rsidRPr="00F5353D">
              <w:rPr>
                <w:color w:val="000000"/>
                <w:sz w:val="20"/>
                <w:szCs w:val="20"/>
              </w:rPr>
              <w:t>6.00</w:t>
            </w:r>
          </w:p>
        </w:tc>
        <w:tc>
          <w:tcPr>
            <w:tcW w:w="209" w:type="pct"/>
            <w:tcBorders>
              <w:left w:val="single" w:sz="18" w:space="0" w:color="auto"/>
            </w:tcBorders>
            <w:tcMar>
              <w:top w:w="8" w:type="dxa"/>
              <w:left w:w="28" w:type="dxa"/>
              <w:bottom w:w="8" w:type="dxa"/>
              <w:right w:w="28" w:type="dxa"/>
            </w:tcMar>
            <w:vAlign w:val="bottom"/>
          </w:tcPr>
          <w:p w14:paraId="4D46419F" w14:textId="22B16804" w:rsidR="008D4085" w:rsidRPr="00F5353D" w:rsidRDefault="008D4085" w:rsidP="008D4085">
            <w:pPr>
              <w:tabs>
                <w:tab w:val="decimal" w:pos="360"/>
              </w:tabs>
              <w:spacing w:line="200" w:lineRule="auto"/>
              <w:jc w:val="center"/>
              <w:rPr>
                <w:sz w:val="20"/>
                <w:szCs w:val="20"/>
              </w:rPr>
            </w:pPr>
            <w:r w:rsidRPr="00F5353D">
              <w:rPr>
                <w:color w:val="000000"/>
                <w:sz w:val="20"/>
                <w:szCs w:val="20"/>
              </w:rPr>
              <w:t>0.56</w:t>
            </w:r>
          </w:p>
        </w:tc>
        <w:tc>
          <w:tcPr>
            <w:tcW w:w="209" w:type="pct"/>
            <w:tcBorders>
              <w:right w:val="single" w:sz="8" w:space="0" w:color="auto"/>
            </w:tcBorders>
            <w:tcMar>
              <w:top w:w="8" w:type="dxa"/>
              <w:left w:w="28" w:type="dxa"/>
              <w:bottom w:w="8" w:type="dxa"/>
              <w:right w:w="28" w:type="dxa"/>
            </w:tcMar>
            <w:vAlign w:val="bottom"/>
          </w:tcPr>
          <w:p w14:paraId="1B503FBD" w14:textId="3B0E95B7" w:rsidR="008D4085" w:rsidRPr="00F5353D" w:rsidRDefault="008D4085" w:rsidP="008D4085">
            <w:pPr>
              <w:tabs>
                <w:tab w:val="decimal" w:pos="360"/>
              </w:tabs>
              <w:spacing w:line="200" w:lineRule="auto"/>
              <w:jc w:val="center"/>
              <w:rPr>
                <w:sz w:val="20"/>
                <w:szCs w:val="20"/>
              </w:rPr>
            </w:pPr>
            <w:r w:rsidRPr="00F5353D">
              <w:rPr>
                <w:color w:val="000000"/>
                <w:sz w:val="20"/>
                <w:szCs w:val="20"/>
              </w:rPr>
              <w:t>10.86</w:t>
            </w:r>
          </w:p>
        </w:tc>
        <w:tc>
          <w:tcPr>
            <w:tcW w:w="209" w:type="pct"/>
            <w:tcBorders>
              <w:left w:val="single" w:sz="8" w:space="0" w:color="auto"/>
            </w:tcBorders>
            <w:tcMar>
              <w:top w:w="8" w:type="dxa"/>
              <w:left w:w="28" w:type="dxa"/>
              <w:bottom w:w="8" w:type="dxa"/>
              <w:right w:w="28" w:type="dxa"/>
            </w:tcMar>
            <w:vAlign w:val="bottom"/>
          </w:tcPr>
          <w:p w14:paraId="70A9FA5E" w14:textId="7FA440E0" w:rsidR="008D4085" w:rsidRPr="00F5353D" w:rsidRDefault="008D4085" w:rsidP="008D4085">
            <w:pPr>
              <w:tabs>
                <w:tab w:val="decimal" w:pos="360"/>
              </w:tabs>
              <w:spacing w:line="200" w:lineRule="auto"/>
              <w:jc w:val="center"/>
              <w:rPr>
                <w:sz w:val="20"/>
                <w:szCs w:val="20"/>
              </w:rPr>
            </w:pPr>
            <w:r w:rsidRPr="00F5353D">
              <w:rPr>
                <w:color w:val="000000"/>
                <w:sz w:val="20"/>
                <w:szCs w:val="20"/>
              </w:rPr>
              <w:t>0.11</w:t>
            </w:r>
          </w:p>
        </w:tc>
        <w:tc>
          <w:tcPr>
            <w:tcW w:w="200" w:type="pct"/>
            <w:tcMar>
              <w:top w:w="8" w:type="dxa"/>
              <w:left w:w="28" w:type="dxa"/>
              <w:bottom w:w="8" w:type="dxa"/>
              <w:right w:w="28" w:type="dxa"/>
            </w:tcMar>
            <w:vAlign w:val="bottom"/>
          </w:tcPr>
          <w:p w14:paraId="43F6D7A4" w14:textId="1D7CA71A" w:rsidR="008D4085" w:rsidRPr="00F5353D" w:rsidRDefault="008D4085" w:rsidP="008D4085">
            <w:pPr>
              <w:tabs>
                <w:tab w:val="decimal" w:pos="360"/>
              </w:tabs>
              <w:spacing w:line="200" w:lineRule="auto"/>
              <w:jc w:val="center"/>
              <w:rPr>
                <w:sz w:val="20"/>
                <w:szCs w:val="20"/>
              </w:rPr>
            </w:pPr>
            <w:r w:rsidRPr="00F5353D">
              <w:rPr>
                <w:color w:val="000000"/>
                <w:sz w:val="20"/>
                <w:szCs w:val="20"/>
              </w:rPr>
              <w:t>1.94</w:t>
            </w:r>
          </w:p>
        </w:tc>
      </w:tr>
      <w:tr w:rsidR="008D4085" w:rsidRPr="00F5353D" w14:paraId="2D6363CA" w14:textId="77777777" w:rsidTr="00C35990">
        <w:trPr>
          <w:cantSplit/>
          <w:trHeight w:val="187"/>
        </w:trPr>
        <w:tc>
          <w:tcPr>
            <w:tcW w:w="1594" w:type="pct"/>
            <w:gridSpan w:val="3"/>
            <w:tcBorders>
              <w:right w:val="single" w:sz="18" w:space="0" w:color="auto"/>
            </w:tcBorders>
            <w:tcMar>
              <w:top w:w="8" w:type="dxa"/>
              <w:left w:w="28" w:type="dxa"/>
              <w:bottom w:w="8" w:type="dxa"/>
              <w:right w:w="28" w:type="dxa"/>
            </w:tcMar>
            <w:vAlign w:val="center"/>
          </w:tcPr>
          <w:p w14:paraId="0A0B2FEC" w14:textId="77777777" w:rsidR="008D4085" w:rsidRPr="00F5353D" w:rsidRDefault="008D4085" w:rsidP="008D4085">
            <w:pPr>
              <w:spacing w:line="200" w:lineRule="auto"/>
              <w:rPr>
                <w:sz w:val="20"/>
                <w:szCs w:val="20"/>
              </w:rPr>
            </w:pPr>
            <w:r w:rsidRPr="00F5353D">
              <w:rPr>
                <w:sz w:val="20"/>
                <w:szCs w:val="20"/>
              </w:rPr>
              <w:t>Loitering / threatening</w:t>
            </w:r>
          </w:p>
        </w:tc>
        <w:tc>
          <w:tcPr>
            <w:tcW w:w="209" w:type="pct"/>
            <w:tcBorders>
              <w:left w:val="single" w:sz="18" w:space="0" w:color="auto"/>
            </w:tcBorders>
            <w:tcMar>
              <w:top w:w="8" w:type="dxa"/>
              <w:left w:w="28" w:type="dxa"/>
              <w:bottom w:w="8" w:type="dxa"/>
              <w:right w:w="28" w:type="dxa"/>
            </w:tcMar>
            <w:vAlign w:val="center"/>
          </w:tcPr>
          <w:p w14:paraId="6A3A384A"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10" w:type="pct"/>
            <w:tcBorders>
              <w:right w:val="single" w:sz="18" w:space="0" w:color="auto"/>
            </w:tcBorders>
            <w:tcMar>
              <w:top w:w="8" w:type="dxa"/>
              <w:left w:w="28" w:type="dxa"/>
              <w:bottom w:w="8" w:type="dxa"/>
              <w:right w:w="28" w:type="dxa"/>
            </w:tcMar>
            <w:vAlign w:val="center"/>
          </w:tcPr>
          <w:p w14:paraId="568E5AA1"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08" w:type="pct"/>
            <w:tcBorders>
              <w:left w:val="single" w:sz="18" w:space="0" w:color="auto"/>
            </w:tcBorders>
            <w:tcMar>
              <w:top w:w="8" w:type="dxa"/>
              <w:left w:w="28" w:type="dxa"/>
              <w:bottom w:w="8" w:type="dxa"/>
              <w:right w:w="28" w:type="dxa"/>
            </w:tcMar>
            <w:vAlign w:val="center"/>
          </w:tcPr>
          <w:p w14:paraId="2E37B3F9"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2A0016FF"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09" w:type="pct"/>
            <w:tcBorders>
              <w:left w:val="single" w:sz="8" w:space="0" w:color="auto"/>
            </w:tcBorders>
            <w:tcMar>
              <w:top w:w="8" w:type="dxa"/>
              <w:left w:w="28" w:type="dxa"/>
              <w:bottom w:w="8" w:type="dxa"/>
              <w:right w:w="28" w:type="dxa"/>
            </w:tcMar>
            <w:vAlign w:val="center"/>
          </w:tcPr>
          <w:p w14:paraId="607F0FAC"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10" w:type="pct"/>
            <w:tcBorders>
              <w:right w:val="single" w:sz="18" w:space="0" w:color="auto"/>
            </w:tcBorders>
            <w:tcMar>
              <w:top w:w="8" w:type="dxa"/>
              <w:left w:w="28" w:type="dxa"/>
              <w:bottom w:w="8" w:type="dxa"/>
              <w:right w:w="28" w:type="dxa"/>
            </w:tcMar>
            <w:vAlign w:val="center"/>
          </w:tcPr>
          <w:p w14:paraId="05892DED"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09" w:type="pct"/>
            <w:tcBorders>
              <w:left w:val="single" w:sz="18" w:space="0" w:color="auto"/>
            </w:tcBorders>
            <w:tcMar>
              <w:top w:w="8" w:type="dxa"/>
              <w:left w:w="28" w:type="dxa"/>
              <w:bottom w:w="8" w:type="dxa"/>
              <w:right w:w="28" w:type="dxa"/>
            </w:tcMar>
            <w:vAlign w:val="center"/>
          </w:tcPr>
          <w:p w14:paraId="7AB39AE9"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574AD73A"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09" w:type="pct"/>
            <w:tcBorders>
              <w:left w:val="single" w:sz="8" w:space="0" w:color="auto"/>
            </w:tcBorders>
            <w:tcMar>
              <w:top w:w="8" w:type="dxa"/>
              <w:left w:w="28" w:type="dxa"/>
              <w:bottom w:w="8" w:type="dxa"/>
              <w:right w:w="28" w:type="dxa"/>
            </w:tcMar>
            <w:vAlign w:val="center"/>
          </w:tcPr>
          <w:p w14:paraId="6D2FAC33"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44" w:type="pct"/>
            <w:tcBorders>
              <w:right w:val="single" w:sz="18" w:space="0" w:color="auto"/>
            </w:tcBorders>
            <w:tcMar>
              <w:top w:w="8" w:type="dxa"/>
              <w:left w:w="28" w:type="dxa"/>
              <w:bottom w:w="8" w:type="dxa"/>
              <w:right w:w="28" w:type="dxa"/>
            </w:tcMar>
            <w:vAlign w:val="center"/>
          </w:tcPr>
          <w:p w14:paraId="58EE2274"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09" w:type="pct"/>
            <w:tcBorders>
              <w:left w:val="single" w:sz="18" w:space="0" w:color="auto"/>
            </w:tcBorders>
            <w:tcMar>
              <w:top w:w="8" w:type="dxa"/>
              <w:left w:w="28" w:type="dxa"/>
              <w:bottom w:w="8" w:type="dxa"/>
              <w:right w:w="28" w:type="dxa"/>
            </w:tcMar>
            <w:vAlign w:val="center"/>
          </w:tcPr>
          <w:p w14:paraId="42AC94C8" w14:textId="77777777" w:rsidR="008D4085" w:rsidRPr="00F5353D" w:rsidRDefault="008D4085" w:rsidP="008D4085">
            <w:pPr>
              <w:tabs>
                <w:tab w:val="decimal" w:pos="360"/>
              </w:tabs>
              <w:spacing w:line="200" w:lineRule="auto"/>
              <w:jc w:val="center"/>
              <w:rPr>
                <w:sz w:val="20"/>
                <w:szCs w:val="20"/>
              </w:rPr>
            </w:pPr>
            <w:r w:rsidRPr="00F5353D">
              <w:rPr>
                <w:sz w:val="20"/>
                <w:szCs w:val="20"/>
              </w:rPr>
              <w:t>1.00</w:t>
            </w:r>
          </w:p>
        </w:tc>
        <w:tc>
          <w:tcPr>
            <w:tcW w:w="244" w:type="pct"/>
            <w:tcBorders>
              <w:right w:val="single" w:sz="18" w:space="0" w:color="auto"/>
            </w:tcBorders>
            <w:tcMar>
              <w:top w:w="8" w:type="dxa"/>
              <w:left w:w="28" w:type="dxa"/>
              <w:bottom w:w="8" w:type="dxa"/>
              <w:right w:w="28" w:type="dxa"/>
            </w:tcMar>
            <w:vAlign w:val="center"/>
          </w:tcPr>
          <w:p w14:paraId="71D491EC" w14:textId="77777777" w:rsidR="008D4085" w:rsidRPr="00F5353D" w:rsidRDefault="008D4085" w:rsidP="008D4085">
            <w:pPr>
              <w:tabs>
                <w:tab w:val="decimal" w:pos="360"/>
              </w:tabs>
              <w:spacing w:line="200" w:lineRule="auto"/>
              <w:jc w:val="center"/>
              <w:rPr>
                <w:sz w:val="20"/>
                <w:szCs w:val="20"/>
              </w:rPr>
            </w:pPr>
          </w:p>
        </w:tc>
        <w:tc>
          <w:tcPr>
            <w:tcW w:w="209" w:type="pct"/>
            <w:tcBorders>
              <w:left w:val="single" w:sz="18" w:space="0" w:color="auto"/>
            </w:tcBorders>
            <w:tcMar>
              <w:top w:w="8" w:type="dxa"/>
              <w:left w:w="28" w:type="dxa"/>
              <w:bottom w:w="8" w:type="dxa"/>
              <w:right w:w="28" w:type="dxa"/>
            </w:tcMar>
            <w:vAlign w:val="bottom"/>
          </w:tcPr>
          <w:p w14:paraId="02EEFFB4" w14:textId="2EFE3470" w:rsidR="008D4085" w:rsidRPr="00F5353D" w:rsidRDefault="008D4085" w:rsidP="008D4085">
            <w:pPr>
              <w:tabs>
                <w:tab w:val="decimal" w:pos="360"/>
              </w:tabs>
              <w:spacing w:line="200" w:lineRule="auto"/>
              <w:jc w:val="center"/>
              <w:rPr>
                <w:sz w:val="20"/>
                <w:szCs w:val="20"/>
              </w:rPr>
            </w:pPr>
            <w:r w:rsidRPr="00F5353D">
              <w:rPr>
                <w:color w:val="000000"/>
                <w:sz w:val="20"/>
                <w:szCs w:val="20"/>
              </w:rPr>
              <w:t>0.42</w:t>
            </w:r>
          </w:p>
        </w:tc>
        <w:tc>
          <w:tcPr>
            <w:tcW w:w="209" w:type="pct"/>
            <w:tcBorders>
              <w:right w:val="single" w:sz="8" w:space="0" w:color="auto"/>
            </w:tcBorders>
            <w:tcMar>
              <w:top w:w="8" w:type="dxa"/>
              <w:left w:w="28" w:type="dxa"/>
              <w:bottom w:w="8" w:type="dxa"/>
              <w:right w:w="28" w:type="dxa"/>
            </w:tcMar>
            <w:vAlign w:val="bottom"/>
          </w:tcPr>
          <w:p w14:paraId="25D43E56" w14:textId="3811448B" w:rsidR="008D4085" w:rsidRPr="00F5353D" w:rsidRDefault="008D4085" w:rsidP="008D4085">
            <w:pPr>
              <w:tabs>
                <w:tab w:val="decimal" w:pos="360"/>
              </w:tabs>
              <w:spacing w:line="200" w:lineRule="auto"/>
              <w:jc w:val="center"/>
              <w:rPr>
                <w:sz w:val="20"/>
                <w:szCs w:val="20"/>
              </w:rPr>
            </w:pPr>
            <w:r w:rsidRPr="00F5353D">
              <w:rPr>
                <w:color w:val="000000"/>
                <w:sz w:val="20"/>
                <w:szCs w:val="20"/>
              </w:rPr>
              <w:t>4.68</w:t>
            </w:r>
          </w:p>
        </w:tc>
        <w:tc>
          <w:tcPr>
            <w:tcW w:w="209" w:type="pct"/>
            <w:tcBorders>
              <w:left w:val="single" w:sz="8" w:space="0" w:color="auto"/>
            </w:tcBorders>
            <w:tcMar>
              <w:top w:w="8" w:type="dxa"/>
              <w:left w:w="28" w:type="dxa"/>
              <w:bottom w:w="8" w:type="dxa"/>
              <w:right w:w="28" w:type="dxa"/>
            </w:tcMar>
            <w:vAlign w:val="bottom"/>
          </w:tcPr>
          <w:p w14:paraId="5A682795" w14:textId="2FBB76B9" w:rsidR="008D4085" w:rsidRPr="00F5353D" w:rsidRDefault="008D4085" w:rsidP="008D4085">
            <w:pPr>
              <w:tabs>
                <w:tab w:val="decimal" w:pos="360"/>
              </w:tabs>
              <w:spacing w:line="200" w:lineRule="auto"/>
              <w:jc w:val="center"/>
              <w:rPr>
                <w:sz w:val="20"/>
                <w:szCs w:val="20"/>
              </w:rPr>
            </w:pPr>
            <w:r w:rsidRPr="00F5353D">
              <w:rPr>
                <w:color w:val="000000"/>
                <w:sz w:val="20"/>
                <w:szCs w:val="20"/>
              </w:rPr>
              <w:t>0.21</w:t>
            </w:r>
          </w:p>
        </w:tc>
        <w:tc>
          <w:tcPr>
            <w:tcW w:w="200" w:type="pct"/>
            <w:tcMar>
              <w:top w:w="8" w:type="dxa"/>
              <w:left w:w="28" w:type="dxa"/>
              <w:bottom w:w="8" w:type="dxa"/>
              <w:right w:w="28" w:type="dxa"/>
            </w:tcMar>
            <w:vAlign w:val="bottom"/>
          </w:tcPr>
          <w:p w14:paraId="68C374C4" w14:textId="65A450CB" w:rsidR="008D4085" w:rsidRPr="00F5353D" w:rsidRDefault="008D4085" w:rsidP="008D4085">
            <w:pPr>
              <w:tabs>
                <w:tab w:val="decimal" w:pos="360"/>
              </w:tabs>
              <w:spacing w:line="200" w:lineRule="auto"/>
              <w:jc w:val="center"/>
              <w:rPr>
                <w:sz w:val="20"/>
                <w:szCs w:val="20"/>
              </w:rPr>
            </w:pPr>
            <w:r w:rsidRPr="00F5353D">
              <w:rPr>
                <w:color w:val="000000"/>
                <w:sz w:val="20"/>
                <w:szCs w:val="20"/>
              </w:rPr>
              <w:t>2.15</w:t>
            </w:r>
          </w:p>
        </w:tc>
      </w:tr>
      <w:tr w:rsidR="008D4085" w:rsidRPr="00F5353D" w14:paraId="154A20D7" w14:textId="77777777" w:rsidTr="00C35990">
        <w:trPr>
          <w:cantSplit/>
          <w:trHeight w:val="187"/>
        </w:trPr>
        <w:tc>
          <w:tcPr>
            <w:tcW w:w="1594" w:type="pct"/>
            <w:gridSpan w:val="3"/>
            <w:tcBorders>
              <w:right w:val="single" w:sz="18" w:space="0" w:color="auto"/>
            </w:tcBorders>
            <w:tcMar>
              <w:top w:w="8" w:type="dxa"/>
              <w:left w:w="28" w:type="dxa"/>
              <w:bottom w:w="8" w:type="dxa"/>
              <w:right w:w="28" w:type="dxa"/>
            </w:tcMar>
            <w:vAlign w:val="center"/>
          </w:tcPr>
          <w:p w14:paraId="58F7F507" w14:textId="77777777" w:rsidR="008D4085" w:rsidRPr="00F5353D" w:rsidRDefault="008D4085" w:rsidP="008D4085">
            <w:pPr>
              <w:spacing w:line="200" w:lineRule="auto"/>
              <w:rPr>
                <w:sz w:val="20"/>
                <w:szCs w:val="20"/>
              </w:rPr>
            </w:pPr>
            <w:r w:rsidRPr="00F5353D">
              <w:rPr>
                <w:sz w:val="20"/>
                <w:szCs w:val="20"/>
              </w:rPr>
              <w:t>Adverse weather</w:t>
            </w:r>
          </w:p>
        </w:tc>
        <w:tc>
          <w:tcPr>
            <w:tcW w:w="209" w:type="pct"/>
            <w:tcBorders>
              <w:left w:val="single" w:sz="18" w:space="0" w:color="auto"/>
            </w:tcBorders>
            <w:tcMar>
              <w:top w:w="8" w:type="dxa"/>
              <w:left w:w="28" w:type="dxa"/>
              <w:bottom w:w="8" w:type="dxa"/>
              <w:right w:w="28" w:type="dxa"/>
            </w:tcMar>
            <w:vAlign w:val="center"/>
          </w:tcPr>
          <w:p w14:paraId="3B7FF3AC"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10" w:type="pct"/>
            <w:tcBorders>
              <w:right w:val="single" w:sz="18" w:space="0" w:color="auto"/>
            </w:tcBorders>
            <w:tcMar>
              <w:top w:w="8" w:type="dxa"/>
              <w:left w:w="28" w:type="dxa"/>
              <w:bottom w:w="8" w:type="dxa"/>
              <w:right w:w="28" w:type="dxa"/>
            </w:tcMar>
            <w:vAlign w:val="center"/>
          </w:tcPr>
          <w:p w14:paraId="36B3D711"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08" w:type="pct"/>
            <w:tcBorders>
              <w:left w:val="single" w:sz="18" w:space="0" w:color="auto"/>
            </w:tcBorders>
            <w:tcMar>
              <w:top w:w="8" w:type="dxa"/>
              <w:left w:w="28" w:type="dxa"/>
              <w:bottom w:w="8" w:type="dxa"/>
              <w:right w:w="28" w:type="dxa"/>
            </w:tcMar>
            <w:vAlign w:val="center"/>
          </w:tcPr>
          <w:p w14:paraId="2C4E68E4"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571AB1C4"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09" w:type="pct"/>
            <w:tcBorders>
              <w:left w:val="single" w:sz="8" w:space="0" w:color="auto"/>
            </w:tcBorders>
            <w:tcMar>
              <w:top w:w="8" w:type="dxa"/>
              <w:left w:w="28" w:type="dxa"/>
              <w:bottom w:w="8" w:type="dxa"/>
              <w:right w:w="28" w:type="dxa"/>
            </w:tcMar>
            <w:vAlign w:val="center"/>
          </w:tcPr>
          <w:p w14:paraId="36229C39"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10" w:type="pct"/>
            <w:tcBorders>
              <w:right w:val="single" w:sz="18" w:space="0" w:color="auto"/>
            </w:tcBorders>
            <w:tcMar>
              <w:top w:w="8" w:type="dxa"/>
              <w:left w:w="28" w:type="dxa"/>
              <w:bottom w:w="8" w:type="dxa"/>
              <w:right w:w="28" w:type="dxa"/>
            </w:tcMar>
            <w:vAlign w:val="center"/>
          </w:tcPr>
          <w:p w14:paraId="68CFFF63"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09" w:type="pct"/>
            <w:tcBorders>
              <w:left w:val="single" w:sz="18" w:space="0" w:color="auto"/>
            </w:tcBorders>
            <w:tcMar>
              <w:top w:w="8" w:type="dxa"/>
              <w:left w:w="28" w:type="dxa"/>
              <w:bottom w:w="8" w:type="dxa"/>
              <w:right w:w="28" w:type="dxa"/>
            </w:tcMar>
            <w:vAlign w:val="center"/>
          </w:tcPr>
          <w:p w14:paraId="0E855A26"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2CE02DD6"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09" w:type="pct"/>
            <w:tcBorders>
              <w:left w:val="single" w:sz="8" w:space="0" w:color="auto"/>
            </w:tcBorders>
            <w:tcMar>
              <w:top w:w="8" w:type="dxa"/>
              <w:left w:w="28" w:type="dxa"/>
              <w:bottom w:w="8" w:type="dxa"/>
              <w:right w:w="28" w:type="dxa"/>
            </w:tcMar>
            <w:vAlign w:val="center"/>
          </w:tcPr>
          <w:p w14:paraId="2F4B2FE7"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44" w:type="pct"/>
            <w:tcBorders>
              <w:right w:val="single" w:sz="18" w:space="0" w:color="auto"/>
            </w:tcBorders>
            <w:tcMar>
              <w:top w:w="8" w:type="dxa"/>
              <w:left w:w="28" w:type="dxa"/>
              <w:bottom w:w="8" w:type="dxa"/>
              <w:right w:w="28" w:type="dxa"/>
            </w:tcMar>
            <w:vAlign w:val="center"/>
          </w:tcPr>
          <w:p w14:paraId="72797D7E"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09" w:type="pct"/>
            <w:tcBorders>
              <w:left w:val="single" w:sz="18" w:space="0" w:color="auto"/>
            </w:tcBorders>
            <w:tcMar>
              <w:top w:w="8" w:type="dxa"/>
              <w:left w:w="28" w:type="dxa"/>
              <w:bottom w:w="8" w:type="dxa"/>
              <w:right w:w="28" w:type="dxa"/>
            </w:tcMar>
            <w:vAlign w:val="center"/>
          </w:tcPr>
          <w:p w14:paraId="39D03D0A"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44" w:type="pct"/>
            <w:tcBorders>
              <w:right w:val="single" w:sz="18" w:space="0" w:color="auto"/>
            </w:tcBorders>
            <w:tcMar>
              <w:top w:w="8" w:type="dxa"/>
              <w:left w:w="28" w:type="dxa"/>
              <w:bottom w:w="8" w:type="dxa"/>
              <w:right w:w="28" w:type="dxa"/>
            </w:tcMar>
            <w:vAlign w:val="center"/>
          </w:tcPr>
          <w:p w14:paraId="04C282A0" w14:textId="77777777" w:rsidR="008D4085" w:rsidRPr="00F5353D" w:rsidRDefault="008D4085" w:rsidP="008D4085">
            <w:pPr>
              <w:tabs>
                <w:tab w:val="decimal" w:pos="360"/>
              </w:tabs>
              <w:spacing w:line="200" w:lineRule="auto"/>
              <w:jc w:val="center"/>
              <w:rPr>
                <w:sz w:val="20"/>
                <w:szCs w:val="20"/>
              </w:rPr>
            </w:pPr>
            <w:r w:rsidRPr="00F5353D">
              <w:rPr>
                <w:sz w:val="20"/>
                <w:szCs w:val="20"/>
              </w:rPr>
              <w:t>—</w:t>
            </w:r>
          </w:p>
        </w:tc>
        <w:tc>
          <w:tcPr>
            <w:tcW w:w="209" w:type="pct"/>
            <w:tcBorders>
              <w:left w:val="single" w:sz="18" w:space="0" w:color="auto"/>
            </w:tcBorders>
            <w:tcMar>
              <w:top w:w="8" w:type="dxa"/>
              <w:left w:w="28" w:type="dxa"/>
              <w:bottom w:w="8" w:type="dxa"/>
              <w:right w:w="28" w:type="dxa"/>
            </w:tcMar>
            <w:vAlign w:val="center"/>
          </w:tcPr>
          <w:p w14:paraId="3519ED5F" w14:textId="77777777" w:rsidR="008D4085" w:rsidRPr="00F5353D" w:rsidRDefault="008D4085" w:rsidP="008D4085">
            <w:pPr>
              <w:tabs>
                <w:tab w:val="decimal" w:pos="360"/>
              </w:tabs>
              <w:spacing w:line="200" w:lineRule="auto"/>
              <w:jc w:val="center"/>
              <w:rPr>
                <w:sz w:val="20"/>
                <w:szCs w:val="20"/>
              </w:rPr>
            </w:pPr>
            <w:r w:rsidRPr="00F5353D">
              <w:rPr>
                <w:sz w:val="20"/>
                <w:szCs w:val="20"/>
              </w:rPr>
              <w:t>1.00</w:t>
            </w:r>
          </w:p>
        </w:tc>
        <w:tc>
          <w:tcPr>
            <w:tcW w:w="209" w:type="pct"/>
            <w:tcBorders>
              <w:right w:val="single" w:sz="8" w:space="0" w:color="auto"/>
            </w:tcBorders>
            <w:tcMar>
              <w:top w:w="8" w:type="dxa"/>
              <w:left w:w="28" w:type="dxa"/>
              <w:bottom w:w="8" w:type="dxa"/>
              <w:right w:w="28" w:type="dxa"/>
            </w:tcMar>
            <w:vAlign w:val="center"/>
          </w:tcPr>
          <w:p w14:paraId="3EB426A9" w14:textId="77777777" w:rsidR="008D4085" w:rsidRPr="00F5353D" w:rsidRDefault="008D4085" w:rsidP="008D4085">
            <w:pPr>
              <w:tabs>
                <w:tab w:val="decimal" w:pos="360"/>
              </w:tabs>
              <w:spacing w:line="200" w:lineRule="auto"/>
              <w:jc w:val="center"/>
              <w:rPr>
                <w:sz w:val="20"/>
                <w:szCs w:val="20"/>
              </w:rPr>
            </w:pPr>
          </w:p>
        </w:tc>
        <w:tc>
          <w:tcPr>
            <w:tcW w:w="209" w:type="pct"/>
            <w:tcBorders>
              <w:left w:val="single" w:sz="8" w:space="0" w:color="auto"/>
            </w:tcBorders>
            <w:tcMar>
              <w:top w:w="8" w:type="dxa"/>
              <w:left w:w="28" w:type="dxa"/>
              <w:bottom w:w="8" w:type="dxa"/>
              <w:right w:w="28" w:type="dxa"/>
            </w:tcMar>
            <w:vAlign w:val="bottom"/>
          </w:tcPr>
          <w:p w14:paraId="203BF05F" w14:textId="3B871F3A" w:rsidR="008D4085" w:rsidRPr="00F5353D" w:rsidRDefault="008D4085" w:rsidP="008D4085">
            <w:pPr>
              <w:tabs>
                <w:tab w:val="decimal" w:pos="360"/>
              </w:tabs>
              <w:spacing w:line="200" w:lineRule="auto"/>
              <w:jc w:val="center"/>
              <w:rPr>
                <w:sz w:val="20"/>
                <w:szCs w:val="20"/>
              </w:rPr>
            </w:pPr>
            <w:r w:rsidRPr="00F5353D">
              <w:rPr>
                <w:color w:val="000000"/>
                <w:sz w:val="20"/>
                <w:szCs w:val="20"/>
              </w:rPr>
              <w:t>0.24</w:t>
            </w:r>
          </w:p>
        </w:tc>
        <w:tc>
          <w:tcPr>
            <w:tcW w:w="200" w:type="pct"/>
            <w:tcMar>
              <w:top w:w="8" w:type="dxa"/>
              <w:left w:w="28" w:type="dxa"/>
              <w:bottom w:w="8" w:type="dxa"/>
              <w:right w:w="28" w:type="dxa"/>
            </w:tcMar>
            <w:vAlign w:val="bottom"/>
          </w:tcPr>
          <w:p w14:paraId="36813139" w14:textId="410F5CA2" w:rsidR="008D4085" w:rsidRPr="00F5353D" w:rsidRDefault="008D4085" w:rsidP="008D4085">
            <w:pPr>
              <w:tabs>
                <w:tab w:val="decimal" w:pos="360"/>
              </w:tabs>
              <w:spacing w:line="200" w:lineRule="auto"/>
              <w:jc w:val="center"/>
              <w:rPr>
                <w:sz w:val="20"/>
                <w:szCs w:val="20"/>
              </w:rPr>
            </w:pPr>
            <w:r w:rsidRPr="00F5353D">
              <w:rPr>
                <w:color w:val="000000"/>
                <w:sz w:val="20"/>
                <w:szCs w:val="20"/>
              </w:rPr>
              <w:t>4.32</w:t>
            </w:r>
          </w:p>
        </w:tc>
      </w:tr>
      <w:tr w:rsidR="007A713B" w:rsidRPr="0031252B" w14:paraId="6B7A9335" w14:textId="77777777" w:rsidTr="00C35990">
        <w:trPr>
          <w:cantSplit/>
          <w:trHeight w:val="187"/>
        </w:trPr>
        <w:tc>
          <w:tcPr>
            <w:tcW w:w="1594" w:type="pct"/>
            <w:gridSpan w:val="3"/>
            <w:tcBorders>
              <w:right w:val="single" w:sz="18" w:space="0" w:color="auto"/>
            </w:tcBorders>
            <w:tcMar>
              <w:top w:w="8" w:type="dxa"/>
              <w:left w:w="28" w:type="dxa"/>
              <w:bottom w:w="8" w:type="dxa"/>
              <w:right w:w="28" w:type="dxa"/>
            </w:tcMar>
            <w:vAlign w:val="center"/>
          </w:tcPr>
          <w:p w14:paraId="57DA965F" w14:textId="77777777" w:rsidR="007A713B" w:rsidRPr="00F5353D" w:rsidRDefault="007A713B" w:rsidP="00D63D95">
            <w:pPr>
              <w:spacing w:line="200" w:lineRule="auto"/>
              <w:rPr>
                <w:sz w:val="20"/>
                <w:szCs w:val="20"/>
              </w:rPr>
            </w:pPr>
            <w:r w:rsidRPr="00F5353D">
              <w:rPr>
                <w:sz w:val="20"/>
                <w:szCs w:val="20"/>
              </w:rPr>
              <w:t>Trip-length mismatch</w:t>
            </w:r>
          </w:p>
        </w:tc>
        <w:tc>
          <w:tcPr>
            <w:tcW w:w="209" w:type="pct"/>
            <w:tcBorders>
              <w:left w:val="single" w:sz="18" w:space="0" w:color="auto"/>
            </w:tcBorders>
            <w:tcMar>
              <w:top w:w="8" w:type="dxa"/>
              <w:left w:w="28" w:type="dxa"/>
              <w:bottom w:w="8" w:type="dxa"/>
              <w:right w:w="28" w:type="dxa"/>
            </w:tcMar>
            <w:vAlign w:val="center"/>
          </w:tcPr>
          <w:p w14:paraId="77C7922D" w14:textId="77777777" w:rsidR="007A713B" w:rsidRPr="00F5353D" w:rsidRDefault="007A713B" w:rsidP="00D63D95">
            <w:pPr>
              <w:tabs>
                <w:tab w:val="decimal" w:pos="360"/>
              </w:tabs>
              <w:spacing w:line="200" w:lineRule="auto"/>
              <w:jc w:val="center"/>
              <w:rPr>
                <w:sz w:val="20"/>
                <w:szCs w:val="20"/>
              </w:rPr>
            </w:pPr>
            <w:r w:rsidRPr="00F5353D">
              <w:rPr>
                <w:sz w:val="20"/>
                <w:szCs w:val="20"/>
              </w:rPr>
              <w:t>—</w:t>
            </w:r>
          </w:p>
        </w:tc>
        <w:tc>
          <w:tcPr>
            <w:tcW w:w="210" w:type="pct"/>
            <w:tcBorders>
              <w:right w:val="single" w:sz="18" w:space="0" w:color="auto"/>
            </w:tcBorders>
            <w:tcMar>
              <w:top w:w="8" w:type="dxa"/>
              <w:left w:w="28" w:type="dxa"/>
              <w:bottom w:w="8" w:type="dxa"/>
              <w:right w:w="28" w:type="dxa"/>
            </w:tcMar>
            <w:vAlign w:val="center"/>
          </w:tcPr>
          <w:p w14:paraId="3E3FB61E" w14:textId="77777777" w:rsidR="007A713B" w:rsidRPr="00F5353D" w:rsidRDefault="007A713B" w:rsidP="00D63D95">
            <w:pPr>
              <w:tabs>
                <w:tab w:val="decimal" w:pos="360"/>
              </w:tabs>
              <w:spacing w:line="200" w:lineRule="auto"/>
              <w:jc w:val="center"/>
              <w:rPr>
                <w:sz w:val="20"/>
                <w:szCs w:val="20"/>
              </w:rPr>
            </w:pPr>
            <w:r w:rsidRPr="00F5353D">
              <w:rPr>
                <w:sz w:val="20"/>
                <w:szCs w:val="20"/>
              </w:rPr>
              <w:t>—</w:t>
            </w:r>
          </w:p>
        </w:tc>
        <w:tc>
          <w:tcPr>
            <w:tcW w:w="208" w:type="pct"/>
            <w:tcBorders>
              <w:left w:val="single" w:sz="18" w:space="0" w:color="auto"/>
            </w:tcBorders>
            <w:tcMar>
              <w:top w:w="8" w:type="dxa"/>
              <w:left w:w="28" w:type="dxa"/>
              <w:bottom w:w="8" w:type="dxa"/>
              <w:right w:w="28" w:type="dxa"/>
            </w:tcMar>
            <w:vAlign w:val="center"/>
          </w:tcPr>
          <w:p w14:paraId="2D3A7AC9" w14:textId="77777777" w:rsidR="007A713B" w:rsidRPr="00F5353D" w:rsidRDefault="007A713B" w:rsidP="00D63D95">
            <w:pPr>
              <w:tabs>
                <w:tab w:val="decimal" w:pos="360"/>
              </w:tabs>
              <w:spacing w:line="200" w:lineRule="auto"/>
              <w:jc w:val="center"/>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37853B59" w14:textId="77777777" w:rsidR="007A713B" w:rsidRPr="00F5353D" w:rsidRDefault="007A713B" w:rsidP="00D63D95">
            <w:pPr>
              <w:tabs>
                <w:tab w:val="decimal" w:pos="360"/>
              </w:tabs>
              <w:spacing w:line="200" w:lineRule="auto"/>
              <w:jc w:val="center"/>
              <w:rPr>
                <w:sz w:val="20"/>
                <w:szCs w:val="20"/>
              </w:rPr>
            </w:pPr>
            <w:r w:rsidRPr="00F5353D">
              <w:rPr>
                <w:sz w:val="20"/>
                <w:szCs w:val="20"/>
              </w:rPr>
              <w:t>—</w:t>
            </w:r>
          </w:p>
        </w:tc>
        <w:tc>
          <w:tcPr>
            <w:tcW w:w="209" w:type="pct"/>
            <w:tcBorders>
              <w:left w:val="single" w:sz="8" w:space="0" w:color="auto"/>
            </w:tcBorders>
            <w:tcMar>
              <w:top w:w="8" w:type="dxa"/>
              <w:left w:w="28" w:type="dxa"/>
              <w:bottom w:w="8" w:type="dxa"/>
              <w:right w:w="28" w:type="dxa"/>
            </w:tcMar>
            <w:vAlign w:val="center"/>
          </w:tcPr>
          <w:p w14:paraId="0D42A65E" w14:textId="77777777" w:rsidR="007A713B" w:rsidRPr="00F5353D" w:rsidRDefault="007A713B" w:rsidP="00D63D95">
            <w:pPr>
              <w:tabs>
                <w:tab w:val="decimal" w:pos="360"/>
              </w:tabs>
              <w:spacing w:line="200" w:lineRule="auto"/>
              <w:jc w:val="center"/>
              <w:rPr>
                <w:sz w:val="20"/>
                <w:szCs w:val="20"/>
              </w:rPr>
            </w:pPr>
            <w:r w:rsidRPr="00F5353D">
              <w:rPr>
                <w:sz w:val="20"/>
                <w:szCs w:val="20"/>
              </w:rPr>
              <w:t>—</w:t>
            </w:r>
          </w:p>
        </w:tc>
        <w:tc>
          <w:tcPr>
            <w:tcW w:w="210" w:type="pct"/>
            <w:tcBorders>
              <w:right w:val="single" w:sz="18" w:space="0" w:color="auto"/>
            </w:tcBorders>
            <w:tcMar>
              <w:top w:w="8" w:type="dxa"/>
              <w:left w:w="28" w:type="dxa"/>
              <w:bottom w:w="8" w:type="dxa"/>
              <w:right w:w="28" w:type="dxa"/>
            </w:tcMar>
            <w:vAlign w:val="center"/>
          </w:tcPr>
          <w:p w14:paraId="50F5203D" w14:textId="77777777" w:rsidR="007A713B" w:rsidRPr="00F5353D" w:rsidRDefault="007A713B" w:rsidP="00D63D95">
            <w:pPr>
              <w:tabs>
                <w:tab w:val="decimal" w:pos="360"/>
              </w:tabs>
              <w:spacing w:line="200" w:lineRule="auto"/>
              <w:jc w:val="center"/>
              <w:rPr>
                <w:sz w:val="20"/>
                <w:szCs w:val="20"/>
              </w:rPr>
            </w:pPr>
            <w:r w:rsidRPr="00F5353D">
              <w:rPr>
                <w:sz w:val="20"/>
                <w:szCs w:val="20"/>
              </w:rPr>
              <w:t>—</w:t>
            </w:r>
          </w:p>
        </w:tc>
        <w:tc>
          <w:tcPr>
            <w:tcW w:w="209" w:type="pct"/>
            <w:tcBorders>
              <w:left w:val="single" w:sz="18" w:space="0" w:color="auto"/>
            </w:tcBorders>
            <w:tcMar>
              <w:top w:w="8" w:type="dxa"/>
              <w:left w:w="28" w:type="dxa"/>
              <w:bottom w:w="8" w:type="dxa"/>
              <w:right w:w="28" w:type="dxa"/>
            </w:tcMar>
            <w:vAlign w:val="center"/>
          </w:tcPr>
          <w:p w14:paraId="66E2B7EC" w14:textId="77777777" w:rsidR="007A713B" w:rsidRPr="00F5353D" w:rsidRDefault="007A713B" w:rsidP="00D63D95">
            <w:pPr>
              <w:tabs>
                <w:tab w:val="decimal" w:pos="360"/>
              </w:tabs>
              <w:spacing w:line="200" w:lineRule="auto"/>
              <w:jc w:val="center"/>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22B6CAED" w14:textId="77777777" w:rsidR="007A713B" w:rsidRPr="00F5353D" w:rsidRDefault="007A713B" w:rsidP="00D63D95">
            <w:pPr>
              <w:tabs>
                <w:tab w:val="decimal" w:pos="360"/>
              </w:tabs>
              <w:spacing w:line="200" w:lineRule="auto"/>
              <w:jc w:val="center"/>
              <w:rPr>
                <w:sz w:val="20"/>
                <w:szCs w:val="20"/>
              </w:rPr>
            </w:pPr>
            <w:r w:rsidRPr="00F5353D">
              <w:rPr>
                <w:sz w:val="20"/>
                <w:szCs w:val="20"/>
              </w:rPr>
              <w:t>—</w:t>
            </w:r>
          </w:p>
        </w:tc>
        <w:tc>
          <w:tcPr>
            <w:tcW w:w="209" w:type="pct"/>
            <w:tcBorders>
              <w:left w:val="single" w:sz="8" w:space="0" w:color="auto"/>
            </w:tcBorders>
            <w:tcMar>
              <w:top w:w="8" w:type="dxa"/>
              <w:left w:w="28" w:type="dxa"/>
              <w:bottom w:w="8" w:type="dxa"/>
              <w:right w:w="28" w:type="dxa"/>
            </w:tcMar>
            <w:vAlign w:val="center"/>
          </w:tcPr>
          <w:p w14:paraId="5993B90B" w14:textId="77777777" w:rsidR="007A713B" w:rsidRPr="00F5353D" w:rsidRDefault="007A713B" w:rsidP="00D63D95">
            <w:pPr>
              <w:tabs>
                <w:tab w:val="decimal" w:pos="360"/>
              </w:tabs>
              <w:spacing w:line="200" w:lineRule="auto"/>
              <w:jc w:val="center"/>
              <w:rPr>
                <w:sz w:val="20"/>
                <w:szCs w:val="20"/>
              </w:rPr>
            </w:pPr>
            <w:r w:rsidRPr="00F5353D">
              <w:rPr>
                <w:sz w:val="20"/>
                <w:szCs w:val="20"/>
              </w:rPr>
              <w:t>—</w:t>
            </w:r>
          </w:p>
        </w:tc>
        <w:tc>
          <w:tcPr>
            <w:tcW w:w="244" w:type="pct"/>
            <w:tcBorders>
              <w:right w:val="single" w:sz="18" w:space="0" w:color="auto"/>
            </w:tcBorders>
            <w:tcMar>
              <w:top w:w="8" w:type="dxa"/>
              <w:left w:w="28" w:type="dxa"/>
              <w:bottom w:w="8" w:type="dxa"/>
              <w:right w:w="28" w:type="dxa"/>
            </w:tcMar>
            <w:vAlign w:val="center"/>
          </w:tcPr>
          <w:p w14:paraId="132EB7C3" w14:textId="77777777" w:rsidR="007A713B" w:rsidRPr="00F5353D" w:rsidRDefault="007A713B" w:rsidP="00D63D95">
            <w:pPr>
              <w:tabs>
                <w:tab w:val="decimal" w:pos="360"/>
              </w:tabs>
              <w:spacing w:line="200" w:lineRule="auto"/>
              <w:jc w:val="center"/>
              <w:rPr>
                <w:sz w:val="20"/>
                <w:szCs w:val="20"/>
              </w:rPr>
            </w:pPr>
            <w:r w:rsidRPr="00F5353D">
              <w:rPr>
                <w:sz w:val="20"/>
                <w:szCs w:val="20"/>
              </w:rPr>
              <w:t>—</w:t>
            </w:r>
          </w:p>
        </w:tc>
        <w:tc>
          <w:tcPr>
            <w:tcW w:w="209" w:type="pct"/>
            <w:tcBorders>
              <w:left w:val="single" w:sz="18" w:space="0" w:color="auto"/>
            </w:tcBorders>
            <w:tcMar>
              <w:top w:w="8" w:type="dxa"/>
              <w:left w:w="28" w:type="dxa"/>
              <w:bottom w:w="8" w:type="dxa"/>
              <w:right w:w="28" w:type="dxa"/>
            </w:tcMar>
            <w:vAlign w:val="center"/>
          </w:tcPr>
          <w:p w14:paraId="024C6260" w14:textId="77777777" w:rsidR="007A713B" w:rsidRPr="00F5353D" w:rsidRDefault="007A713B" w:rsidP="00D63D95">
            <w:pPr>
              <w:tabs>
                <w:tab w:val="decimal" w:pos="360"/>
              </w:tabs>
              <w:spacing w:line="200" w:lineRule="auto"/>
              <w:jc w:val="center"/>
              <w:rPr>
                <w:sz w:val="20"/>
                <w:szCs w:val="20"/>
              </w:rPr>
            </w:pPr>
            <w:r w:rsidRPr="00F5353D">
              <w:rPr>
                <w:sz w:val="20"/>
                <w:szCs w:val="20"/>
              </w:rPr>
              <w:t>—</w:t>
            </w:r>
          </w:p>
        </w:tc>
        <w:tc>
          <w:tcPr>
            <w:tcW w:w="244" w:type="pct"/>
            <w:tcBorders>
              <w:right w:val="single" w:sz="18" w:space="0" w:color="auto"/>
            </w:tcBorders>
            <w:tcMar>
              <w:top w:w="8" w:type="dxa"/>
              <w:left w:w="28" w:type="dxa"/>
              <w:bottom w:w="8" w:type="dxa"/>
              <w:right w:w="28" w:type="dxa"/>
            </w:tcMar>
            <w:vAlign w:val="center"/>
          </w:tcPr>
          <w:p w14:paraId="4766A8A2" w14:textId="77777777" w:rsidR="007A713B" w:rsidRPr="00F5353D" w:rsidRDefault="007A713B" w:rsidP="00D63D95">
            <w:pPr>
              <w:tabs>
                <w:tab w:val="decimal" w:pos="360"/>
              </w:tabs>
              <w:spacing w:line="200" w:lineRule="auto"/>
              <w:jc w:val="center"/>
              <w:rPr>
                <w:sz w:val="20"/>
                <w:szCs w:val="20"/>
              </w:rPr>
            </w:pPr>
            <w:r w:rsidRPr="00F5353D">
              <w:rPr>
                <w:sz w:val="20"/>
                <w:szCs w:val="20"/>
              </w:rPr>
              <w:t>—</w:t>
            </w:r>
          </w:p>
        </w:tc>
        <w:tc>
          <w:tcPr>
            <w:tcW w:w="209" w:type="pct"/>
            <w:tcBorders>
              <w:left w:val="single" w:sz="18" w:space="0" w:color="auto"/>
            </w:tcBorders>
            <w:tcMar>
              <w:top w:w="8" w:type="dxa"/>
              <w:left w:w="28" w:type="dxa"/>
              <w:bottom w:w="8" w:type="dxa"/>
              <w:right w:w="28" w:type="dxa"/>
            </w:tcMar>
            <w:vAlign w:val="center"/>
          </w:tcPr>
          <w:p w14:paraId="48602BB1" w14:textId="77777777" w:rsidR="007A713B" w:rsidRPr="00F5353D" w:rsidRDefault="007A713B" w:rsidP="00D63D95">
            <w:pPr>
              <w:tabs>
                <w:tab w:val="decimal" w:pos="360"/>
              </w:tabs>
              <w:spacing w:line="200" w:lineRule="auto"/>
              <w:jc w:val="center"/>
              <w:rPr>
                <w:sz w:val="20"/>
                <w:szCs w:val="20"/>
              </w:rPr>
            </w:pPr>
            <w:r w:rsidRPr="00F5353D">
              <w:rPr>
                <w:sz w:val="20"/>
                <w:szCs w:val="20"/>
              </w:rPr>
              <w:t>—</w:t>
            </w:r>
          </w:p>
        </w:tc>
        <w:tc>
          <w:tcPr>
            <w:tcW w:w="209" w:type="pct"/>
            <w:tcBorders>
              <w:right w:val="single" w:sz="8" w:space="0" w:color="auto"/>
            </w:tcBorders>
            <w:tcMar>
              <w:top w:w="8" w:type="dxa"/>
              <w:left w:w="28" w:type="dxa"/>
              <w:bottom w:w="8" w:type="dxa"/>
              <w:right w:w="28" w:type="dxa"/>
            </w:tcMar>
            <w:vAlign w:val="center"/>
          </w:tcPr>
          <w:p w14:paraId="2C78F1CE" w14:textId="77777777" w:rsidR="007A713B" w:rsidRPr="00F5353D" w:rsidRDefault="007A713B" w:rsidP="00D63D95">
            <w:pPr>
              <w:tabs>
                <w:tab w:val="decimal" w:pos="360"/>
              </w:tabs>
              <w:spacing w:line="200" w:lineRule="auto"/>
              <w:jc w:val="center"/>
              <w:rPr>
                <w:sz w:val="20"/>
                <w:szCs w:val="20"/>
              </w:rPr>
            </w:pPr>
            <w:r w:rsidRPr="00F5353D">
              <w:rPr>
                <w:sz w:val="20"/>
                <w:szCs w:val="20"/>
              </w:rPr>
              <w:t>—</w:t>
            </w:r>
          </w:p>
        </w:tc>
        <w:tc>
          <w:tcPr>
            <w:tcW w:w="209" w:type="pct"/>
            <w:tcBorders>
              <w:left w:val="single" w:sz="8" w:space="0" w:color="auto"/>
            </w:tcBorders>
            <w:tcMar>
              <w:top w:w="8" w:type="dxa"/>
              <w:left w:w="28" w:type="dxa"/>
              <w:bottom w:w="8" w:type="dxa"/>
              <w:right w:w="28" w:type="dxa"/>
            </w:tcMar>
            <w:vAlign w:val="center"/>
          </w:tcPr>
          <w:p w14:paraId="36E130C5" w14:textId="77777777" w:rsidR="007A713B" w:rsidRPr="0031252B" w:rsidRDefault="007A713B" w:rsidP="00D63D95">
            <w:pPr>
              <w:tabs>
                <w:tab w:val="decimal" w:pos="360"/>
              </w:tabs>
              <w:spacing w:line="200" w:lineRule="auto"/>
              <w:jc w:val="center"/>
              <w:rPr>
                <w:sz w:val="20"/>
                <w:szCs w:val="20"/>
              </w:rPr>
            </w:pPr>
            <w:r w:rsidRPr="00F5353D">
              <w:rPr>
                <w:sz w:val="20"/>
                <w:szCs w:val="20"/>
              </w:rPr>
              <w:t>1.00</w:t>
            </w:r>
          </w:p>
        </w:tc>
        <w:tc>
          <w:tcPr>
            <w:tcW w:w="200" w:type="pct"/>
            <w:tcMar>
              <w:top w:w="8" w:type="dxa"/>
              <w:left w:w="28" w:type="dxa"/>
              <w:bottom w:w="8" w:type="dxa"/>
              <w:right w:w="28" w:type="dxa"/>
            </w:tcMar>
            <w:vAlign w:val="center"/>
          </w:tcPr>
          <w:p w14:paraId="7818D399" w14:textId="77777777" w:rsidR="007A713B" w:rsidRPr="0031252B" w:rsidRDefault="007A713B" w:rsidP="00D63D95">
            <w:pPr>
              <w:tabs>
                <w:tab w:val="decimal" w:pos="360"/>
              </w:tabs>
              <w:spacing w:line="200" w:lineRule="auto"/>
              <w:jc w:val="center"/>
              <w:rPr>
                <w:sz w:val="20"/>
                <w:szCs w:val="20"/>
              </w:rPr>
            </w:pPr>
          </w:p>
        </w:tc>
      </w:tr>
    </w:tbl>
    <w:p w14:paraId="50011785" w14:textId="263CCA4F" w:rsidR="001227FF" w:rsidRPr="00894263" w:rsidRDefault="003C31EC" w:rsidP="005D53A5">
      <w:pPr>
        <w:rPr>
          <w:i/>
          <w:iCs/>
          <w:sz w:val="20"/>
          <w:szCs w:val="20"/>
        </w:rPr>
        <w:sectPr w:rsidR="001227FF" w:rsidRPr="00894263" w:rsidSect="00B9201B">
          <w:pgSz w:w="15840" w:h="12240" w:orient="landscape" w:code="1"/>
          <w:pgMar w:top="1440" w:right="1440" w:bottom="1440" w:left="1440" w:header="720" w:footer="720" w:gutter="0"/>
          <w:cols w:space="720"/>
          <w:docGrid w:linePitch="360"/>
        </w:sectPr>
      </w:pPr>
      <w:r w:rsidRPr="006023AB">
        <w:rPr>
          <w:i/>
          <w:iCs/>
          <w:sz w:val="20"/>
          <w:szCs w:val="20"/>
        </w:rPr>
        <w:t>Note:</w:t>
      </w:r>
      <w:r w:rsidRPr="006023AB">
        <w:rPr>
          <w:sz w:val="20"/>
          <w:szCs w:val="20"/>
        </w:rPr>
        <w:t xml:space="preserve"> </w:t>
      </w:r>
      <w:r w:rsidR="006023AB" w:rsidRPr="006023AB">
        <w:rPr>
          <w:i/>
          <w:iCs/>
          <w:sz w:val="20"/>
          <w:szCs w:val="20"/>
        </w:rPr>
        <w:t>The category cut-points for the BE characteristics are expressed in each measure</w:t>
      </w:r>
      <w:r w:rsidR="000D7001">
        <w:rPr>
          <w:i/>
          <w:iCs/>
          <w:sz w:val="20"/>
          <w:szCs w:val="20"/>
        </w:rPr>
        <w:t>’</w:t>
      </w:r>
      <w:r w:rsidR="006023AB" w:rsidRPr="006023AB">
        <w:rPr>
          <w:i/>
          <w:iCs/>
          <w:sz w:val="20"/>
          <w:szCs w:val="20"/>
        </w:rPr>
        <w:t xml:space="preserve">s natural units (as mentioned in Table 2 and described in </w:t>
      </w:r>
      <w:r w:rsidR="0063134C">
        <w:rPr>
          <w:i/>
          <w:iCs/>
          <w:sz w:val="20"/>
          <w:szCs w:val="20"/>
        </w:rPr>
        <w:t>S</w:t>
      </w:r>
      <w:r w:rsidR="006023AB" w:rsidRPr="006023AB">
        <w:rPr>
          <w:i/>
          <w:iCs/>
          <w:sz w:val="20"/>
          <w:szCs w:val="20"/>
        </w:rPr>
        <w:t>ection 3.1.2).</w:t>
      </w:r>
    </w:p>
    <w:p w14:paraId="4662EB8F" w14:textId="5E2CDB87" w:rsidR="00FF21B9" w:rsidRDefault="00FF21B9" w:rsidP="00B9201B">
      <w:pPr>
        <w:ind w:firstLine="720"/>
        <w:jc w:val="both"/>
        <w:rPr>
          <w:color w:val="000000"/>
          <w:sz w:val="24"/>
          <w:szCs w:val="24"/>
        </w:rPr>
      </w:pPr>
      <w:r>
        <w:rPr>
          <w:color w:val="000000"/>
          <w:sz w:val="24"/>
          <w:szCs w:val="24"/>
        </w:rPr>
        <w:lastRenderedPageBreak/>
        <w:t>A</w:t>
      </w:r>
      <w:r w:rsidRPr="00B637E6">
        <w:rPr>
          <w:color w:val="000000"/>
          <w:sz w:val="24"/>
          <w:szCs w:val="24"/>
        </w:rPr>
        <w:t xml:space="preserve"> </w:t>
      </w:r>
      <w:r w:rsidR="00AC6471">
        <w:rPr>
          <w:color w:val="000000"/>
          <w:sz w:val="24"/>
          <w:szCs w:val="24"/>
        </w:rPr>
        <w:t>“</w:t>
      </w:r>
      <w:r w:rsidRPr="00B637E6">
        <w:rPr>
          <w:color w:val="000000"/>
          <w:sz w:val="24"/>
          <w:szCs w:val="24"/>
        </w:rPr>
        <w:t>—</w:t>
      </w:r>
      <w:r w:rsidR="003F6278" w:rsidRPr="003F6278">
        <w:rPr>
          <w:color w:val="000000"/>
          <w:sz w:val="24"/>
          <w:szCs w:val="24"/>
        </w:rPr>
        <w:t>”</w:t>
      </w:r>
      <w:r w:rsidRPr="00B637E6">
        <w:rPr>
          <w:color w:val="000000"/>
          <w:sz w:val="24"/>
          <w:szCs w:val="24"/>
        </w:rPr>
        <w:t xml:space="preserve"> </w:t>
      </w:r>
      <w:r>
        <w:rPr>
          <w:color w:val="000000"/>
          <w:sz w:val="24"/>
          <w:szCs w:val="24"/>
        </w:rPr>
        <w:t xml:space="preserve">entry </w:t>
      </w:r>
      <w:r w:rsidRPr="00B637E6">
        <w:rPr>
          <w:color w:val="000000"/>
          <w:sz w:val="24"/>
          <w:szCs w:val="24"/>
        </w:rPr>
        <w:t xml:space="preserve">in </w:t>
      </w:r>
      <w:r>
        <w:rPr>
          <w:color w:val="000000"/>
          <w:sz w:val="24"/>
          <w:szCs w:val="24"/>
        </w:rPr>
        <w:t xml:space="preserve">the table indicates that the exogenous variable does not have a significant effect (at the 68% confidence level) on the column endogenous outcome. In cases where multiple variables have the same coefficients, the implication is that the variables did not have statistically different effects. </w:t>
      </w:r>
      <w:r w:rsidRPr="00B57E0E">
        <w:rPr>
          <w:color w:val="000000"/>
          <w:sz w:val="24"/>
          <w:szCs w:val="24"/>
        </w:rPr>
        <w:t xml:space="preserve">The constants in the first row are estimated to reproduce the observed shares selecting each outcome, </w:t>
      </w:r>
      <w:r>
        <w:rPr>
          <w:color w:val="000000"/>
          <w:sz w:val="24"/>
          <w:szCs w:val="24"/>
        </w:rPr>
        <w:t xml:space="preserve">conditional on exogenous variables, </w:t>
      </w:r>
      <w:r w:rsidRPr="00B57E0E">
        <w:rPr>
          <w:color w:val="000000"/>
          <w:sz w:val="24"/>
          <w:szCs w:val="24"/>
        </w:rPr>
        <w:t xml:space="preserve">and </w:t>
      </w:r>
      <w:r>
        <w:rPr>
          <w:color w:val="000000"/>
          <w:sz w:val="24"/>
          <w:szCs w:val="24"/>
        </w:rPr>
        <w:t xml:space="preserve">so do not have any substantive interpretations. </w:t>
      </w:r>
      <w:r w:rsidRPr="00097AE6">
        <w:rPr>
          <w:color w:val="000000"/>
          <w:sz w:val="24"/>
          <w:szCs w:val="24"/>
        </w:rPr>
        <w:t>Regarding the vehicle ownership variable, households are classified based on vehicle sufficiency rather than the raw vehicle count reported in Table 2. A household is considered vehicle-sufficient if the number of household vehicles equals or exceeds the number of licensed drivers in the household, and vehicle-deficient if the number of vehicles falls short of the number of licensed drivers.</w:t>
      </w:r>
      <w:r>
        <w:rPr>
          <w:color w:val="000000"/>
          <w:sz w:val="24"/>
          <w:szCs w:val="24"/>
        </w:rPr>
        <w:t xml:space="preserve"> </w:t>
      </w:r>
      <w:r w:rsidRPr="00B57E0E">
        <w:rPr>
          <w:color w:val="000000"/>
          <w:sz w:val="24"/>
          <w:szCs w:val="24"/>
        </w:rPr>
        <w:t>The remainder of the variables are discussed in the following section, followed by a discussion of correlations and model fit.</w:t>
      </w:r>
    </w:p>
    <w:p w14:paraId="79EEB783" w14:textId="77777777" w:rsidR="00B9201B" w:rsidRPr="00FF21B9" w:rsidRDefault="00B9201B" w:rsidP="00B9201B">
      <w:pPr>
        <w:ind w:firstLine="720"/>
        <w:jc w:val="both"/>
        <w:rPr>
          <w:color w:val="000000"/>
          <w:sz w:val="24"/>
          <w:szCs w:val="24"/>
        </w:rPr>
      </w:pPr>
    </w:p>
    <w:p w14:paraId="0432B0CA" w14:textId="475942C2" w:rsidR="00FE7832" w:rsidRPr="00DF679C" w:rsidRDefault="00D80FEC" w:rsidP="00B9201B">
      <w:pPr>
        <w:rPr>
          <w:b/>
          <w:bCs/>
          <w:sz w:val="24"/>
          <w:szCs w:val="24"/>
        </w:rPr>
      </w:pPr>
      <w:r w:rsidRPr="00DF679C">
        <w:rPr>
          <w:b/>
          <w:bCs/>
          <w:sz w:val="24"/>
          <w:szCs w:val="24"/>
        </w:rPr>
        <w:t xml:space="preserve">4.2 </w:t>
      </w:r>
      <w:r w:rsidR="00374F65" w:rsidRPr="00DF679C">
        <w:rPr>
          <w:b/>
          <w:bCs/>
          <w:sz w:val="24"/>
          <w:szCs w:val="24"/>
        </w:rPr>
        <w:t>Main Estimation</w:t>
      </w:r>
      <w:r w:rsidR="00390142">
        <w:rPr>
          <w:b/>
          <w:bCs/>
          <w:sz w:val="24"/>
          <w:szCs w:val="24"/>
        </w:rPr>
        <w:t xml:space="preserve"> Results</w:t>
      </w:r>
    </w:p>
    <w:p w14:paraId="4037806A" w14:textId="08280CBA" w:rsidR="00B43B68" w:rsidRPr="00DF679C" w:rsidRDefault="00B43B68" w:rsidP="00B9201B">
      <w:pPr>
        <w:rPr>
          <w:i/>
          <w:iCs/>
          <w:sz w:val="20"/>
          <w:szCs w:val="20"/>
        </w:rPr>
      </w:pPr>
      <w:r w:rsidRPr="00DF679C">
        <w:rPr>
          <w:b/>
          <w:bCs/>
          <w:i/>
          <w:iCs/>
          <w:sz w:val="24"/>
          <w:szCs w:val="24"/>
        </w:rPr>
        <w:t xml:space="preserve">4.2.1 </w:t>
      </w:r>
      <w:r w:rsidR="00E62D32" w:rsidRPr="00DF679C">
        <w:rPr>
          <w:b/>
          <w:bCs/>
          <w:i/>
          <w:iCs/>
          <w:sz w:val="24"/>
          <w:szCs w:val="24"/>
        </w:rPr>
        <w:t xml:space="preserve">Effects of </w:t>
      </w:r>
      <w:r w:rsidRPr="00DF679C">
        <w:rPr>
          <w:b/>
          <w:bCs/>
          <w:i/>
          <w:iCs/>
          <w:sz w:val="24"/>
          <w:szCs w:val="24"/>
        </w:rPr>
        <w:t>Individual-Level Demographic Characteristics</w:t>
      </w:r>
    </w:p>
    <w:p w14:paraId="217A60E0" w14:textId="0962E1B3" w:rsidR="002055AE" w:rsidRPr="00725D65" w:rsidRDefault="009F4F7F" w:rsidP="00B9201B">
      <w:pPr>
        <w:jc w:val="both"/>
        <w:rPr>
          <w:color w:val="000000"/>
          <w:sz w:val="24"/>
          <w:szCs w:val="24"/>
        </w:rPr>
      </w:pPr>
      <w:r w:rsidRPr="000B0459">
        <w:rPr>
          <w:color w:val="000000"/>
          <w:sz w:val="24"/>
          <w:szCs w:val="24"/>
        </w:rPr>
        <w:t>Table 3 indicates that, c</w:t>
      </w:r>
      <w:r w:rsidR="001B6E7E" w:rsidRPr="00725D65">
        <w:rPr>
          <w:color w:val="000000"/>
          <w:sz w:val="24"/>
          <w:szCs w:val="24"/>
        </w:rPr>
        <w:t>ompared with m</w:t>
      </w:r>
      <w:r w:rsidR="00262D48" w:rsidRPr="00725D65">
        <w:rPr>
          <w:color w:val="000000"/>
          <w:sz w:val="24"/>
          <w:szCs w:val="24"/>
        </w:rPr>
        <w:t>en</w:t>
      </w:r>
      <w:r w:rsidR="001B6E7E" w:rsidRPr="00725D65">
        <w:rPr>
          <w:color w:val="000000"/>
          <w:sz w:val="24"/>
          <w:szCs w:val="24"/>
        </w:rPr>
        <w:t xml:space="preserve">, </w:t>
      </w:r>
      <w:r w:rsidR="00262D48" w:rsidRPr="00725D65">
        <w:rPr>
          <w:color w:val="000000"/>
          <w:sz w:val="24"/>
          <w:szCs w:val="24"/>
        </w:rPr>
        <w:t>women</w:t>
      </w:r>
      <w:r w:rsidR="00E62D32" w:rsidRPr="00725D65">
        <w:rPr>
          <w:color w:val="000000"/>
          <w:sz w:val="24"/>
          <w:szCs w:val="24"/>
        </w:rPr>
        <w:t xml:space="preserve"> are more likely to be NRATs</w:t>
      </w:r>
      <w:r w:rsidR="001B6E7E" w:rsidRPr="00725D65">
        <w:rPr>
          <w:color w:val="000000"/>
          <w:sz w:val="24"/>
          <w:szCs w:val="24"/>
        </w:rPr>
        <w:t xml:space="preserve">. This pattern is consistent with the well-documented gender gap in </w:t>
      </w:r>
      <w:r w:rsidR="00EB225A" w:rsidRPr="00725D65">
        <w:rPr>
          <w:color w:val="000000"/>
          <w:sz w:val="24"/>
          <w:szCs w:val="24"/>
        </w:rPr>
        <w:t>bi</w:t>
      </w:r>
      <w:r w:rsidR="001B6E7E" w:rsidRPr="00725D65">
        <w:rPr>
          <w:color w:val="000000"/>
          <w:sz w:val="24"/>
          <w:szCs w:val="24"/>
        </w:rPr>
        <w:t xml:space="preserve">cycling participation and </w:t>
      </w:r>
      <w:r w:rsidR="00C363BD" w:rsidRPr="00725D65">
        <w:rPr>
          <w:color w:val="000000"/>
          <w:sz w:val="24"/>
          <w:szCs w:val="24"/>
        </w:rPr>
        <w:t xml:space="preserve">the </w:t>
      </w:r>
      <w:r w:rsidR="001B6E7E" w:rsidRPr="00725D65">
        <w:rPr>
          <w:color w:val="000000"/>
          <w:sz w:val="24"/>
          <w:szCs w:val="24"/>
        </w:rPr>
        <w:t>broader literature linking women</w:t>
      </w:r>
      <w:r w:rsidR="000D7001">
        <w:rPr>
          <w:color w:val="000000"/>
          <w:sz w:val="24"/>
          <w:szCs w:val="24"/>
        </w:rPr>
        <w:t>’</w:t>
      </w:r>
      <w:r w:rsidR="001B6E7E" w:rsidRPr="00725D65">
        <w:rPr>
          <w:color w:val="000000"/>
          <w:sz w:val="24"/>
          <w:szCs w:val="24"/>
        </w:rPr>
        <w:t>s daily mobility to greater household-management responsibilities, more complex trip-chaining behaviors, and heightened concerns about personal security in public spaces</w:t>
      </w:r>
      <w:r w:rsidR="00D45D5F" w:rsidRPr="00725D65">
        <w:rPr>
          <w:color w:val="000000"/>
          <w:sz w:val="24"/>
          <w:szCs w:val="24"/>
        </w:rPr>
        <w:t xml:space="preserve"> (for example,</w:t>
      </w:r>
      <w:r w:rsidR="00E040BE" w:rsidRPr="00725D65">
        <w:rPr>
          <w:color w:val="000000"/>
          <w:sz w:val="24"/>
          <w:szCs w:val="24"/>
        </w:rPr>
        <w:t xml:space="preserve"> </w:t>
      </w:r>
      <w:sdt>
        <w:sdtPr>
          <w:rPr>
            <w:color w:val="000000"/>
            <w:sz w:val="24"/>
            <w:szCs w:val="24"/>
          </w:rPr>
          <w:tag w:val="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"/>
          <w:id w:val="-127482151"/>
          <w:placeholder>
            <w:docPart w:val="DefaultPlaceholder_-1854013440"/>
          </w:placeholder>
        </w:sdtPr>
        <w:sdtEndPr/>
        <w:sdtContent>
          <w:r w:rsidR="000C5DDA" w:rsidRPr="000C5DDA">
            <w:rPr>
              <w:color w:val="000000"/>
              <w:sz w:val="24"/>
              <w:szCs w:val="24"/>
            </w:rPr>
            <w:t>Ravensbergen et al., 2020a; Ravensbergen et al., 2020b; D</w:t>
          </w:r>
          <w:r w:rsidR="000D7001">
            <w:rPr>
              <w:color w:val="000000"/>
              <w:sz w:val="24"/>
              <w:szCs w:val="24"/>
            </w:rPr>
            <w:t>’</w:t>
          </w:r>
          <w:r w:rsidR="000C5DDA" w:rsidRPr="000C5DDA">
            <w:rPr>
              <w:color w:val="000000"/>
              <w:sz w:val="24"/>
              <w:szCs w:val="24"/>
            </w:rPr>
            <w:t>Agostino et al., 2024</w:t>
          </w:r>
        </w:sdtContent>
      </w:sdt>
      <w:r w:rsidR="00D45D5F" w:rsidRPr="000B0459">
        <w:rPr>
          <w:color w:val="000000"/>
          <w:sz w:val="24"/>
          <w:szCs w:val="24"/>
        </w:rPr>
        <w:t>)</w:t>
      </w:r>
      <w:r w:rsidR="001B6E7E" w:rsidRPr="000B0459">
        <w:rPr>
          <w:color w:val="000000"/>
          <w:sz w:val="24"/>
          <w:szCs w:val="24"/>
        </w:rPr>
        <w:t xml:space="preserve">. </w:t>
      </w:r>
      <w:r w:rsidR="00725D65" w:rsidRPr="00725D65">
        <w:rPr>
          <w:color w:val="000000"/>
          <w:sz w:val="24"/>
          <w:szCs w:val="24"/>
        </w:rPr>
        <w:t xml:space="preserve">These differences are also </w:t>
      </w:r>
      <w:r w:rsidR="00E300E2" w:rsidRPr="00725D65">
        <w:rPr>
          <w:color w:val="000000"/>
          <w:sz w:val="24"/>
          <w:szCs w:val="24"/>
        </w:rPr>
        <w:t xml:space="preserve">reflected in the </w:t>
      </w:r>
      <w:r w:rsidR="00725D65" w:rsidRPr="00725D65">
        <w:rPr>
          <w:color w:val="000000"/>
          <w:sz w:val="24"/>
          <w:szCs w:val="24"/>
        </w:rPr>
        <w:t xml:space="preserve">reported </w:t>
      </w:r>
      <w:r w:rsidR="00E300E2" w:rsidRPr="00725D65">
        <w:rPr>
          <w:color w:val="000000"/>
          <w:sz w:val="24"/>
          <w:szCs w:val="24"/>
        </w:rPr>
        <w:t>barriers</w:t>
      </w:r>
      <w:r w:rsidR="00725D65" w:rsidRPr="00725D65">
        <w:rPr>
          <w:color w:val="000000"/>
          <w:sz w:val="24"/>
          <w:szCs w:val="24"/>
        </w:rPr>
        <w:t>. W</w:t>
      </w:r>
      <w:r w:rsidR="0038766A" w:rsidRPr="00725D65">
        <w:rPr>
          <w:color w:val="000000"/>
          <w:sz w:val="24"/>
          <w:szCs w:val="24"/>
        </w:rPr>
        <w:t xml:space="preserve">omen </w:t>
      </w:r>
      <w:r w:rsidR="00725D65" w:rsidRPr="00725D65">
        <w:rPr>
          <w:color w:val="000000"/>
          <w:sz w:val="24"/>
          <w:szCs w:val="24"/>
        </w:rPr>
        <w:t xml:space="preserve">are </w:t>
      </w:r>
      <w:r w:rsidR="0038766A" w:rsidRPr="00725D65">
        <w:rPr>
          <w:color w:val="000000"/>
          <w:sz w:val="24"/>
          <w:szCs w:val="24"/>
        </w:rPr>
        <w:t>more likely to cite personal-security concerns related to loitering or threatening behavior</w:t>
      </w:r>
      <w:r w:rsidR="00725D65" w:rsidRPr="00725D65">
        <w:rPr>
          <w:color w:val="000000"/>
          <w:sz w:val="24"/>
          <w:szCs w:val="24"/>
        </w:rPr>
        <w:t xml:space="preserve"> as</w:t>
      </w:r>
      <w:r w:rsidR="00C16A01">
        <w:rPr>
          <w:color w:val="000000"/>
          <w:sz w:val="24"/>
          <w:szCs w:val="24"/>
        </w:rPr>
        <w:t xml:space="preserve"> a</w:t>
      </w:r>
      <w:r w:rsidR="00725D65" w:rsidRPr="00725D65">
        <w:rPr>
          <w:color w:val="000000"/>
          <w:sz w:val="24"/>
          <w:szCs w:val="24"/>
        </w:rPr>
        <w:t xml:space="preserve"> barrier, while being less </w:t>
      </w:r>
      <w:r w:rsidR="0074017B" w:rsidRPr="00725D65">
        <w:rPr>
          <w:color w:val="000000"/>
          <w:sz w:val="24"/>
          <w:szCs w:val="24"/>
        </w:rPr>
        <w:t xml:space="preserve">likely to </w:t>
      </w:r>
      <w:r w:rsidR="00725D65" w:rsidRPr="00725D65">
        <w:rPr>
          <w:color w:val="000000"/>
          <w:sz w:val="24"/>
          <w:szCs w:val="24"/>
        </w:rPr>
        <w:t xml:space="preserve">identify </w:t>
      </w:r>
      <w:r w:rsidR="0074017B" w:rsidRPr="00725D65">
        <w:rPr>
          <w:color w:val="000000"/>
          <w:sz w:val="24"/>
          <w:szCs w:val="24"/>
        </w:rPr>
        <w:t>trip-length mismatch</w:t>
      </w:r>
      <w:r w:rsidR="006D2F8B" w:rsidRPr="00725D65">
        <w:rPr>
          <w:color w:val="000000"/>
          <w:sz w:val="24"/>
          <w:szCs w:val="24"/>
        </w:rPr>
        <w:t>es</w:t>
      </w:r>
      <w:r w:rsidR="0074017B" w:rsidRPr="00725D65">
        <w:rPr>
          <w:color w:val="000000"/>
          <w:sz w:val="24"/>
          <w:szCs w:val="24"/>
        </w:rPr>
        <w:t xml:space="preserve">, suggesting that </w:t>
      </w:r>
      <w:r w:rsidR="00725D65" w:rsidRPr="00725D65">
        <w:rPr>
          <w:color w:val="000000"/>
          <w:sz w:val="24"/>
          <w:szCs w:val="24"/>
        </w:rPr>
        <w:t>personal security weigh</w:t>
      </w:r>
      <w:r w:rsidR="002B60EE">
        <w:rPr>
          <w:color w:val="000000"/>
          <w:sz w:val="24"/>
          <w:szCs w:val="24"/>
        </w:rPr>
        <w:t>s</w:t>
      </w:r>
      <w:r w:rsidR="00725D65" w:rsidRPr="00725D65">
        <w:rPr>
          <w:color w:val="000000"/>
          <w:sz w:val="24"/>
          <w:szCs w:val="24"/>
        </w:rPr>
        <w:t xml:space="preserve"> more heavily than travel distance in their activ</w:t>
      </w:r>
      <w:r w:rsidR="00C16A01">
        <w:rPr>
          <w:color w:val="000000"/>
          <w:sz w:val="24"/>
          <w:szCs w:val="24"/>
        </w:rPr>
        <w:t>e</w:t>
      </w:r>
      <w:r w:rsidR="00725D65" w:rsidRPr="00725D65">
        <w:rPr>
          <w:color w:val="000000"/>
          <w:sz w:val="24"/>
          <w:szCs w:val="24"/>
        </w:rPr>
        <w:t xml:space="preserve"> travel decisions. </w:t>
      </w:r>
      <w:r w:rsidR="00767400" w:rsidRPr="00725D65">
        <w:rPr>
          <w:color w:val="000000"/>
          <w:sz w:val="24"/>
          <w:szCs w:val="24"/>
        </w:rPr>
        <w:t xml:space="preserve">Women also </w:t>
      </w:r>
      <w:r w:rsidR="00725D65" w:rsidRPr="00725D65">
        <w:rPr>
          <w:color w:val="000000"/>
          <w:sz w:val="24"/>
          <w:szCs w:val="24"/>
        </w:rPr>
        <w:t xml:space="preserve">report somewhat greater concerns about deficiencies in </w:t>
      </w:r>
      <w:r w:rsidR="00767400" w:rsidRPr="00725D65">
        <w:rPr>
          <w:color w:val="000000"/>
          <w:sz w:val="24"/>
          <w:szCs w:val="24"/>
        </w:rPr>
        <w:t xml:space="preserve">sidewalks </w:t>
      </w:r>
      <w:r w:rsidR="00725D65" w:rsidRPr="00725D65">
        <w:rPr>
          <w:color w:val="000000"/>
          <w:sz w:val="24"/>
          <w:szCs w:val="24"/>
        </w:rPr>
        <w:t>and</w:t>
      </w:r>
      <w:r w:rsidR="00767400" w:rsidRPr="00725D65">
        <w:rPr>
          <w:color w:val="000000"/>
          <w:sz w:val="24"/>
          <w:szCs w:val="24"/>
        </w:rPr>
        <w:t xml:space="preserve"> bi</w:t>
      </w:r>
      <w:r w:rsidR="00CC1A3D">
        <w:rPr>
          <w:color w:val="000000"/>
          <w:sz w:val="24"/>
          <w:szCs w:val="24"/>
        </w:rPr>
        <w:t>cycle</w:t>
      </w:r>
      <w:r w:rsidR="00767400" w:rsidRPr="00725D65">
        <w:rPr>
          <w:color w:val="000000"/>
          <w:sz w:val="24"/>
          <w:szCs w:val="24"/>
        </w:rPr>
        <w:t xml:space="preserve"> lanes as well as</w:t>
      </w:r>
      <w:r w:rsidR="00725D65" w:rsidRPr="00725D65">
        <w:rPr>
          <w:color w:val="000000"/>
          <w:sz w:val="24"/>
          <w:szCs w:val="24"/>
        </w:rPr>
        <w:t xml:space="preserve"> </w:t>
      </w:r>
      <w:r w:rsidR="00767400" w:rsidRPr="00725D65">
        <w:rPr>
          <w:color w:val="000000"/>
          <w:sz w:val="24"/>
          <w:szCs w:val="24"/>
        </w:rPr>
        <w:t>adverse weather</w:t>
      </w:r>
      <w:r w:rsidR="00725D65" w:rsidRPr="00725D65">
        <w:rPr>
          <w:color w:val="000000"/>
          <w:sz w:val="24"/>
          <w:szCs w:val="24"/>
        </w:rPr>
        <w:t xml:space="preserve">, </w:t>
      </w:r>
      <w:r w:rsidR="00767400" w:rsidRPr="00725D65">
        <w:rPr>
          <w:color w:val="000000"/>
          <w:sz w:val="24"/>
          <w:szCs w:val="24"/>
        </w:rPr>
        <w:t xml:space="preserve">although these effects are only </w:t>
      </w:r>
      <w:r w:rsidR="00E62D32" w:rsidRPr="00725D65">
        <w:rPr>
          <w:color w:val="000000"/>
          <w:sz w:val="24"/>
          <w:szCs w:val="24"/>
        </w:rPr>
        <w:t xml:space="preserve">very </w:t>
      </w:r>
      <w:r w:rsidR="00767400" w:rsidRPr="00725D65">
        <w:rPr>
          <w:color w:val="000000"/>
          <w:sz w:val="24"/>
          <w:szCs w:val="24"/>
        </w:rPr>
        <w:t xml:space="preserve">marginally significant. </w:t>
      </w:r>
    </w:p>
    <w:p w14:paraId="5031231F" w14:textId="339D99AD" w:rsidR="001956A5" w:rsidRPr="00725D65" w:rsidRDefault="00725D65" w:rsidP="00B9201B">
      <w:pPr>
        <w:ind w:firstLine="720"/>
        <w:jc w:val="both"/>
        <w:rPr>
          <w:color w:val="000000"/>
          <w:sz w:val="24"/>
          <w:szCs w:val="24"/>
        </w:rPr>
      </w:pPr>
      <w:r w:rsidRPr="00BB0CE9">
        <w:rPr>
          <w:rStyle w:val="Strong"/>
          <w:b w:val="0"/>
          <w:bCs w:val="0"/>
          <w:sz w:val="24"/>
          <w:szCs w:val="24"/>
        </w:rPr>
        <w:t>Age exhibits the strongest relationship with NRAT status.</w:t>
      </w:r>
      <w:r w:rsidRPr="00BB0CE9">
        <w:rPr>
          <w:sz w:val="24"/>
          <w:szCs w:val="24"/>
        </w:rPr>
        <w:t xml:space="preserve"> </w:t>
      </w:r>
      <w:r w:rsidR="00E62D32" w:rsidRPr="000B0459">
        <w:rPr>
          <w:color w:val="000000"/>
          <w:sz w:val="24"/>
          <w:szCs w:val="24"/>
        </w:rPr>
        <w:t>Adults</w:t>
      </w:r>
      <w:r w:rsidRPr="00AA1D2D">
        <w:rPr>
          <w:color w:val="000000"/>
          <w:sz w:val="24"/>
          <w:szCs w:val="24"/>
        </w:rPr>
        <w:t xml:space="preserve"> older than</w:t>
      </w:r>
      <w:r w:rsidR="00E62D32" w:rsidRPr="00725D65">
        <w:rPr>
          <w:color w:val="000000"/>
          <w:sz w:val="24"/>
          <w:szCs w:val="24"/>
        </w:rPr>
        <w:t xml:space="preserve"> 44 years </w:t>
      </w:r>
      <w:r w:rsidRPr="00725D65">
        <w:rPr>
          <w:color w:val="000000"/>
          <w:sz w:val="24"/>
          <w:szCs w:val="24"/>
        </w:rPr>
        <w:t xml:space="preserve">are progressively </w:t>
      </w:r>
      <w:r w:rsidR="00B54F17">
        <w:rPr>
          <w:color w:val="000000"/>
          <w:sz w:val="24"/>
          <w:szCs w:val="24"/>
        </w:rPr>
        <w:t>more</w:t>
      </w:r>
      <w:r w:rsidRPr="00725D65">
        <w:rPr>
          <w:color w:val="000000"/>
          <w:sz w:val="24"/>
          <w:szCs w:val="24"/>
        </w:rPr>
        <w:t xml:space="preserve"> likely to be NRATs, consistent with the </w:t>
      </w:r>
      <w:r w:rsidR="00850B54" w:rsidRPr="00725D65">
        <w:rPr>
          <w:color w:val="000000"/>
          <w:sz w:val="24"/>
          <w:szCs w:val="24"/>
        </w:rPr>
        <w:t xml:space="preserve">increasing physical limitations </w:t>
      </w:r>
      <w:r w:rsidRPr="00725D65">
        <w:rPr>
          <w:color w:val="000000"/>
          <w:sz w:val="24"/>
          <w:szCs w:val="24"/>
        </w:rPr>
        <w:t xml:space="preserve">associated with aging and the resulting decline in active lifestyles </w:t>
      </w:r>
      <w:sdt>
        <w:sdtPr>
          <w:rPr>
            <w:color w:val="000000"/>
            <w:sz w:val="24"/>
            <w:szCs w:val="24"/>
          </w:rPr>
          <w:tag w:val="MENDELEY_CITATION_v3_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"/>
          <w:id w:val="1089820895"/>
          <w:placeholder>
            <w:docPart w:val="DefaultPlaceholder_-1854013440"/>
          </w:placeholder>
        </w:sdtPr>
        <w:sdtEndPr/>
        <w:sdtContent>
          <w:r w:rsidR="000C5DDA" w:rsidRPr="000C5DDA">
            <w:rPr>
              <w:color w:val="000000"/>
              <w:sz w:val="24"/>
              <w:szCs w:val="24"/>
            </w:rPr>
            <w:t>(Buehler et al., 2024)</w:t>
          </w:r>
        </w:sdtContent>
      </w:sdt>
      <w:r w:rsidR="004B2002" w:rsidRPr="000B0459">
        <w:rPr>
          <w:color w:val="000000"/>
          <w:sz w:val="24"/>
          <w:szCs w:val="24"/>
        </w:rPr>
        <w:t>.</w:t>
      </w:r>
      <w:r w:rsidR="00D236AE" w:rsidRPr="00AA1D2D">
        <w:rPr>
          <w:color w:val="000000"/>
          <w:sz w:val="24"/>
          <w:szCs w:val="24"/>
        </w:rPr>
        <w:t xml:space="preserve"> </w:t>
      </w:r>
      <w:r w:rsidRPr="00AA1D2D">
        <w:rPr>
          <w:color w:val="000000"/>
          <w:sz w:val="24"/>
          <w:szCs w:val="24"/>
        </w:rPr>
        <w:t xml:space="preserve">The perceived barriers, however, vary much less by age. </w:t>
      </w:r>
      <w:r w:rsidR="00D236AE" w:rsidRPr="00725D65">
        <w:rPr>
          <w:color w:val="000000"/>
          <w:sz w:val="24"/>
          <w:szCs w:val="24"/>
        </w:rPr>
        <w:t>Adults</w:t>
      </w:r>
      <w:r w:rsidRPr="00725D65">
        <w:rPr>
          <w:color w:val="000000"/>
          <w:sz w:val="24"/>
          <w:szCs w:val="24"/>
        </w:rPr>
        <w:t xml:space="preserve"> aged </w:t>
      </w:r>
      <w:r w:rsidR="00D236AE" w:rsidRPr="00725D65">
        <w:rPr>
          <w:color w:val="000000"/>
          <w:sz w:val="24"/>
          <w:szCs w:val="24"/>
        </w:rPr>
        <w:t>25</w:t>
      </w:r>
      <w:r w:rsidRPr="00725D65">
        <w:rPr>
          <w:color w:val="000000"/>
          <w:sz w:val="24"/>
          <w:szCs w:val="24"/>
        </w:rPr>
        <w:t xml:space="preserve"> to </w:t>
      </w:r>
      <w:r w:rsidR="00D236AE" w:rsidRPr="00725D65">
        <w:rPr>
          <w:color w:val="000000"/>
          <w:sz w:val="24"/>
          <w:szCs w:val="24"/>
        </w:rPr>
        <w:t xml:space="preserve">64 are less likely </w:t>
      </w:r>
      <w:r w:rsidR="00927771" w:rsidRPr="00725D65">
        <w:rPr>
          <w:color w:val="000000"/>
          <w:sz w:val="24"/>
          <w:szCs w:val="24"/>
        </w:rPr>
        <w:t>to report</w:t>
      </w:r>
      <w:r w:rsidR="00D236AE" w:rsidRPr="00725D65">
        <w:rPr>
          <w:color w:val="000000"/>
          <w:sz w:val="24"/>
          <w:szCs w:val="24"/>
        </w:rPr>
        <w:t xml:space="preserve"> trip-length mismatch</w:t>
      </w:r>
      <w:r w:rsidRPr="00725D65">
        <w:rPr>
          <w:color w:val="000000"/>
          <w:sz w:val="24"/>
          <w:szCs w:val="24"/>
        </w:rPr>
        <w:t xml:space="preserve"> as a barrier than either younger </w:t>
      </w:r>
      <w:r w:rsidR="000E7E50" w:rsidRPr="00725D65">
        <w:rPr>
          <w:color w:val="000000"/>
          <w:sz w:val="24"/>
          <w:szCs w:val="24"/>
        </w:rPr>
        <w:t>or</w:t>
      </w:r>
      <w:r w:rsidRPr="00725D65">
        <w:rPr>
          <w:color w:val="000000"/>
          <w:sz w:val="24"/>
          <w:szCs w:val="24"/>
        </w:rPr>
        <w:t xml:space="preserve"> older adults, </w:t>
      </w:r>
      <w:r w:rsidR="00D236AE" w:rsidRPr="00725D65">
        <w:rPr>
          <w:color w:val="000000"/>
          <w:sz w:val="24"/>
          <w:szCs w:val="24"/>
        </w:rPr>
        <w:t xml:space="preserve">possibly reflecting more settled residential and activity patterns. </w:t>
      </w:r>
      <w:r w:rsidRPr="00725D65">
        <w:rPr>
          <w:color w:val="000000"/>
          <w:sz w:val="24"/>
          <w:szCs w:val="24"/>
        </w:rPr>
        <w:t xml:space="preserve">Those </w:t>
      </w:r>
      <w:r w:rsidR="0028794A" w:rsidRPr="00725D65">
        <w:rPr>
          <w:color w:val="000000"/>
          <w:sz w:val="24"/>
          <w:szCs w:val="24"/>
        </w:rPr>
        <w:t xml:space="preserve">aged </w:t>
      </w:r>
      <w:r w:rsidR="001C2929" w:rsidRPr="00725D65">
        <w:rPr>
          <w:color w:val="000000"/>
          <w:sz w:val="24"/>
          <w:szCs w:val="24"/>
        </w:rPr>
        <w:t xml:space="preserve">75 years and older </w:t>
      </w:r>
      <w:r w:rsidRPr="00725D65">
        <w:rPr>
          <w:color w:val="000000"/>
          <w:sz w:val="24"/>
          <w:szCs w:val="24"/>
        </w:rPr>
        <w:t xml:space="preserve">are less likely to cite </w:t>
      </w:r>
      <w:r w:rsidR="0028794A" w:rsidRPr="00725D65">
        <w:rPr>
          <w:color w:val="000000"/>
          <w:sz w:val="24"/>
          <w:szCs w:val="24"/>
        </w:rPr>
        <w:t>insufficient lighting</w:t>
      </w:r>
      <w:r w:rsidRPr="00725D65">
        <w:rPr>
          <w:color w:val="000000"/>
          <w:sz w:val="24"/>
          <w:szCs w:val="24"/>
        </w:rPr>
        <w:t xml:space="preserve"> or </w:t>
      </w:r>
      <w:r w:rsidR="0028794A" w:rsidRPr="00725D65">
        <w:rPr>
          <w:color w:val="000000"/>
          <w:sz w:val="24"/>
          <w:szCs w:val="24"/>
        </w:rPr>
        <w:t xml:space="preserve">distracted drivers, </w:t>
      </w:r>
      <w:r w:rsidR="00850B54" w:rsidRPr="00725D65">
        <w:rPr>
          <w:color w:val="000000"/>
          <w:sz w:val="24"/>
          <w:szCs w:val="24"/>
        </w:rPr>
        <w:t xml:space="preserve">potentially </w:t>
      </w:r>
      <w:r w:rsidRPr="00725D65">
        <w:rPr>
          <w:color w:val="000000"/>
          <w:sz w:val="24"/>
          <w:szCs w:val="24"/>
        </w:rPr>
        <w:t xml:space="preserve">because their </w:t>
      </w:r>
      <w:r w:rsidR="00850B54" w:rsidRPr="00725D65">
        <w:rPr>
          <w:color w:val="000000"/>
          <w:sz w:val="24"/>
          <w:szCs w:val="24"/>
        </w:rPr>
        <w:t xml:space="preserve">more discretionary travel enables them to avoid </w:t>
      </w:r>
      <w:r w:rsidRPr="00725D65">
        <w:rPr>
          <w:color w:val="000000"/>
          <w:sz w:val="24"/>
          <w:szCs w:val="24"/>
        </w:rPr>
        <w:t xml:space="preserve">nighttime and peak-period </w:t>
      </w:r>
      <w:r w:rsidR="00850B54" w:rsidRPr="00725D65">
        <w:rPr>
          <w:color w:val="000000"/>
          <w:sz w:val="24"/>
          <w:szCs w:val="24"/>
        </w:rPr>
        <w:t>travel</w:t>
      </w:r>
      <w:r w:rsidRPr="00725D65">
        <w:rPr>
          <w:color w:val="000000"/>
          <w:sz w:val="24"/>
          <w:szCs w:val="24"/>
        </w:rPr>
        <w:t>.</w:t>
      </w:r>
      <w:r w:rsidR="00850B54" w:rsidRPr="00725D65">
        <w:rPr>
          <w:color w:val="000000"/>
          <w:sz w:val="24"/>
          <w:szCs w:val="24"/>
        </w:rPr>
        <w:t xml:space="preserve"> </w:t>
      </w:r>
      <w:r w:rsidRPr="00725D65">
        <w:rPr>
          <w:color w:val="000000"/>
          <w:sz w:val="24"/>
          <w:szCs w:val="24"/>
        </w:rPr>
        <w:t>Adults</w:t>
      </w:r>
      <w:r w:rsidR="0028794A" w:rsidRPr="00725D65">
        <w:rPr>
          <w:color w:val="000000"/>
          <w:sz w:val="24"/>
          <w:szCs w:val="24"/>
        </w:rPr>
        <w:t xml:space="preserve"> aged 45</w:t>
      </w:r>
      <w:r w:rsidRPr="00725D65">
        <w:rPr>
          <w:color w:val="000000"/>
          <w:sz w:val="24"/>
          <w:szCs w:val="24"/>
        </w:rPr>
        <w:t xml:space="preserve"> to </w:t>
      </w:r>
      <w:r w:rsidR="0028794A" w:rsidRPr="00725D65">
        <w:rPr>
          <w:color w:val="000000"/>
          <w:sz w:val="24"/>
          <w:szCs w:val="24"/>
        </w:rPr>
        <w:t xml:space="preserve">64 </w:t>
      </w:r>
      <w:r w:rsidRPr="00725D65">
        <w:rPr>
          <w:color w:val="000000"/>
          <w:sz w:val="24"/>
          <w:szCs w:val="24"/>
        </w:rPr>
        <w:t xml:space="preserve">are also somewhat </w:t>
      </w:r>
      <w:r w:rsidR="00850B54" w:rsidRPr="00725D65">
        <w:rPr>
          <w:color w:val="000000"/>
          <w:sz w:val="24"/>
          <w:szCs w:val="24"/>
        </w:rPr>
        <w:t xml:space="preserve">less </w:t>
      </w:r>
      <w:r w:rsidRPr="00725D65">
        <w:rPr>
          <w:color w:val="000000"/>
          <w:sz w:val="24"/>
          <w:szCs w:val="24"/>
        </w:rPr>
        <w:t xml:space="preserve">likely to report </w:t>
      </w:r>
      <w:r w:rsidR="0028794A" w:rsidRPr="00725D65">
        <w:rPr>
          <w:color w:val="000000"/>
          <w:sz w:val="24"/>
          <w:szCs w:val="24"/>
        </w:rPr>
        <w:t>aggressive drivers</w:t>
      </w:r>
      <w:r w:rsidRPr="00725D65">
        <w:rPr>
          <w:color w:val="000000"/>
          <w:sz w:val="24"/>
          <w:szCs w:val="24"/>
        </w:rPr>
        <w:t xml:space="preserve"> as a barrier</w:t>
      </w:r>
      <w:r w:rsidR="00E5298F" w:rsidRPr="00725D65">
        <w:rPr>
          <w:color w:val="000000"/>
          <w:sz w:val="24"/>
          <w:szCs w:val="24"/>
        </w:rPr>
        <w:t>, a finding that</w:t>
      </w:r>
      <w:r w:rsidRPr="00725D65">
        <w:rPr>
          <w:color w:val="000000"/>
          <w:sz w:val="24"/>
          <w:szCs w:val="24"/>
        </w:rPr>
        <w:t xml:space="preserve"> warrants further investigation</w:t>
      </w:r>
      <w:r w:rsidR="00E5298F" w:rsidRPr="00725D65">
        <w:rPr>
          <w:color w:val="000000"/>
          <w:sz w:val="24"/>
          <w:szCs w:val="24"/>
        </w:rPr>
        <w:t xml:space="preserve">. </w:t>
      </w:r>
    </w:p>
    <w:p w14:paraId="702F4DBA" w14:textId="7F6F082F" w:rsidR="00A54E33" w:rsidRPr="00725D65" w:rsidRDefault="00756211" w:rsidP="00B9201B">
      <w:pPr>
        <w:ind w:firstLine="720"/>
        <w:jc w:val="both"/>
        <w:rPr>
          <w:color w:val="000000"/>
          <w:sz w:val="24"/>
          <w:szCs w:val="24"/>
        </w:rPr>
      </w:pPr>
      <w:r w:rsidRPr="0070443E">
        <w:rPr>
          <w:rStyle w:val="Strong"/>
          <w:b w:val="0"/>
          <w:bCs w:val="0"/>
          <w:sz w:val="24"/>
          <w:szCs w:val="24"/>
        </w:rPr>
        <w:t>Employment status primarily influences the likelihood of being an NRAT rather than the specific barriers reported.</w:t>
      </w:r>
      <w:r w:rsidRPr="0070443E">
        <w:rPr>
          <w:sz w:val="24"/>
          <w:szCs w:val="24"/>
        </w:rPr>
        <w:t xml:space="preserve"> </w:t>
      </w:r>
      <w:r w:rsidR="00A54E33" w:rsidRPr="000B0459">
        <w:rPr>
          <w:color w:val="000000"/>
          <w:sz w:val="24"/>
          <w:szCs w:val="24"/>
        </w:rPr>
        <w:t xml:space="preserve">Both full-time and part-time workers </w:t>
      </w:r>
      <w:r w:rsidRPr="00AA1D2D">
        <w:rPr>
          <w:color w:val="000000"/>
          <w:sz w:val="24"/>
          <w:szCs w:val="24"/>
        </w:rPr>
        <w:t xml:space="preserve">are less likely to be NRATs </w:t>
      </w:r>
      <w:r w:rsidR="00A54E33" w:rsidRPr="00725D65">
        <w:rPr>
          <w:color w:val="000000"/>
          <w:sz w:val="24"/>
          <w:szCs w:val="24"/>
        </w:rPr>
        <w:t xml:space="preserve">than non-employed individuals, </w:t>
      </w:r>
      <w:r w:rsidRPr="00725D65">
        <w:rPr>
          <w:color w:val="000000"/>
          <w:sz w:val="24"/>
          <w:szCs w:val="24"/>
        </w:rPr>
        <w:t xml:space="preserve">consistent with </w:t>
      </w:r>
      <w:r w:rsidR="00A54E33" w:rsidRPr="00725D65">
        <w:rPr>
          <w:color w:val="000000"/>
          <w:sz w:val="24"/>
          <w:szCs w:val="24"/>
        </w:rPr>
        <w:t xml:space="preserve">active commuting </w:t>
      </w:r>
      <w:r w:rsidRPr="00725D65">
        <w:rPr>
          <w:color w:val="000000"/>
          <w:sz w:val="24"/>
          <w:szCs w:val="24"/>
        </w:rPr>
        <w:t xml:space="preserve">serving as an important source of daily </w:t>
      </w:r>
      <w:r w:rsidR="00A54E33" w:rsidRPr="00725D65">
        <w:rPr>
          <w:color w:val="000000"/>
          <w:sz w:val="24"/>
          <w:szCs w:val="24"/>
        </w:rPr>
        <w:t xml:space="preserve">physical activity </w:t>
      </w:r>
      <w:sdt>
        <w:sdtPr>
          <w:rPr>
            <w:color w:val="000000"/>
            <w:sz w:val="24"/>
            <w:szCs w:val="24"/>
          </w:rPr>
          <w:tag w:val="MENDELEY_CITATION_v3_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"/>
          <w:id w:val="1057351265"/>
          <w:placeholder>
            <w:docPart w:val="DefaultPlaceholder_-1854013440"/>
          </w:placeholder>
        </w:sdtPr>
        <w:sdtEndPr/>
        <w:sdtContent>
          <w:r w:rsidR="000C5DDA" w:rsidRPr="000C5DDA">
            <w:rPr>
              <w:color w:val="000000"/>
              <w:sz w:val="24"/>
              <w:szCs w:val="24"/>
            </w:rPr>
            <w:t>(Sahlqvist et al., 2012)</w:t>
          </w:r>
        </w:sdtContent>
      </w:sdt>
      <w:r w:rsidR="00A54E33" w:rsidRPr="000B0459">
        <w:rPr>
          <w:color w:val="000000"/>
          <w:sz w:val="24"/>
          <w:szCs w:val="24"/>
        </w:rPr>
        <w:t xml:space="preserve">. </w:t>
      </w:r>
      <w:r w:rsidR="00A54E33" w:rsidRPr="00725D65">
        <w:rPr>
          <w:color w:val="000000"/>
          <w:sz w:val="24"/>
          <w:szCs w:val="24"/>
        </w:rPr>
        <w:t xml:space="preserve">Full-time workers are less likely to cite loitering or threatening behavior, </w:t>
      </w:r>
      <w:r w:rsidRPr="00725D65">
        <w:rPr>
          <w:color w:val="000000"/>
          <w:sz w:val="24"/>
          <w:szCs w:val="24"/>
        </w:rPr>
        <w:t>while r</w:t>
      </w:r>
      <w:r w:rsidR="00A54E33" w:rsidRPr="00725D65">
        <w:rPr>
          <w:color w:val="000000"/>
          <w:sz w:val="24"/>
          <w:szCs w:val="24"/>
        </w:rPr>
        <w:t>etired individuals are less likely to</w:t>
      </w:r>
      <w:r w:rsidRPr="00725D65">
        <w:rPr>
          <w:color w:val="000000"/>
          <w:sz w:val="24"/>
          <w:szCs w:val="24"/>
        </w:rPr>
        <w:t xml:space="preserve"> identify </w:t>
      </w:r>
      <w:r w:rsidR="00A54E33" w:rsidRPr="00725D65">
        <w:rPr>
          <w:color w:val="000000"/>
          <w:sz w:val="24"/>
          <w:szCs w:val="24"/>
        </w:rPr>
        <w:t xml:space="preserve">aggressive </w:t>
      </w:r>
      <w:r w:rsidRPr="00725D65">
        <w:rPr>
          <w:color w:val="000000"/>
          <w:sz w:val="24"/>
          <w:szCs w:val="24"/>
        </w:rPr>
        <w:t>or</w:t>
      </w:r>
      <w:r w:rsidR="00A54E33" w:rsidRPr="00725D65">
        <w:rPr>
          <w:color w:val="000000"/>
          <w:sz w:val="24"/>
          <w:szCs w:val="24"/>
        </w:rPr>
        <w:t xml:space="preserve"> distracted drivers, </w:t>
      </w:r>
      <w:r w:rsidRPr="00725D65">
        <w:rPr>
          <w:color w:val="000000"/>
          <w:sz w:val="24"/>
          <w:szCs w:val="24"/>
        </w:rPr>
        <w:t xml:space="preserve">possibly because they travel more frequently during </w:t>
      </w:r>
      <w:r w:rsidR="00A54E33" w:rsidRPr="00725D65">
        <w:rPr>
          <w:color w:val="000000"/>
          <w:sz w:val="24"/>
          <w:szCs w:val="24"/>
        </w:rPr>
        <w:t xml:space="preserve">quieter, off-peak </w:t>
      </w:r>
      <w:r w:rsidRPr="00725D65">
        <w:rPr>
          <w:color w:val="000000"/>
          <w:sz w:val="24"/>
          <w:szCs w:val="24"/>
        </w:rPr>
        <w:t xml:space="preserve">periods </w:t>
      </w:r>
      <w:sdt>
        <w:sdtPr>
          <w:rPr>
            <w:color w:val="000000"/>
            <w:sz w:val="24"/>
            <w:szCs w:val="24"/>
          </w:rPr>
          <w:tag w:val="MENDELEY_CITATION_v3_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"/>
          <w:id w:val="498476622"/>
          <w:placeholder>
            <w:docPart w:val="DefaultPlaceholder_-1854013440"/>
          </w:placeholder>
        </w:sdtPr>
        <w:sdtEndPr/>
        <w:sdtContent>
          <w:r w:rsidR="000C5DDA" w:rsidRPr="000C5DDA">
            <w:rPr>
              <w:color w:val="000000"/>
              <w:sz w:val="24"/>
              <w:szCs w:val="24"/>
            </w:rPr>
            <w:t>(Jones et al., 2018)</w:t>
          </w:r>
        </w:sdtContent>
      </w:sdt>
      <w:r w:rsidRPr="000B0459">
        <w:rPr>
          <w:color w:val="000000"/>
          <w:sz w:val="24"/>
          <w:szCs w:val="24"/>
        </w:rPr>
        <w:t>. Retired individuals are</w:t>
      </w:r>
      <w:r w:rsidR="00A54E33" w:rsidRPr="00725D65">
        <w:rPr>
          <w:color w:val="000000"/>
          <w:sz w:val="24"/>
          <w:szCs w:val="24"/>
        </w:rPr>
        <w:t xml:space="preserve">, however, somewhat more likely to </w:t>
      </w:r>
      <w:r w:rsidRPr="00725D65">
        <w:rPr>
          <w:color w:val="000000"/>
          <w:sz w:val="24"/>
          <w:szCs w:val="24"/>
        </w:rPr>
        <w:t>identify</w:t>
      </w:r>
      <w:r w:rsidR="00A54E33" w:rsidRPr="00725D65">
        <w:rPr>
          <w:color w:val="000000"/>
          <w:sz w:val="24"/>
          <w:szCs w:val="24"/>
        </w:rPr>
        <w:t xml:space="preserve"> trip-length mismatch</w:t>
      </w:r>
      <w:r w:rsidRPr="00725D65">
        <w:rPr>
          <w:color w:val="000000"/>
          <w:sz w:val="24"/>
          <w:szCs w:val="24"/>
        </w:rPr>
        <w:t xml:space="preserve"> as a barrier, </w:t>
      </w:r>
      <w:r w:rsidR="00A54E33" w:rsidRPr="00725D65">
        <w:rPr>
          <w:color w:val="000000"/>
          <w:sz w:val="24"/>
          <w:szCs w:val="24"/>
        </w:rPr>
        <w:t>consistent with travel that is more discretionary and less anchored to nearby workplaces.</w:t>
      </w:r>
    </w:p>
    <w:p w14:paraId="61C5CAC2" w14:textId="1A08CF38" w:rsidR="00A54E33" w:rsidRPr="00725D65" w:rsidRDefault="00756211" w:rsidP="00B9201B">
      <w:pPr>
        <w:ind w:firstLine="720"/>
        <w:jc w:val="both"/>
        <w:rPr>
          <w:color w:val="000000"/>
          <w:sz w:val="24"/>
          <w:szCs w:val="24"/>
        </w:rPr>
      </w:pPr>
      <w:r w:rsidRPr="003C31EC">
        <w:rPr>
          <w:sz w:val="24"/>
          <w:szCs w:val="24"/>
        </w:rPr>
        <w:t xml:space="preserve">In terms of formal education status, respondents </w:t>
      </w:r>
      <w:r w:rsidR="00A54E33" w:rsidRPr="00725D65">
        <w:rPr>
          <w:color w:val="000000"/>
          <w:sz w:val="24"/>
          <w:szCs w:val="24"/>
        </w:rPr>
        <w:t>with high</w:t>
      </w:r>
      <w:r w:rsidRPr="00725D65">
        <w:rPr>
          <w:color w:val="000000"/>
          <w:sz w:val="24"/>
          <w:szCs w:val="24"/>
        </w:rPr>
        <w:t>er</w:t>
      </w:r>
      <w:r w:rsidR="00A54E33" w:rsidRPr="00725D65">
        <w:rPr>
          <w:color w:val="000000"/>
          <w:sz w:val="24"/>
          <w:szCs w:val="24"/>
        </w:rPr>
        <w:t xml:space="preserve"> </w:t>
      </w:r>
      <w:r w:rsidRPr="00725D65">
        <w:rPr>
          <w:color w:val="000000"/>
          <w:sz w:val="24"/>
          <w:szCs w:val="24"/>
        </w:rPr>
        <w:t xml:space="preserve">educational attainment </w:t>
      </w:r>
      <w:r w:rsidR="00E5298F" w:rsidRPr="00725D65">
        <w:rPr>
          <w:color w:val="000000"/>
          <w:sz w:val="24"/>
          <w:szCs w:val="24"/>
        </w:rPr>
        <w:t xml:space="preserve">are less likely </w:t>
      </w:r>
      <w:r w:rsidR="00A54E33" w:rsidRPr="00725D65">
        <w:rPr>
          <w:color w:val="000000"/>
          <w:sz w:val="24"/>
          <w:szCs w:val="24"/>
        </w:rPr>
        <w:t xml:space="preserve">to be </w:t>
      </w:r>
      <w:r w:rsidR="00E5298F" w:rsidRPr="00725D65">
        <w:rPr>
          <w:color w:val="000000"/>
          <w:sz w:val="24"/>
          <w:szCs w:val="24"/>
        </w:rPr>
        <w:t>NRATs</w:t>
      </w:r>
      <w:r w:rsidR="00A54E33" w:rsidRPr="00725D65">
        <w:rPr>
          <w:color w:val="000000"/>
          <w:sz w:val="24"/>
          <w:szCs w:val="24"/>
        </w:rPr>
        <w:t>, aligning with research linking education to more frequent active travel through greater leisure-time physical activity and heightened sensitivity to the health and environmental benefits of active modes</w:t>
      </w:r>
      <w:r w:rsidR="00FD2CA3" w:rsidRPr="00725D65">
        <w:rPr>
          <w:color w:val="000000"/>
          <w:sz w:val="24"/>
          <w:szCs w:val="24"/>
        </w:rPr>
        <w:t xml:space="preserve"> </w:t>
      </w:r>
      <w:sdt>
        <w:sdtPr>
          <w:rPr>
            <w:color w:val="000000"/>
            <w:sz w:val="24"/>
            <w:szCs w:val="24"/>
          </w:rPr>
          <w:tag w:val="MENDELEY_CITATION_v3_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"/>
          <w:id w:val="810448666"/>
          <w:placeholder>
            <w:docPart w:val="DefaultPlaceholder_-1854013440"/>
          </w:placeholder>
        </w:sdtPr>
        <w:sdtEndPr/>
        <w:sdtContent>
          <w:r w:rsidR="000C5DDA" w:rsidRPr="000C5DDA">
            <w:rPr>
              <w:color w:val="000000"/>
              <w:sz w:val="24"/>
              <w:szCs w:val="24"/>
            </w:rPr>
            <w:t>(Cerin et al., 2009; Hudde, 2024)</w:t>
          </w:r>
        </w:sdtContent>
      </w:sdt>
      <w:r w:rsidR="00A54E33" w:rsidRPr="000B0459">
        <w:rPr>
          <w:color w:val="000000"/>
          <w:sz w:val="24"/>
          <w:szCs w:val="24"/>
        </w:rPr>
        <w:t xml:space="preserve">. </w:t>
      </w:r>
      <w:r w:rsidR="00C055BB" w:rsidRPr="000B0459">
        <w:rPr>
          <w:color w:val="000000"/>
          <w:sz w:val="24"/>
          <w:szCs w:val="24"/>
        </w:rPr>
        <w:t xml:space="preserve">At the same time, </w:t>
      </w:r>
      <w:r w:rsidRPr="00AA1D2D">
        <w:rPr>
          <w:color w:val="000000"/>
          <w:sz w:val="24"/>
          <w:szCs w:val="24"/>
        </w:rPr>
        <w:t xml:space="preserve">more </w:t>
      </w:r>
      <w:r w:rsidRPr="00725D65">
        <w:rPr>
          <w:color w:val="000000"/>
          <w:sz w:val="24"/>
          <w:szCs w:val="24"/>
        </w:rPr>
        <w:lastRenderedPageBreak/>
        <w:t xml:space="preserve">highly educated respondents tend to report a broader range of perceived </w:t>
      </w:r>
      <w:r w:rsidR="00C055BB" w:rsidRPr="00725D65">
        <w:rPr>
          <w:color w:val="000000"/>
          <w:sz w:val="24"/>
          <w:szCs w:val="24"/>
        </w:rPr>
        <w:t xml:space="preserve">barriers, </w:t>
      </w:r>
      <w:r w:rsidRPr="00725D65">
        <w:rPr>
          <w:color w:val="000000"/>
          <w:sz w:val="24"/>
          <w:szCs w:val="24"/>
        </w:rPr>
        <w:t xml:space="preserve">including concerns related to infrastructure, safety, </w:t>
      </w:r>
      <w:r w:rsidR="00A14926" w:rsidRPr="00725D65">
        <w:rPr>
          <w:color w:val="000000"/>
          <w:sz w:val="24"/>
          <w:szCs w:val="24"/>
        </w:rPr>
        <w:t>adverse weather</w:t>
      </w:r>
      <w:r w:rsidRPr="00725D65">
        <w:rPr>
          <w:color w:val="000000"/>
          <w:sz w:val="24"/>
          <w:szCs w:val="24"/>
        </w:rPr>
        <w:t>,</w:t>
      </w:r>
      <w:r w:rsidR="00A14926" w:rsidRPr="00725D65">
        <w:rPr>
          <w:color w:val="000000"/>
          <w:sz w:val="24"/>
          <w:szCs w:val="24"/>
        </w:rPr>
        <w:t xml:space="preserve"> and trip-length mismatch</w:t>
      </w:r>
      <w:r w:rsidRPr="00725D65">
        <w:rPr>
          <w:color w:val="000000"/>
          <w:sz w:val="24"/>
          <w:szCs w:val="24"/>
        </w:rPr>
        <w:t xml:space="preserve">. </w:t>
      </w:r>
      <w:r w:rsidRPr="00690667">
        <w:rPr>
          <w:sz w:val="24"/>
          <w:szCs w:val="24"/>
        </w:rPr>
        <w:t>One possible explanation is that these individuals hold higher expectations regarding the quality of the active travel environment.</w:t>
      </w:r>
    </w:p>
    <w:p w14:paraId="7C006DC8" w14:textId="5DE81EB8" w:rsidR="00A54E33" w:rsidRDefault="009F4F7F" w:rsidP="00B9201B">
      <w:pPr>
        <w:ind w:firstLine="720"/>
        <w:jc w:val="both"/>
        <w:rPr>
          <w:sz w:val="24"/>
          <w:szCs w:val="24"/>
        </w:rPr>
      </w:pPr>
      <w:r w:rsidRPr="00725D65">
        <w:rPr>
          <w:color w:val="000000"/>
          <w:sz w:val="24"/>
          <w:szCs w:val="24"/>
        </w:rPr>
        <w:t xml:space="preserve">Race </w:t>
      </w:r>
      <w:r w:rsidR="00780ECE" w:rsidRPr="00725D65">
        <w:rPr>
          <w:color w:val="000000"/>
          <w:sz w:val="24"/>
          <w:szCs w:val="24"/>
        </w:rPr>
        <w:t xml:space="preserve">and ethnicity </w:t>
      </w:r>
      <w:r w:rsidRPr="00725D65">
        <w:rPr>
          <w:color w:val="000000"/>
          <w:sz w:val="24"/>
          <w:szCs w:val="24"/>
        </w:rPr>
        <w:t xml:space="preserve">effects also </w:t>
      </w:r>
      <w:r w:rsidR="00780ECE" w:rsidRPr="00725D65">
        <w:rPr>
          <w:color w:val="000000"/>
          <w:sz w:val="24"/>
          <w:szCs w:val="24"/>
        </w:rPr>
        <w:t>emerge</w:t>
      </w:r>
      <w:r w:rsidRPr="00725D65">
        <w:rPr>
          <w:color w:val="000000"/>
          <w:sz w:val="24"/>
          <w:szCs w:val="24"/>
        </w:rPr>
        <w:t xml:space="preserve">. </w:t>
      </w:r>
      <w:r w:rsidR="00F561E7" w:rsidRPr="00725D65">
        <w:rPr>
          <w:color w:val="000000"/>
          <w:sz w:val="24"/>
          <w:szCs w:val="24"/>
        </w:rPr>
        <w:t xml:space="preserve">Compared with White individuals, Asian/Pacific Islander </w:t>
      </w:r>
      <w:r w:rsidR="00780ECE" w:rsidRPr="00725D65">
        <w:rPr>
          <w:color w:val="000000"/>
          <w:sz w:val="24"/>
          <w:szCs w:val="24"/>
        </w:rPr>
        <w:t>respondents are more likely to be NRATs</w:t>
      </w:r>
      <w:r w:rsidR="00F561E7" w:rsidRPr="00725D65">
        <w:rPr>
          <w:color w:val="000000"/>
          <w:sz w:val="24"/>
          <w:szCs w:val="24"/>
        </w:rPr>
        <w:t xml:space="preserve">, while </w:t>
      </w:r>
      <w:r w:rsidR="00780ECE" w:rsidRPr="00725D65">
        <w:rPr>
          <w:color w:val="000000"/>
          <w:sz w:val="24"/>
          <w:szCs w:val="24"/>
        </w:rPr>
        <w:t>Hispanic respondent</w:t>
      </w:r>
      <w:r w:rsidR="00291B53">
        <w:rPr>
          <w:color w:val="000000"/>
          <w:sz w:val="24"/>
          <w:szCs w:val="24"/>
        </w:rPr>
        <w:t>s</w:t>
      </w:r>
      <w:r w:rsidR="00780ECE" w:rsidRPr="00725D65">
        <w:rPr>
          <w:color w:val="000000"/>
          <w:sz w:val="24"/>
          <w:szCs w:val="24"/>
        </w:rPr>
        <w:t xml:space="preserve"> </w:t>
      </w:r>
      <w:r w:rsidR="00F561E7" w:rsidRPr="00725D65">
        <w:rPr>
          <w:color w:val="000000"/>
          <w:sz w:val="24"/>
          <w:szCs w:val="24"/>
        </w:rPr>
        <w:t xml:space="preserve">are </w:t>
      </w:r>
      <w:r w:rsidR="00780ECE" w:rsidRPr="00725D65">
        <w:rPr>
          <w:color w:val="000000"/>
          <w:sz w:val="24"/>
          <w:szCs w:val="24"/>
        </w:rPr>
        <w:t>less likely to be NRATs compared to non-Hispanic respondents</w:t>
      </w:r>
      <w:r w:rsidR="00270FC9" w:rsidRPr="00725D65">
        <w:rPr>
          <w:color w:val="000000"/>
          <w:sz w:val="24"/>
          <w:szCs w:val="24"/>
        </w:rPr>
        <w:t>.</w:t>
      </w:r>
      <w:r w:rsidR="00780ECE" w:rsidRPr="00725D65">
        <w:rPr>
          <w:color w:val="000000"/>
          <w:sz w:val="24"/>
          <w:szCs w:val="24"/>
        </w:rPr>
        <w:t xml:space="preserve"> </w:t>
      </w:r>
      <w:r w:rsidR="00780ECE" w:rsidRPr="00D431C9">
        <w:rPr>
          <w:sz w:val="24"/>
          <w:szCs w:val="24"/>
        </w:rPr>
        <w:t>Previous studies have reported mixed racial and ethnic differences in active travel, partly because these relationships are often confounded with differences in income, vehicle access, and the built environment, all of which are controlled for in the current analysis</w:t>
      </w:r>
      <w:r w:rsidR="00F015F1" w:rsidRPr="000B0459">
        <w:rPr>
          <w:color w:val="000000"/>
          <w:sz w:val="24"/>
          <w:szCs w:val="24"/>
        </w:rPr>
        <w:t xml:space="preserve"> </w:t>
      </w:r>
      <w:sdt>
        <w:sdtPr>
          <w:rPr>
            <w:color w:val="000000"/>
            <w:sz w:val="24"/>
            <w:szCs w:val="24"/>
          </w:rPr>
          <w:tag w:val="MENDELEY_CITATION_v3_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"/>
          <w:id w:val="-1414930232"/>
          <w:placeholder>
            <w:docPart w:val="DefaultPlaceholder_-1854013440"/>
          </w:placeholder>
        </w:sdtPr>
        <w:sdtEndPr/>
        <w:sdtContent>
          <w:r w:rsidR="000C5DDA" w:rsidRPr="000C5DDA">
            <w:rPr>
              <w:color w:val="000000"/>
              <w:sz w:val="24"/>
              <w:szCs w:val="24"/>
            </w:rPr>
            <w:t>(Adjaye-Gbewonyo and Briones, 2024; Grengs, 2025)</w:t>
          </w:r>
        </w:sdtContent>
      </w:sdt>
      <w:r w:rsidR="00B200D9" w:rsidRPr="000B0459">
        <w:rPr>
          <w:color w:val="000000"/>
          <w:sz w:val="24"/>
          <w:szCs w:val="24"/>
        </w:rPr>
        <w:t xml:space="preserve">. </w:t>
      </w:r>
      <w:r w:rsidR="007065FE" w:rsidRPr="000B0459">
        <w:rPr>
          <w:color w:val="000000"/>
          <w:sz w:val="24"/>
          <w:szCs w:val="24"/>
        </w:rPr>
        <w:t>The</w:t>
      </w:r>
      <w:r w:rsidR="00780ECE" w:rsidRPr="00AA1D2D">
        <w:rPr>
          <w:color w:val="000000"/>
          <w:sz w:val="24"/>
          <w:szCs w:val="24"/>
        </w:rPr>
        <w:t xml:space="preserve"> remaini</w:t>
      </w:r>
      <w:r w:rsidR="00780ECE" w:rsidRPr="00725D65">
        <w:rPr>
          <w:color w:val="000000"/>
          <w:sz w:val="24"/>
          <w:szCs w:val="24"/>
        </w:rPr>
        <w:t>ng</w:t>
      </w:r>
      <w:r w:rsidR="007065FE" w:rsidRPr="00725D65">
        <w:rPr>
          <w:color w:val="000000"/>
          <w:sz w:val="24"/>
          <w:szCs w:val="24"/>
        </w:rPr>
        <w:t xml:space="preserve"> </w:t>
      </w:r>
      <w:r w:rsidRPr="00725D65">
        <w:rPr>
          <w:color w:val="000000"/>
          <w:sz w:val="24"/>
          <w:szCs w:val="24"/>
        </w:rPr>
        <w:t xml:space="preserve">racial </w:t>
      </w:r>
      <w:r w:rsidR="007065FE" w:rsidRPr="00725D65">
        <w:rPr>
          <w:color w:val="000000"/>
          <w:sz w:val="24"/>
          <w:szCs w:val="24"/>
        </w:rPr>
        <w:t xml:space="preserve">differences may </w:t>
      </w:r>
      <w:r w:rsidR="00780ECE" w:rsidRPr="00725D65">
        <w:rPr>
          <w:color w:val="000000"/>
          <w:sz w:val="24"/>
          <w:szCs w:val="24"/>
        </w:rPr>
        <w:t xml:space="preserve">therefore reflect </w:t>
      </w:r>
      <w:r w:rsidR="007065FE" w:rsidRPr="00725D65">
        <w:rPr>
          <w:color w:val="000000"/>
          <w:sz w:val="24"/>
          <w:szCs w:val="24"/>
        </w:rPr>
        <w:t>cultural norms and attitudes toward walking and bicycling</w:t>
      </w:r>
      <w:r w:rsidR="00780ECE" w:rsidRPr="00725D65">
        <w:rPr>
          <w:color w:val="000000"/>
          <w:sz w:val="24"/>
          <w:szCs w:val="24"/>
        </w:rPr>
        <w:t xml:space="preserve">, </w:t>
      </w:r>
      <w:r w:rsidR="007065FE" w:rsidRPr="00725D65">
        <w:rPr>
          <w:color w:val="000000"/>
          <w:sz w:val="24"/>
          <w:szCs w:val="24"/>
        </w:rPr>
        <w:t xml:space="preserve">including </w:t>
      </w:r>
      <w:r w:rsidR="00780ECE" w:rsidRPr="00725D65">
        <w:rPr>
          <w:color w:val="000000"/>
          <w:sz w:val="24"/>
          <w:szCs w:val="24"/>
        </w:rPr>
        <w:t xml:space="preserve">the extent to which </w:t>
      </w:r>
      <w:r w:rsidR="007065FE" w:rsidRPr="00725D65">
        <w:rPr>
          <w:color w:val="000000"/>
          <w:sz w:val="24"/>
          <w:szCs w:val="24"/>
        </w:rPr>
        <w:t xml:space="preserve">active </w:t>
      </w:r>
      <w:r w:rsidR="00780ECE" w:rsidRPr="00725D65">
        <w:rPr>
          <w:color w:val="000000"/>
          <w:sz w:val="24"/>
          <w:szCs w:val="24"/>
        </w:rPr>
        <w:t xml:space="preserve">travel </w:t>
      </w:r>
      <w:r w:rsidR="007065FE" w:rsidRPr="00725D65">
        <w:rPr>
          <w:color w:val="000000"/>
          <w:sz w:val="24"/>
          <w:szCs w:val="24"/>
        </w:rPr>
        <w:t xml:space="preserve">is embedded in </w:t>
      </w:r>
      <w:r w:rsidR="00780ECE" w:rsidRPr="00725D65">
        <w:rPr>
          <w:color w:val="000000"/>
          <w:sz w:val="24"/>
          <w:szCs w:val="24"/>
        </w:rPr>
        <w:t xml:space="preserve">everyday travel and </w:t>
      </w:r>
      <w:r w:rsidR="007065FE" w:rsidRPr="00725D65">
        <w:rPr>
          <w:color w:val="000000"/>
          <w:sz w:val="24"/>
          <w:szCs w:val="24"/>
        </w:rPr>
        <w:t xml:space="preserve">social activity patterns. </w:t>
      </w:r>
      <w:r w:rsidR="0056457C" w:rsidRPr="00725D65">
        <w:rPr>
          <w:color w:val="000000"/>
          <w:sz w:val="24"/>
          <w:szCs w:val="24"/>
        </w:rPr>
        <w:t xml:space="preserve">In terms of barriers, Black respondents, respondents of other non-White races, and Hispanic respondents are </w:t>
      </w:r>
      <w:r w:rsidR="00780ECE" w:rsidRPr="00725D65">
        <w:rPr>
          <w:color w:val="000000"/>
          <w:sz w:val="24"/>
          <w:szCs w:val="24"/>
        </w:rPr>
        <w:t xml:space="preserve">generally </w:t>
      </w:r>
      <w:r w:rsidR="0056457C" w:rsidRPr="00725D65">
        <w:rPr>
          <w:color w:val="000000"/>
          <w:sz w:val="24"/>
          <w:szCs w:val="24"/>
        </w:rPr>
        <w:t xml:space="preserve">more likely </w:t>
      </w:r>
      <w:r w:rsidR="00B1565B" w:rsidRPr="00725D65">
        <w:rPr>
          <w:color w:val="000000"/>
          <w:sz w:val="24"/>
          <w:szCs w:val="24"/>
        </w:rPr>
        <w:t xml:space="preserve">(relative to non-Hispanic </w:t>
      </w:r>
      <w:r w:rsidR="004C668B">
        <w:rPr>
          <w:color w:val="000000"/>
          <w:sz w:val="24"/>
          <w:szCs w:val="24"/>
        </w:rPr>
        <w:t>W</w:t>
      </w:r>
      <w:r w:rsidR="00B1565B" w:rsidRPr="00725D65">
        <w:rPr>
          <w:color w:val="000000"/>
          <w:sz w:val="24"/>
          <w:szCs w:val="24"/>
        </w:rPr>
        <w:t xml:space="preserve">hite respondents) </w:t>
      </w:r>
      <w:r w:rsidR="0056457C" w:rsidRPr="00725D65">
        <w:rPr>
          <w:color w:val="000000"/>
          <w:sz w:val="24"/>
          <w:szCs w:val="24"/>
        </w:rPr>
        <w:t xml:space="preserve">to cite </w:t>
      </w:r>
      <w:r w:rsidR="00B1565B" w:rsidRPr="00725D65">
        <w:rPr>
          <w:color w:val="000000"/>
          <w:sz w:val="24"/>
          <w:szCs w:val="24"/>
        </w:rPr>
        <w:t xml:space="preserve">concerns related to </w:t>
      </w:r>
      <w:r w:rsidR="00780ECE" w:rsidRPr="00725D65">
        <w:rPr>
          <w:color w:val="000000"/>
          <w:sz w:val="24"/>
          <w:szCs w:val="24"/>
        </w:rPr>
        <w:t>aggressive or distracted drivers</w:t>
      </w:r>
      <w:r w:rsidR="00B1565B" w:rsidRPr="00725D65">
        <w:rPr>
          <w:color w:val="000000"/>
          <w:sz w:val="24"/>
          <w:szCs w:val="24"/>
        </w:rPr>
        <w:t>, while Hispanic respondents also report greater concerns about insufficient lighting and personal security.</w:t>
      </w:r>
      <w:r w:rsidR="00522D1A">
        <w:rPr>
          <w:color w:val="000000"/>
          <w:sz w:val="24"/>
          <w:szCs w:val="24"/>
        </w:rPr>
        <w:t xml:space="preserve"> </w:t>
      </w:r>
      <w:r w:rsidR="00B1565B" w:rsidRPr="00725D65">
        <w:rPr>
          <w:color w:val="000000"/>
          <w:sz w:val="24"/>
          <w:szCs w:val="24"/>
        </w:rPr>
        <w:t xml:space="preserve">These findings are </w:t>
      </w:r>
      <w:r w:rsidR="0056457C" w:rsidRPr="00725D65">
        <w:rPr>
          <w:color w:val="000000"/>
          <w:sz w:val="24"/>
          <w:szCs w:val="24"/>
        </w:rPr>
        <w:t>consistent with evidence that drivers behave less cautiously toward, and yield less often to, pedestrians of color</w:t>
      </w:r>
      <w:r w:rsidR="00DD58C7">
        <w:rPr>
          <w:color w:val="000000"/>
          <w:sz w:val="24"/>
          <w:szCs w:val="24"/>
        </w:rPr>
        <w:t xml:space="preserve"> </w:t>
      </w:r>
      <w:sdt>
        <w:sdtPr>
          <w:rPr>
            <w:color w:val="000000"/>
            <w:sz w:val="24"/>
            <w:szCs w:val="24"/>
          </w:rPr>
          <w:tag w:val="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"/>
          <w:id w:val="-1744640389"/>
          <w:placeholder>
            <w:docPart w:val="DefaultPlaceholder_-1854013440"/>
          </w:placeholder>
        </w:sdtPr>
        <w:sdtEndPr/>
        <w:sdtContent>
          <w:r w:rsidR="000C5DDA" w:rsidRPr="000C5DDA">
            <w:rPr>
              <w:color w:val="000000"/>
              <w:sz w:val="24"/>
              <w:szCs w:val="24"/>
            </w:rPr>
            <w:t>(Goddard et al., 2015; Ingram et al., 2017; Beliveau et al., 2026)</w:t>
          </w:r>
        </w:sdtContent>
      </w:sdt>
      <w:r w:rsidR="00786C75" w:rsidRPr="000B0459">
        <w:rPr>
          <w:color w:val="000000"/>
          <w:sz w:val="24"/>
          <w:szCs w:val="24"/>
        </w:rPr>
        <w:t>.</w:t>
      </w:r>
      <w:r w:rsidR="00B1565B" w:rsidRPr="000B0459">
        <w:rPr>
          <w:color w:val="000000"/>
          <w:sz w:val="24"/>
          <w:szCs w:val="24"/>
        </w:rPr>
        <w:t xml:space="preserve"> </w:t>
      </w:r>
      <w:r w:rsidR="00B1565B" w:rsidRPr="00D431C9">
        <w:rPr>
          <w:sz w:val="24"/>
          <w:szCs w:val="24"/>
        </w:rPr>
        <w:t>The few remaining race- and ethnicity-specific effects, such as lower concern about trip-length mismatch among Black respondents and higher concern among Asian/Pacific Islander respondents, are comparatively modest.</w:t>
      </w:r>
    </w:p>
    <w:p w14:paraId="2CEF51C9" w14:textId="77777777" w:rsidR="00B9201B" w:rsidRPr="00725D65" w:rsidRDefault="00B9201B" w:rsidP="00B9201B">
      <w:pPr>
        <w:ind w:firstLine="720"/>
        <w:jc w:val="both"/>
        <w:rPr>
          <w:color w:val="000000"/>
          <w:sz w:val="24"/>
          <w:szCs w:val="24"/>
        </w:rPr>
      </w:pPr>
    </w:p>
    <w:p w14:paraId="5C580198" w14:textId="192C7B88" w:rsidR="00B43B68" w:rsidRPr="00DF679C" w:rsidRDefault="00B43B68" w:rsidP="00B9201B">
      <w:pPr>
        <w:rPr>
          <w:b/>
          <w:bCs/>
          <w:i/>
          <w:iCs/>
          <w:sz w:val="24"/>
          <w:szCs w:val="24"/>
        </w:rPr>
      </w:pPr>
      <w:r w:rsidRPr="00DF679C">
        <w:rPr>
          <w:b/>
          <w:bCs/>
          <w:i/>
          <w:iCs/>
          <w:sz w:val="24"/>
          <w:szCs w:val="24"/>
        </w:rPr>
        <w:t xml:space="preserve">4.2.2 </w:t>
      </w:r>
      <w:r w:rsidR="004F4BCD" w:rsidRPr="00DF679C">
        <w:rPr>
          <w:b/>
          <w:bCs/>
          <w:i/>
          <w:iCs/>
          <w:sz w:val="24"/>
          <w:szCs w:val="24"/>
        </w:rPr>
        <w:t xml:space="preserve">Effects of </w:t>
      </w:r>
      <w:r w:rsidRPr="00DF679C">
        <w:rPr>
          <w:b/>
          <w:bCs/>
          <w:i/>
          <w:iCs/>
          <w:sz w:val="24"/>
          <w:szCs w:val="24"/>
        </w:rPr>
        <w:t>Household-Level Attributes</w:t>
      </w:r>
    </w:p>
    <w:p w14:paraId="32DCDA8E" w14:textId="0B37FE42" w:rsidR="006F632F" w:rsidRPr="000B0459" w:rsidRDefault="0070138D" w:rsidP="00B9201B">
      <w:pPr>
        <w:jc w:val="both"/>
        <w:rPr>
          <w:color w:val="000000"/>
          <w:sz w:val="24"/>
          <w:szCs w:val="24"/>
        </w:rPr>
      </w:pPr>
      <w:r w:rsidRPr="000B0459">
        <w:rPr>
          <w:color w:val="000000"/>
          <w:sz w:val="24"/>
          <w:szCs w:val="24"/>
        </w:rPr>
        <w:t xml:space="preserve">Individuals in households with </w:t>
      </w:r>
      <w:r w:rsidR="00B34CA0" w:rsidRPr="000B0459">
        <w:rPr>
          <w:color w:val="000000"/>
          <w:sz w:val="24"/>
          <w:szCs w:val="24"/>
        </w:rPr>
        <w:t xml:space="preserve">an annual </w:t>
      </w:r>
      <w:r w:rsidRPr="00AA1D2D">
        <w:rPr>
          <w:color w:val="000000"/>
          <w:sz w:val="24"/>
          <w:szCs w:val="24"/>
        </w:rPr>
        <w:t xml:space="preserve">income of $50,000 or more </w:t>
      </w:r>
      <w:r w:rsidR="003433C1" w:rsidRPr="00AA1D2D">
        <w:rPr>
          <w:color w:val="000000"/>
          <w:sz w:val="24"/>
          <w:szCs w:val="24"/>
        </w:rPr>
        <w:t xml:space="preserve">are </w:t>
      </w:r>
      <w:r w:rsidR="00B34CA0" w:rsidRPr="00AA1D2D">
        <w:rPr>
          <w:color w:val="000000"/>
          <w:sz w:val="24"/>
          <w:szCs w:val="24"/>
        </w:rPr>
        <w:t xml:space="preserve">uniformly </w:t>
      </w:r>
      <w:r w:rsidR="003433C1" w:rsidRPr="00AA1D2D">
        <w:rPr>
          <w:color w:val="000000"/>
          <w:sz w:val="24"/>
          <w:szCs w:val="24"/>
        </w:rPr>
        <w:t xml:space="preserve">less likely to be </w:t>
      </w:r>
      <w:r w:rsidR="00B34CA0" w:rsidRPr="006F632F">
        <w:rPr>
          <w:color w:val="000000"/>
          <w:sz w:val="24"/>
          <w:szCs w:val="24"/>
        </w:rPr>
        <w:t xml:space="preserve">NRATs </w:t>
      </w:r>
      <w:r w:rsidR="003433C1" w:rsidRPr="006F632F">
        <w:rPr>
          <w:color w:val="000000"/>
          <w:sz w:val="24"/>
          <w:szCs w:val="24"/>
        </w:rPr>
        <w:t xml:space="preserve">compared to those </w:t>
      </w:r>
      <w:r w:rsidR="00B34CA0" w:rsidRPr="006F632F">
        <w:rPr>
          <w:color w:val="000000"/>
          <w:sz w:val="24"/>
          <w:szCs w:val="24"/>
        </w:rPr>
        <w:t>in</w:t>
      </w:r>
      <w:r w:rsidR="00B1565B" w:rsidRPr="006F632F">
        <w:rPr>
          <w:color w:val="000000"/>
          <w:sz w:val="24"/>
          <w:szCs w:val="24"/>
        </w:rPr>
        <w:t xml:space="preserve"> </w:t>
      </w:r>
      <w:r w:rsidR="00B34CA0" w:rsidRPr="006F632F">
        <w:rPr>
          <w:color w:val="000000"/>
          <w:sz w:val="24"/>
          <w:szCs w:val="24"/>
        </w:rPr>
        <w:t>households with an annual income of less than $50,000,</w:t>
      </w:r>
      <w:r w:rsidR="00B1565B" w:rsidRPr="006F632F">
        <w:rPr>
          <w:color w:val="000000"/>
          <w:sz w:val="24"/>
          <w:szCs w:val="24"/>
        </w:rPr>
        <w:t xml:space="preserve"> </w:t>
      </w:r>
      <w:r w:rsidR="00BD1E2D" w:rsidRPr="00BD1E2D">
        <w:rPr>
          <w:color w:val="000000"/>
          <w:sz w:val="24"/>
          <w:szCs w:val="24"/>
        </w:rPr>
        <w:t>potentially reflecting the time poverty that limits active travel among lower-income groups</w:t>
      </w:r>
      <w:r w:rsidR="003433C1" w:rsidRPr="006F632F">
        <w:rPr>
          <w:color w:val="000000"/>
          <w:sz w:val="24"/>
          <w:szCs w:val="24"/>
        </w:rPr>
        <w:t>.</w:t>
      </w:r>
      <w:r w:rsidR="00D97892">
        <w:rPr>
          <w:color w:val="000000"/>
          <w:sz w:val="24"/>
          <w:szCs w:val="24"/>
        </w:rPr>
        <w:t xml:space="preserve"> </w:t>
      </w:r>
      <w:r w:rsidR="003433C1" w:rsidRPr="006F632F">
        <w:rPr>
          <w:color w:val="000000"/>
          <w:sz w:val="24"/>
          <w:szCs w:val="24"/>
        </w:rPr>
        <w:t>Income</w:t>
      </w:r>
      <w:r w:rsidR="00B1565B" w:rsidRPr="006F632F">
        <w:rPr>
          <w:color w:val="000000"/>
          <w:sz w:val="24"/>
          <w:szCs w:val="24"/>
        </w:rPr>
        <w:t xml:space="preserve">, however, has relatively little influence </w:t>
      </w:r>
      <w:r w:rsidR="003433C1" w:rsidRPr="006F632F">
        <w:rPr>
          <w:color w:val="000000"/>
          <w:sz w:val="24"/>
          <w:szCs w:val="24"/>
        </w:rPr>
        <w:t xml:space="preserve">on the </w:t>
      </w:r>
      <w:r w:rsidR="00B1565B" w:rsidRPr="006F632F">
        <w:rPr>
          <w:color w:val="000000"/>
          <w:sz w:val="24"/>
          <w:szCs w:val="24"/>
        </w:rPr>
        <w:t xml:space="preserve">perceived </w:t>
      </w:r>
      <w:r w:rsidR="003433C1" w:rsidRPr="006F632F">
        <w:rPr>
          <w:color w:val="000000"/>
          <w:sz w:val="24"/>
          <w:szCs w:val="24"/>
        </w:rPr>
        <w:t>b</w:t>
      </w:r>
      <w:r w:rsidR="00DD6A18" w:rsidRPr="006F632F">
        <w:rPr>
          <w:color w:val="000000"/>
          <w:sz w:val="24"/>
          <w:szCs w:val="24"/>
        </w:rPr>
        <w:t>arrier</w:t>
      </w:r>
      <w:r w:rsidR="003433C1" w:rsidRPr="006F632F">
        <w:rPr>
          <w:color w:val="000000"/>
          <w:sz w:val="24"/>
          <w:szCs w:val="24"/>
        </w:rPr>
        <w:t>s</w:t>
      </w:r>
      <w:r w:rsidR="00B1565B" w:rsidRPr="006F632F">
        <w:rPr>
          <w:color w:val="000000"/>
          <w:sz w:val="24"/>
          <w:szCs w:val="24"/>
        </w:rPr>
        <w:t xml:space="preserve"> themselves</w:t>
      </w:r>
      <w:r w:rsidR="00DD6A18" w:rsidRPr="006F632F">
        <w:rPr>
          <w:color w:val="000000"/>
          <w:sz w:val="24"/>
          <w:szCs w:val="24"/>
        </w:rPr>
        <w:t xml:space="preserve">, </w:t>
      </w:r>
      <w:r w:rsidR="00B1565B" w:rsidRPr="006F632F">
        <w:rPr>
          <w:color w:val="000000"/>
          <w:sz w:val="24"/>
          <w:szCs w:val="24"/>
        </w:rPr>
        <w:t xml:space="preserve">with only a few isolated effects. Household composition plays a more consistent role. Individuals </w:t>
      </w:r>
      <w:r w:rsidR="001871C1" w:rsidRPr="006F632F">
        <w:rPr>
          <w:color w:val="000000"/>
          <w:sz w:val="24"/>
          <w:szCs w:val="24"/>
        </w:rPr>
        <w:t xml:space="preserve">living in households with two or more </w:t>
      </w:r>
      <w:r w:rsidR="00E5147A" w:rsidRPr="006F632F">
        <w:rPr>
          <w:color w:val="000000"/>
          <w:sz w:val="24"/>
          <w:szCs w:val="24"/>
        </w:rPr>
        <w:t>persons</w:t>
      </w:r>
      <w:r w:rsidR="00B1565B" w:rsidRPr="006F632F">
        <w:rPr>
          <w:color w:val="000000"/>
          <w:sz w:val="24"/>
          <w:szCs w:val="24"/>
        </w:rPr>
        <w:t xml:space="preserve"> </w:t>
      </w:r>
      <w:r w:rsidR="001871C1" w:rsidRPr="006F632F">
        <w:rPr>
          <w:color w:val="000000"/>
          <w:sz w:val="24"/>
          <w:szCs w:val="24"/>
        </w:rPr>
        <w:t>are less likely to be NRATs</w:t>
      </w:r>
      <w:r w:rsidR="00B1565B" w:rsidRPr="006F632F">
        <w:rPr>
          <w:color w:val="000000"/>
          <w:sz w:val="24"/>
          <w:szCs w:val="24"/>
        </w:rPr>
        <w:t xml:space="preserve"> than those living alone and </w:t>
      </w:r>
      <w:r w:rsidR="001871C1" w:rsidRPr="006F632F">
        <w:rPr>
          <w:color w:val="000000"/>
          <w:sz w:val="24"/>
          <w:szCs w:val="24"/>
        </w:rPr>
        <w:t xml:space="preserve">are less likely to </w:t>
      </w:r>
      <w:r w:rsidR="00B1565B" w:rsidRPr="006F632F">
        <w:rPr>
          <w:color w:val="000000"/>
          <w:sz w:val="24"/>
          <w:szCs w:val="24"/>
        </w:rPr>
        <w:t xml:space="preserve">cite </w:t>
      </w:r>
      <w:r w:rsidR="001871C1" w:rsidRPr="006F632F">
        <w:rPr>
          <w:color w:val="000000"/>
          <w:sz w:val="24"/>
          <w:szCs w:val="24"/>
        </w:rPr>
        <w:t xml:space="preserve">loitering or threatening behavior as a barrier, </w:t>
      </w:r>
      <w:r w:rsidR="00B1565B" w:rsidRPr="006F632F">
        <w:rPr>
          <w:color w:val="000000"/>
          <w:sz w:val="24"/>
          <w:szCs w:val="24"/>
        </w:rPr>
        <w:t xml:space="preserve">while those in </w:t>
      </w:r>
      <w:r w:rsidR="001871C1" w:rsidRPr="006F632F">
        <w:rPr>
          <w:color w:val="000000"/>
          <w:sz w:val="24"/>
          <w:szCs w:val="24"/>
        </w:rPr>
        <w:t xml:space="preserve">two-person </w:t>
      </w:r>
      <w:r w:rsidR="001871C1" w:rsidRPr="00696013">
        <w:rPr>
          <w:color w:val="000000"/>
          <w:sz w:val="24"/>
          <w:szCs w:val="24"/>
        </w:rPr>
        <w:t xml:space="preserve">households </w:t>
      </w:r>
      <w:r w:rsidR="006F632F" w:rsidRPr="00696013">
        <w:rPr>
          <w:color w:val="000000"/>
          <w:sz w:val="24"/>
          <w:szCs w:val="24"/>
        </w:rPr>
        <w:t xml:space="preserve">are also </w:t>
      </w:r>
      <w:r w:rsidR="001871C1" w:rsidRPr="00696013">
        <w:rPr>
          <w:color w:val="000000"/>
          <w:sz w:val="24"/>
          <w:szCs w:val="24"/>
        </w:rPr>
        <w:t xml:space="preserve">less likely to </w:t>
      </w:r>
      <w:r w:rsidR="006F632F" w:rsidRPr="00696013">
        <w:rPr>
          <w:color w:val="000000"/>
          <w:sz w:val="24"/>
          <w:szCs w:val="24"/>
        </w:rPr>
        <w:t xml:space="preserve">identify </w:t>
      </w:r>
      <w:r w:rsidR="001871C1" w:rsidRPr="00696013">
        <w:rPr>
          <w:color w:val="000000"/>
          <w:sz w:val="24"/>
          <w:szCs w:val="24"/>
        </w:rPr>
        <w:t>trip-length mismatch</w:t>
      </w:r>
      <w:r w:rsidR="006F632F" w:rsidRPr="00696013">
        <w:rPr>
          <w:color w:val="000000"/>
          <w:sz w:val="24"/>
          <w:szCs w:val="24"/>
        </w:rPr>
        <w:t xml:space="preserve">. These findings are </w:t>
      </w:r>
      <w:r w:rsidR="00696013" w:rsidRPr="00696013">
        <w:rPr>
          <w:color w:val="000000"/>
          <w:sz w:val="24"/>
          <w:szCs w:val="24"/>
        </w:rPr>
        <w:t xml:space="preserve">consistent with evidence that social companionship encourages active travel by enhancing perceived personal safety </w:t>
      </w:r>
      <w:sdt>
        <w:sdtPr>
          <w:rPr>
            <w:color w:val="000000"/>
            <w:sz w:val="24"/>
            <w:szCs w:val="24"/>
          </w:rPr>
          <w:tag w:val="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"/>
          <w:id w:val="-714584496"/>
          <w:placeholder>
            <w:docPart w:val="DefaultPlaceholder_-1854013440"/>
          </w:placeholder>
        </w:sdtPr>
        <w:sdtEndPr/>
        <w:sdtContent>
          <w:r w:rsidR="000C5DDA" w:rsidRPr="000C5DDA">
            <w:rPr>
              <w:color w:val="000000"/>
              <w:sz w:val="24"/>
              <w:szCs w:val="24"/>
            </w:rPr>
            <w:t>(Ory et al., 2016; Kritz et al., 2020)</w:t>
          </w:r>
        </w:sdtContent>
      </w:sdt>
      <w:r w:rsidR="00865C06">
        <w:rPr>
          <w:color w:val="000000"/>
          <w:sz w:val="24"/>
          <w:szCs w:val="24"/>
        </w:rPr>
        <w:t>.</w:t>
      </w:r>
      <w:r w:rsidR="00D86E18" w:rsidRPr="000B0459">
        <w:rPr>
          <w:color w:val="000000"/>
          <w:sz w:val="24"/>
          <w:szCs w:val="24"/>
        </w:rPr>
        <w:t xml:space="preserve"> </w:t>
      </w:r>
    </w:p>
    <w:p w14:paraId="3BD987FC" w14:textId="742156CC" w:rsidR="00B1565B" w:rsidRDefault="006F632F" w:rsidP="00B9201B">
      <w:pPr>
        <w:ind w:firstLine="720"/>
        <w:jc w:val="both"/>
        <w:rPr>
          <w:color w:val="000000"/>
          <w:sz w:val="24"/>
          <w:szCs w:val="24"/>
        </w:rPr>
      </w:pPr>
      <w:r w:rsidRPr="00B536C1">
        <w:rPr>
          <w:sz w:val="24"/>
          <w:szCs w:val="24"/>
        </w:rPr>
        <w:t xml:space="preserve">The remaining household attributes largely reflect differences in the residential and transportation environments. </w:t>
      </w:r>
      <w:r w:rsidRPr="006F632F">
        <w:rPr>
          <w:color w:val="000000"/>
          <w:sz w:val="24"/>
          <w:szCs w:val="24"/>
        </w:rPr>
        <w:t>A</w:t>
      </w:r>
      <w:r w:rsidR="004C0689" w:rsidRPr="006F632F">
        <w:rPr>
          <w:color w:val="000000"/>
          <w:sz w:val="24"/>
          <w:szCs w:val="24"/>
        </w:rPr>
        <w:t>partment</w:t>
      </w:r>
      <w:r w:rsidRPr="006F632F">
        <w:rPr>
          <w:color w:val="000000"/>
          <w:sz w:val="24"/>
          <w:szCs w:val="24"/>
        </w:rPr>
        <w:t xml:space="preserve"> residents</w:t>
      </w:r>
      <w:r w:rsidR="008566DC" w:rsidRPr="006F632F">
        <w:rPr>
          <w:color w:val="000000"/>
          <w:sz w:val="24"/>
          <w:szCs w:val="24"/>
        </w:rPr>
        <w:t xml:space="preserve"> </w:t>
      </w:r>
      <w:r w:rsidR="007D4547" w:rsidRPr="006F632F">
        <w:rPr>
          <w:color w:val="000000"/>
          <w:sz w:val="24"/>
          <w:szCs w:val="24"/>
        </w:rPr>
        <w:t>are less likely to be NRATs</w:t>
      </w:r>
      <w:r w:rsidRPr="006F632F">
        <w:rPr>
          <w:color w:val="000000"/>
          <w:sz w:val="24"/>
          <w:szCs w:val="24"/>
        </w:rPr>
        <w:t xml:space="preserve"> and </w:t>
      </w:r>
      <w:r w:rsidR="008566DC" w:rsidRPr="006F632F">
        <w:rPr>
          <w:color w:val="000000"/>
          <w:sz w:val="24"/>
          <w:szCs w:val="24"/>
        </w:rPr>
        <w:t xml:space="preserve">less likely to </w:t>
      </w:r>
      <w:r w:rsidRPr="006F632F">
        <w:rPr>
          <w:color w:val="000000"/>
          <w:sz w:val="24"/>
          <w:szCs w:val="24"/>
        </w:rPr>
        <w:t xml:space="preserve">perceive </w:t>
      </w:r>
      <w:r w:rsidR="008566DC" w:rsidRPr="006F632F">
        <w:rPr>
          <w:color w:val="000000"/>
          <w:sz w:val="24"/>
          <w:szCs w:val="24"/>
        </w:rPr>
        <w:t>sidewalk and bi</w:t>
      </w:r>
      <w:r w:rsidR="007E0AAF">
        <w:rPr>
          <w:color w:val="000000"/>
          <w:sz w:val="24"/>
          <w:szCs w:val="24"/>
        </w:rPr>
        <w:t>cycle</w:t>
      </w:r>
      <w:r w:rsidR="005D132D" w:rsidRPr="006F632F">
        <w:rPr>
          <w:color w:val="000000"/>
          <w:sz w:val="24"/>
          <w:szCs w:val="24"/>
        </w:rPr>
        <w:t xml:space="preserve"> </w:t>
      </w:r>
      <w:r w:rsidR="008566DC" w:rsidRPr="006F632F">
        <w:rPr>
          <w:color w:val="000000"/>
          <w:sz w:val="24"/>
          <w:szCs w:val="24"/>
        </w:rPr>
        <w:t>lane deficiencies</w:t>
      </w:r>
      <w:r w:rsidRPr="006F632F">
        <w:rPr>
          <w:color w:val="000000"/>
          <w:sz w:val="24"/>
          <w:szCs w:val="24"/>
        </w:rPr>
        <w:t xml:space="preserve"> than residents of single-family homes</w:t>
      </w:r>
      <w:r w:rsidR="008566DC" w:rsidRPr="006F632F">
        <w:rPr>
          <w:color w:val="000000"/>
          <w:sz w:val="24"/>
          <w:szCs w:val="24"/>
        </w:rPr>
        <w:t xml:space="preserve">, </w:t>
      </w:r>
      <w:r w:rsidRPr="006F632F">
        <w:rPr>
          <w:color w:val="000000"/>
          <w:sz w:val="24"/>
          <w:szCs w:val="24"/>
        </w:rPr>
        <w:t xml:space="preserve">consistent with the greater activity density and walkability typically associated with multi-family environments </w:t>
      </w:r>
      <w:sdt>
        <w:sdtPr>
          <w:rPr>
            <w:color w:val="000000"/>
            <w:sz w:val="24"/>
            <w:szCs w:val="24"/>
          </w:rPr>
          <w:tag w:val="MENDELEY_CITATION_v3_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"/>
          <w:id w:val="-465664169"/>
          <w:placeholder>
            <w:docPart w:val="DefaultPlaceholder_-1854013440"/>
          </w:placeholder>
        </w:sdtPr>
        <w:sdtEndPr/>
        <w:sdtContent>
          <w:r w:rsidR="000C5DDA" w:rsidRPr="000C5DDA">
            <w:rPr>
              <w:color w:val="000000"/>
              <w:sz w:val="24"/>
              <w:szCs w:val="24"/>
            </w:rPr>
            <w:t>(Hegde et al., 2025)</w:t>
          </w:r>
        </w:sdtContent>
      </w:sdt>
      <w:r w:rsidRPr="000B0459">
        <w:rPr>
          <w:color w:val="000000"/>
          <w:sz w:val="24"/>
          <w:szCs w:val="24"/>
        </w:rPr>
        <w:t xml:space="preserve">. In contrast, </w:t>
      </w:r>
      <w:r w:rsidRPr="006F632F">
        <w:rPr>
          <w:color w:val="000000"/>
          <w:sz w:val="24"/>
          <w:szCs w:val="24"/>
        </w:rPr>
        <w:t>renters are more likely to be NRAT</w:t>
      </w:r>
      <w:r w:rsidR="00696013">
        <w:rPr>
          <w:color w:val="000000"/>
          <w:sz w:val="24"/>
          <w:szCs w:val="24"/>
        </w:rPr>
        <w:t>s</w:t>
      </w:r>
      <w:r w:rsidRPr="006F632F">
        <w:rPr>
          <w:color w:val="000000"/>
          <w:sz w:val="24"/>
          <w:szCs w:val="24"/>
        </w:rPr>
        <w:t xml:space="preserve"> and more likely to identify </w:t>
      </w:r>
      <w:r w:rsidR="008566DC" w:rsidRPr="006F632F">
        <w:rPr>
          <w:color w:val="000000"/>
          <w:sz w:val="24"/>
          <w:szCs w:val="24"/>
        </w:rPr>
        <w:t xml:space="preserve">infrastructural deficiencies, </w:t>
      </w:r>
      <w:r w:rsidRPr="006F632F">
        <w:rPr>
          <w:color w:val="000000"/>
          <w:sz w:val="24"/>
          <w:szCs w:val="24"/>
        </w:rPr>
        <w:t>personal security concerns,</w:t>
      </w:r>
      <w:r w:rsidR="008566DC" w:rsidRPr="006F632F">
        <w:rPr>
          <w:color w:val="000000"/>
          <w:sz w:val="24"/>
          <w:szCs w:val="24"/>
        </w:rPr>
        <w:t xml:space="preserve"> and adverse weather</w:t>
      </w:r>
      <w:r w:rsidRPr="006F632F">
        <w:rPr>
          <w:color w:val="000000"/>
          <w:sz w:val="24"/>
          <w:szCs w:val="24"/>
        </w:rPr>
        <w:t xml:space="preserve"> as barriers. Finally, i</w:t>
      </w:r>
      <w:r w:rsidR="002212B3" w:rsidRPr="006F632F">
        <w:rPr>
          <w:color w:val="000000"/>
          <w:sz w:val="24"/>
          <w:szCs w:val="24"/>
        </w:rPr>
        <w:t xml:space="preserve">ndividuals in vehicle-deficient households are </w:t>
      </w:r>
      <w:r w:rsidRPr="006F632F">
        <w:rPr>
          <w:color w:val="000000"/>
          <w:sz w:val="24"/>
          <w:szCs w:val="24"/>
        </w:rPr>
        <w:t xml:space="preserve">less likely to be NRATs and </w:t>
      </w:r>
      <w:r w:rsidR="002212B3" w:rsidRPr="006F632F">
        <w:rPr>
          <w:color w:val="000000"/>
          <w:sz w:val="24"/>
          <w:szCs w:val="24"/>
        </w:rPr>
        <w:t xml:space="preserve">less likely to cite trip-length mismatch (and, marginally, adverse weather) as barriers, reinforcing the </w:t>
      </w:r>
      <w:r w:rsidRPr="006F632F">
        <w:rPr>
          <w:color w:val="000000"/>
          <w:sz w:val="24"/>
          <w:szCs w:val="24"/>
        </w:rPr>
        <w:t>well-established</w:t>
      </w:r>
      <w:r w:rsidR="002212B3" w:rsidRPr="006F632F">
        <w:rPr>
          <w:color w:val="000000"/>
          <w:sz w:val="24"/>
          <w:szCs w:val="24"/>
        </w:rPr>
        <w:t xml:space="preserve"> substitution </w:t>
      </w:r>
      <w:r w:rsidRPr="006F632F">
        <w:rPr>
          <w:color w:val="000000"/>
          <w:sz w:val="24"/>
          <w:szCs w:val="24"/>
        </w:rPr>
        <w:t>between private vehicle availability and active travel</w:t>
      </w:r>
      <w:r w:rsidR="00BB021B">
        <w:rPr>
          <w:color w:val="000000"/>
          <w:sz w:val="24"/>
          <w:szCs w:val="24"/>
        </w:rPr>
        <w:t xml:space="preserve"> </w:t>
      </w:r>
      <w:sdt>
        <w:sdtPr>
          <w:rPr>
            <w:color w:val="000000"/>
            <w:sz w:val="24"/>
            <w:szCs w:val="24"/>
          </w:rPr>
          <w:tag w:val="MENDELEY_CITATION_v3_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"/>
          <w:id w:val="-1462191875"/>
          <w:placeholder>
            <w:docPart w:val="DefaultPlaceholder_-1854013440"/>
          </w:placeholder>
        </w:sdtPr>
        <w:sdtEndPr/>
        <w:sdtContent>
          <w:r w:rsidR="000C5DDA" w:rsidRPr="000C5DDA">
            <w:rPr>
              <w:color w:val="000000"/>
              <w:sz w:val="24"/>
            </w:rPr>
            <w:t>(Ghimire and Bardaka, 2023)</w:t>
          </w:r>
        </w:sdtContent>
      </w:sdt>
      <w:r w:rsidR="00B65E66">
        <w:rPr>
          <w:color w:val="000000"/>
          <w:sz w:val="24"/>
          <w:szCs w:val="24"/>
        </w:rPr>
        <w:t>.</w:t>
      </w:r>
    </w:p>
    <w:p w14:paraId="3E0BB497" w14:textId="77777777" w:rsidR="00B9201B" w:rsidRPr="00B65E66" w:rsidRDefault="00B9201B" w:rsidP="00B9201B">
      <w:pPr>
        <w:ind w:firstLine="720"/>
        <w:jc w:val="both"/>
        <w:rPr>
          <w:sz w:val="24"/>
          <w:szCs w:val="24"/>
        </w:rPr>
      </w:pPr>
    </w:p>
    <w:p w14:paraId="1C0AC020" w14:textId="0AA206E4" w:rsidR="00B43B68" w:rsidRPr="00DF679C" w:rsidRDefault="00B43B68" w:rsidP="001F3ABE">
      <w:pPr>
        <w:keepNext/>
        <w:keepLines/>
        <w:rPr>
          <w:i/>
          <w:iCs/>
          <w:sz w:val="20"/>
          <w:szCs w:val="20"/>
        </w:rPr>
      </w:pPr>
      <w:r w:rsidRPr="00DF679C">
        <w:rPr>
          <w:b/>
          <w:bCs/>
          <w:i/>
          <w:iCs/>
          <w:sz w:val="24"/>
          <w:szCs w:val="24"/>
        </w:rPr>
        <w:lastRenderedPageBreak/>
        <w:t xml:space="preserve">4.2.3 </w:t>
      </w:r>
      <w:r w:rsidR="000303DF">
        <w:rPr>
          <w:b/>
          <w:bCs/>
          <w:i/>
          <w:iCs/>
          <w:sz w:val="24"/>
          <w:szCs w:val="24"/>
        </w:rPr>
        <w:t xml:space="preserve">Effects of </w:t>
      </w:r>
      <w:r w:rsidRPr="00DF679C">
        <w:rPr>
          <w:b/>
          <w:bCs/>
          <w:i/>
          <w:iCs/>
          <w:sz w:val="24"/>
          <w:szCs w:val="24"/>
        </w:rPr>
        <w:t xml:space="preserve">Geographic Context </w:t>
      </w:r>
    </w:p>
    <w:p w14:paraId="55C1C6AA" w14:textId="621BCEA8" w:rsidR="00081639" w:rsidRDefault="009F3F87" w:rsidP="001F3ABE">
      <w:pPr>
        <w:keepNext/>
        <w:keepLines/>
        <w:jc w:val="both"/>
        <w:rPr>
          <w:color w:val="000000"/>
          <w:sz w:val="24"/>
          <w:szCs w:val="24"/>
        </w:rPr>
      </w:pPr>
      <w:r>
        <w:rPr>
          <w:color w:val="000000"/>
          <w:sz w:val="24"/>
          <w:szCs w:val="24"/>
        </w:rPr>
        <w:t xml:space="preserve">The </w:t>
      </w:r>
      <w:r w:rsidR="005A5F22">
        <w:rPr>
          <w:color w:val="000000"/>
          <w:sz w:val="24"/>
          <w:szCs w:val="24"/>
        </w:rPr>
        <w:t>c</w:t>
      </w:r>
      <w:r>
        <w:rPr>
          <w:color w:val="000000"/>
          <w:sz w:val="24"/>
          <w:szCs w:val="24"/>
        </w:rPr>
        <w:t xml:space="preserve">ensus division </w:t>
      </w:r>
      <w:r w:rsidR="00C363BD">
        <w:rPr>
          <w:color w:val="000000"/>
          <w:sz w:val="24"/>
          <w:szCs w:val="24"/>
        </w:rPr>
        <w:t xml:space="preserve">indicators </w:t>
      </w:r>
      <w:r w:rsidR="002234FC">
        <w:rPr>
          <w:color w:val="000000"/>
          <w:sz w:val="24"/>
          <w:szCs w:val="24"/>
        </w:rPr>
        <w:t xml:space="preserve">in Table 3 </w:t>
      </w:r>
      <w:r>
        <w:rPr>
          <w:color w:val="000000"/>
          <w:sz w:val="24"/>
          <w:szCs w:val="24"/>
        </w:rPr>
        <w:t xml:space="preserve">account for broad </w:t>
      </w:r>
      <w:r w:rsidR="00C363BD">
        <w:rPr>
          <w:color w:val="000000"/>
          <w:sz w:val="24"/>
          <w:szCs w:val="24"/>
        </w:rPr>
        <w:t xml:space="preserve">regional differences </w:t>
      </w:r>
      <w:r>
        <w:rPr>
          <w:color w:val="000000"/>
          <w:sz w:val="24"/>
          <w:szCs w:val="24"/>
        </w:rPr>
        <w:t xml:space="preserve">across the </w:t>
      </w:r>
      <w:r w:rsidR="00C363BD">
        <w:rPr>
          <w:color w:val="000000"/>
          <w:sz w:val="24"/>
          <w:szCs w:val="24"/>
        </w:rPr>
        <w:t>U.S</w:t>
      </w:r>
      <w:r>
        <w:rPr>
          <w:color w:val="000000"/>
          <w:sz w:val="24"/>
          <w:szCs w:val="24"/>
        </w:rPr>
        <w:t xml:space="preserve">. </w:t>
      </w:r>
      <w:r w:rsidR="00C363BD">
        <w:rPr>
          <w:color w:val="000000"/>
          <w:sz w:val="24"/>
          <w:szCs w:val="24"/>
        </w:rPr>
        <w:t xml:space="preserve">While these variables are </w:t>
      </w:r>
      <w:r w:rsidR="00442BA3">
        <w:rPr>
          <w:color w:val="000000"/>
          <w:sz w:val="24"/>
          <w:szCs w:val="24"/>
        </w:rPr>
        <w:t xml:space="preserve">less </w:t>
      </w:r>
      <w:r w:rsidR="00C363BD">
        <w:rPr>
          <w:color w:val="000000"/>
          <w:sz w:val="24"/>
          <w:szCs w:val="24"/>
        </w:rPr>
        <w:t xml:space="preserve">straightforward </w:t>
      </w:r>
      <w:r w:rsidR="00442BA3">
        <w:rPr>
          <w:color w:val="000000"/>
          <w:sz w:val="24"/>
          <w:szCs w:val="24"/>
        </w:rPr>
        <w:t xml:space="preserve">to interpret </w:t>
      </w:r>
      <w:r w:rsidR="00C363BD">
        <w:rPr>
          <w:color w:val="000000"/>
          <w:sz w:val="24"/>
          <w:szCs w:val="24"/>
        </w:rPr>
        <w:t>than the residential BE measures discussed next (because they encompass substantial within-region heterogeneity), they nonetheless capture broad climatic and geographic influences. The dominant regional effect relate</w:t>
      </w:r>
      <w:r w:rsidR="004C668B">
        <w:rPr>
          <w:color w:val="000000"/>
          <w:sz w:val="24"/>
          <w:szCs w:val="24"/>
        </w:rPr>
        <w:t>s</w:t>
      </w:r>
      <w:r w:rsidR="00C363BD">
        <w:rPr>
          <w:color w:val="000000"/>
          <w:sz w:val="24"/>
          <w:szCs w:val="24"/>
        </w:rPr>
        <w:t xml:space="preserve"> to adverse weather. C</w:t>
      </w:r>
      <w:r w:rsidR="00A94C10" w:rsidRPr="00A94C10">
        <w:rPr>
          <w:color w:val="000000"/>
          <w:sz w:val="24"/>
          <w:szCs w:val="24"/>
        </w:rPr>
        <w:t xml:space="preserve">ompared with </w:t>
      </w:r>
      <w:r w:rsidR="00C363BD">
        <w:rPr>
          <w:color w:val="000000"/>
          <w:sz w:val="24"/>
          <w:szCs w:val="24"/>
        </w:rPr>
        <w:t xml:space="preserve">respondents </w:t>
      </w:r>
      <w:r w:rsidR="007009D9">
        <w:rPr>
          <w:color w:val="000000"/>
          <w:sz w:val="24"/>
          <w:szCs w:val="24"/>
        </w:rPr>
        <w:t xml:space="preserve">living in the </w:t>
      </w:r>
      <w:r w:rsidR="00C363BD">
        <w:rPr>
          <w:color w:val="000000"/>
          <w:sz w:val="24"/>
          <w:szCs w:val="24"/>
        </w:rPr>
        <w:t xml:space="preserve">Northeast and Midwest, those residing in the South and West </w:t>
      </w:r>
      <w:r w:rsidR="00A94C10" w:rsidRPr="00A94C10">
        <w:rPr>
          <w:color w:val="000000"/>
          <w:sz w:val="24"/>
          <w:szCs w:val="24"/>
        </w:rPr>
        <w:t xml:space="preserve">are </w:t>
      </w:r>
      <w:r w:rsidR="00C363BD">
        <w:rPr>
          <w:color w:val="000000"/>
          <w:sz w:val="24"/>
          <w:szCs w:val="24"/>
        </w:rPr>
        <w:t xml:space="preserve">consistently </w:t>
      </w:r>
      <w:r w:rsidR="00A94C10" w:rsidRPr="00A94C10">
        <w:rPr>
          <w:color w:val="000000"/>
          <w:sz w:val="24"/>
          <w:szCs w:val="24"/>
        </w:rPr>
        <w:t xml:space="preserve">less likely to </w:t>
      </w:r>
      <w:r w:rsidR="00C363BD">
        <w:rPr>
          <w:color w:val="000000"/>
          <w:sz w:val="24"/>
          <w:szCs w:val="24"/>
        </w:rPr>
        <w:t xml:space="preserve">identify </w:t>
      </w:r>
      <w:r w:rsidR="00A94C10" w:rsidRPr="00A94C10">
        <w:rPr>
          <w:color w:val="000000"/>
          <w:sz w:val="24"/>
          <w:szCs w:val="24"/>
        </w:rPr>
        <w:t>adverse weather as a barrier to active travel</w:t>
      </w:r>
      <w:r w:rsidR="00C363BD">
        <w:rPr>
          <w:color w:val="000000"/>
          <w:sz w:val="24"/>
          <w:szCs w:val="24"/>
        </w:rPr>
        <w:t xml:space="preserve">, a pattern that likely reflects milder winter conditions in the South and West </w:t>
      </w:r>
      <w:sdt>
        <w:sdtPr>
          <w:rPr>
            <w:color w:val="000000"/>
            <w:sz w:val="24"/>
            <w:szCs w:val="24"/>
          </w:rPr>
          <w:tag w:val="MENDELEY_CITATION_v3_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"/>
          <w:id w:val="1729493210"/>
          <w:placeholder>
            <w:docPart w:val="DefaultPlaceholder_-1854013440"/>
          </w:placeholder>
        </w:sdtPr>
        <w:sdtEndPr/>
        <w:sdtContent>
          <w:r w:rsidR="000C5DDA" w:rsidRPr="000C5DDA">
            <w:rPr>
              <w:color w:val="000000"/>
              <w:sz w:val="24"/>
              <w:szCs w:val="24"/>
            </w:rPr>
            <w:t>(Carlson et al., 2021)</w:t>
          </w:r>
        </w:sdtContent>
      </w:sdt>
      <w:r w:rsidR="00546072">
        <w:rPr>
          <w:color w:val="000000"/>
          <w:sz w:val="24"/>
          <w:szCs w:val="24"/>
        </w:rPr>
        <w:t>.</w:t>
      </w:r>
      <w:r w:rsidR="003101FB">
        <w:rPr>
          <w:color w:val="000000"/>
          <w:sz w:val="24"/>
          <w:szCs w:val="24"/>
        </w:rPr>
        <w:t xml:space="preserve"> </w:t>
      </w:r>
      <w:r w:rsidR="003101FB" w:rsidRPr="003101FB">
        <w:rPr>
          <w:color w:val="000000"/>
          <w:sz w:val="24"/>
          <w:szCs w:val="24"/>
        </w:rPr>
        <w:t xml:space="preserve">Beyond weather, </w:t>
      </w:r>
      <w:r w:rsidR="00C363BD">
        <w:rPr>
          <w:color w:val="000000"/>
          <w:sz w:val="24"/>
          <w:szCs w:val="24"/>
        </w:rPr>
        <w:t xml:space="preserve">only </w:t>
      </w:r>
      <w:r w:rsidR="003101FB" w:rsidRPr="003101FB">
        <w:rPr>
          <w:color w:val="000000"/>
          <w:sz w:val="24"/>
          <w:szCs w:val="24"/>
        </w:rPr>
        <w:t xml:space="preserve">a few </w:t>
      </w:r>
      <w:r w:rsidR="00C363BD">
        <w:rPr>
          <w:color w:val="000000"/>
          <w:sz w:val="24"/>
          <w:szCs w:val="24"/>
        </w:rPr>
        <w:t xml:space="preserve">isolated regional differences </w:t>
      </w:r>
      <w:r w:rsidR="003101FB" w:rsidRPr="003101FB">
        <w:rPr>
          <w:color w:val="000000"/>
          <w:sz w:val="24"/>
          <w:szCs w:val="24"/>
        </w:rPr>
        <w:t xml:space="preserve">emerge, </w:t>
      </w:r>
      <w:r w:rsidR="00C363BD">
        <w:rPr>
          <w:color w:val="000000"/>
          <w:sz w:val="24"/>
          <w:szCs w:val="24"/>
        </w:rPr>
        <w:t xml:space="preserve">including lower concern about trip-length mismatch </w:t>
      </w:r>
      <w:r w:rsidR="003101FB" w:rsidRPr="003101FB">
        <w:rPr>
          <w:color w:val="000000"/>
          <w:sz w:val="24"/>
          <w:szCs w:val="24"/>
        </w:rPr>
        <w:t>in the South Atlantic</w:t>
      </w:r>
      <w:r w:rsidR="00C363BD">
        <w:rPr>
          <w:color w:val="000000"/>
          <w:sz w:val="24"/>
          <w:szCs w:val="24"/>
        </w:rPr>
        <w:t>, somewhat greater concern about</w:t>
      </w:r>
      <w:r w:rsidR="003101FB" w:rsidRPr="003101FB">
        <w:rPr>
          <w:color w:val="000000"/>
          <w:sz w:val="24"/>
          <w:szCs w:val="24"/>
        </w:rPr>
        <w:t xml:space="preserve"> sidewalk and bi</w:t>
      </w:r>
      <w:r w:rsidR="00C363BD">
        <w:rPr>
          <w:color w:val="000000"/>
          <w:sz w:val="24"/>
          <w:szCs w:val="24"/>
        </w:rPr>
        <w:t>cycl</w:t>
      </w:r>
      <w:r w:rsidR="003101FB" w:rsidRPr="003101FB">
        <w:rPr>
          <w:color w:val="000000"/>
          <w:sz w:val="24"/>
          <w:szCs w:val="24"/>
        </w:rPr>
        <w:t>e</w:t>
      </w:r>
      <w:r w:rsidR="005D132D">
        <w:rPr>
          <w:color w:val="000000"/>
          <w:sz w:val="24"/>
          <w:szCs w:val="24"/>
        </w:rPr>
        <w:t xml:space="preserve"> </w:t>
      </w:r>
      <w:r w:rsidR="003101FB" w:rsidRPr="003101FB">
        <w:rPr>
          <w:color w:val="000000"/>
          <w:sz w:val="24"/>
          <w:szCs w:val="24"/>
        </w:rPr>
        <w:t>lane deficiencies</w:t>
      </w:r>
      <w:r w:rsidR="00C363BD">
        <w:rPr>
          <w:color w:val="000000"/>
          <w:sz w:val="24"/>
          <w:szCs w:val="24"/>
        </w:rPr>
        <w:t xml:space="preserve"> in the Middle Atlantic</w:t>
      </w:r>
      <w:r w:rsidR="003101FB" w:rsidRPr="003101FB">
        <w:rPr>
          <w:color w:val="000000"/>
          <w:sz w:val="24"/>
          <w:szCs w:val="24"/>
        </w:rPr>
        <w:t xml:space="preserve">, and </w:t>
      </w:r>
      <w:r w:rsidR="00C363BD">
        <w:rPr>
          <w:color w:val="000000"/>
          <w:sz w:val="24"/>
          <w:szCs w:val="24"/>
        </w:rPr>
        <w:t xml:space="preserve">a marginally lower propensity to be NRATs in </w:t>
      </w:r>
      <w:r w:rsidR="003101FB" w:rsidRPr="003101FB">
        <w:rPr>
          <w:color w:val="000000"/>
          <w:sz w:val="24"/>
          <w:szCs w:val="24"/>
        </w:rPr>
        <w:t>the West North Central division.</w:t>
      </w:r>
    </w:p>
    <w:p w14:paraId="5FD40003" w14:textId="77777777" w:rsidR="00B9201B" w:rsidRDefault="00B9201B" w:rsidP="00B9201B">
      <w:pPr>
        <w:jc w:val="both"/>
        <w:rPr>
          <w:color w:val="000000"/>
          <w:sz w:val="24"/>
          <w:szCs w:val="24"/>
        </w:rPr>
      </w:pPr>
    </w:p>
    <w:p w14:paraId="6286E49E" w14:textId="1D11A1EF" w:rsidR="00B43B68" w:rsidRPr="00DF679C" w:rsidRDefault="00B43B68" w:rsidP="00B9201B">
      <w:pPr>
        <w:rPr>
          <w:b/>
          <w:bCs/>
          <w:i/>
          <w:iCs/>
          <w:sz w:val="24"/>
          <w:szCs w:val="24"/>
        </w:rPr>
      </w:pPr>
      <w:r w:rsidRPr="00DF679C">
        <w:rPr>
          <w:b/>
          <w:bCs/>
          <w:i/>
          <w:iCs/>
          <w:sz w:val="24"/>
          <w:szCs w:val="24"/>
        </w:rPr>
        <w:t xml:space="preserve">4.2.4 </w:t>
      </w:r>
      <w:r w:rsidR="000303DF">
        <w:rPr>
          <w:b/>
          <w:bCs/>
          <w:i/>
          <w:iCs/>
          <w:sz w:val="24"/>
          <w:szCs w:val="24"/>
        </w:rPr>
        <w:t xml:space="preserve">Effects of </w:t>
      </w:r>
      <w:r w:rsidRPr="00DF679C">
        <w:rPr>
          <w:b/>
          <w:bCs/>
          <w:i/>
          <w:iCs/>
          <w:sz w:val="24"/>
          <w:szCs w:val="24"/>
        </w:rPr>
        <w:t>Residential Built</w:t>
      </w:r>
      <w:r w:rsidR="00A00991">
        <w:rPr>
          <w:b/>
          <w:bCs/>
          <w:i/>
          <w:iCs/>
          <w:sz w:val="24"/>
          <w:szCs w:val="24"/>
        </w:rPr>
        <w:t>-</w:t>
      </w:r>
      <w:r w:rsidRPr="00DF679C">
        <w:rPr>
          <w:b/>
          <w:bCs/>
          <w:i/>
          <w:iCs/>
          <w:sz w:val="24"/>
          <w:szCs w:val="24"/>
        </w:rPr>
        <w:t xml:space="preserve">Environment </w:t>
      </w:r>
      <w:r w:rsidR="00D13C0D">
        <w:rPr>
          <w:b/>
          <w:bCs/>
          <w:i/>
          <w:iCs/>
          <w:sz w:val="24"/>
          <w:szCs w:val="24"/>
        </w:rPr>
        <w:t xml:space="preserve">(BE) </w:t>
      </w:r>
      <w:r w:rsidRPr="00DF679C">
        <w:rPr>
          <w:b/>
          <w:bCs/>
          <w:i/>
          <w:iCs/>
          <w:sz w:val="24"/>
          <w:szCs w:val="24"/>
        </w:rPr>
        <w:t>Char</w:t>
      </w:r>
      <w:r w:rsidR="00D13C0D">
        <w:rPr>
          <w:b/>
          <w:bCs/>
          <w:i/>
          <w:iCs/>
          <w:sz w:val="24"/>
          <w:szCs w:val="24"/>
        </w:rPr>
        <w:t>acteristics</w:t>
      </w:r>
    </w:p>
    <w:p w14:paraId="75776CB0" w14:textId="584EA974" w:rsidR="00877CBC" w:rsidRPr="00AA1D2D" w:rsidRDefault="00901CAE" w:rsidP="00B9201B">
      <w:pPr>
        <w:jc w:val="both"/>
        <w:rPr>
          <w:color w:val="000000"/>
          <w:sz w:val="24"/>
          <w:szCs w:val="24"/>
        </w:rPr>
      </w:pPr>
      <w:r w:rsidRPr="000B0459">
        <w:rPr>
          <w:color w:val="000000"/>
          <w:sz w:val="24"/>
          <w:szCs w:val="24"/>
        </w:rPr>
        <w:t xml:space="preserve">The final set of variables </w:t>
      </w:r>
      <w:r w:rsidR="002234FC" w:rsidRPr="000B0459">
        <w:rPr>
          <w:color w:val="000000"/>
          <w:sz w:val="24"/>
          <w:szCs w:val="24"/>
        </w:rPr>
        <w:t>in Table</w:t>
      </w:r>
      <w:r w:rsidR="002234FC" w:rsidRPr="00AA1D2D">
        <w:rPr>
          <w:color w:val="000000"/>
          <w:sz w:val="24"/>
          <w:szCs w:val="24"/>
        </w:rPr>
        <w:t xml:space="preserve"> 3 </w:t>
      </w:r>
      <w:r w:rsidRPr="00AA1D2D">
        <w:rPr>
          <w:color w:val="000000"/>
          <w:sz w:val="24"/>
          <w:szCs w:val="24"/>
        </w:rPr>
        <w:t>relates to the residential</w:t>
      </w:r>
      <w:r w:rsidR="00877CBC" w:rsidRPr="00CA270F">
        <w:rPr>
          <w:color w:val="000000"/>
          <w:sz w:val="24"/>
          <w:szCs w:val="24"/>
        </w:rPr>
        <w:t xml:space="preserve"> BE</w:t>
      </w:r>
      <w:r w:rsidRPr="00B144FC">
        <w:rPr>
          <w:color w:val="000000"/>
          <w:sz w:val="24"/>
          <w:szCs w:val="24"/>
        </w:rPr>
        <w:t xml:space="preserve">. </w:t>
      </w:r>
      <w:r w:rsidR="00877CBC" w:rsidRPr="00B144FC">
        <w:rPr>
          <w:color w:val="000000"/>
          <w:sz w:val="24"/>
          <w:szCs w:val="24"/>
        </w:rPr>
        <w:t xml:space="preserve">Across </w:t>
      </w:r>
      <w:r w:rsidR="00D13C0D" w:rsidRPr="00B144FC">
        <w:rPr>
          <w:color w:val="000000"/>
          <w:sz w:val="24"/>
          <w:szCs w:val="24"/>
        </w:rPr>
        <w:t xml:space="preserve">our many specification trials, we </w:t>
      </w:r>
      <w:r w:rsidR="00877CBC" w:rsidRPr="00B144FC">
        <w:rPr>
          <w:color w:val="000000"/>
          <w:sz w:val="24"/>
          <w:szCs w:val="24"/>
        </w:rPr>
        <w:t xml:space="preserve">tested </w:t>
      </w:r>
      <w:r w:rsidR="00D13C0D" w:rsidRPr="00B144FC">
        <w:rPr>
          <w:color w:val="000000"/>
          <w:sz w:val="24"/>
          <w:szCs w:val="24"/>
        </w:rPr>
        <w:t xml:space="preserve">an extensive </w:t>
      </w:r>
      <w:r w:rsidR="00877CBC" w:rsidRPr="00B144FC">
        <w:rPr>
          <w:color w:val="000000"/>
          <w:sz w:val="24"/>
          <w:szCs w:val="24"/>
        </w:rPr>
        <w:t xml:space="preserve">set </w:t>
      </w:r>
      <w:r w:rsidR="00D13C0D" w:rsidRPr="00B144FC">
        <w:rPr>
          <w:color w:val="000000"/>
          <w:sz w:val="24"/>
          <w:szCs w:val="24"/>
        </w:rPr>
        <w:t>of interactions between BE characteristics and individual</w:t>
      </w:r>
      <w:r w:rsidR="00877CBC" w:rsidRPr="00B144FC">
        <w:rPr>
          <w:color w:val="000000"/>
          <w:sz w:val="24"/>
          <w:szCs w:val="24"/>
        </w:rPr>
        <w:t xml:space="preserve">, </w:t>
      </w:r>
      <w:r w:rsidR="00D13C0D" w:rsidRPr="00B144FC">
        <w:rPr>
          <w:color w:val="000000"/>
          <w:sz w:val="24"/>
          <w:szCs w:val="24"/>
        </w:rPr>
        <w:t>household</w:t>
      </w:r>
      <w:r w:rsidR="00877CBC" w:rsidRPr="00B144FC">
        <w:rPr>
          <w:color w:val="000000"/>
          <w:sz w:val="24"/>
          <w:szCs w:val="24"/>
        </w:rPr>
        <w:t xml:space="preserve">, and </w:t>
      </w:r>
      <w:r w:rsidR="00D13C0D" w:rsidRPr="00B144FC">
        <w:rPr>
          <w:color w:val="000000"/>
          <w:sz w:val="24"/>
          <w:szCs w:val="24"/>
        </w:rPr>
        <w:t>geographic</w:t>
      </w:r>
      <w:r w:rsidR="00877CBC" w:rsidRPr="00B144FC">
        <w:rPr>
          <w:color w:val="000000"/>
          <w:sz w:val="24"/>
          <w:szCs w:val="24"/>
        </w:rPr>
        <w:t xml:space="preserve"> variables </w:t>
      </w:r>
      <w:r w:rsidR="00D13C0D" w:rsidRPr="00B144FC">
        <w:rPr>
          <w:color w:val="000000"/>
          <w:sz w:val="24"/>
          <w:szCs w:val="24"/>
        </w:rPr>
        <w:t xml:space="preserve">to </w:t>
      </w:r>
      <w:r w:rsidR="00877CBC" w:rsidRPr="00B144FC">
        <w:rPr>
          <w:color w:val="000000"/>
          <w:sz w:val="24"/>
          <w:szCs w:val="24"/>
        </w:rPr>
        <w:t xml:space="preserve">examine whether different </w:t>
      </w:r>
      <w:r w:rsidR="00877CBC" w:rsidRPr="009420C6">
        <w:rPr>
          <w:sz w:val="24"/>
          <w:szCs w:val="24"/>
        </w:rPr>
        <w:t xml:space="preserve">population groups perceived the same residential environments differently. None of these interactions </w:t>
      </w:r>
      <w:r w:rsidR="00041B54" w:rsidRPr="00041B54">
        <w:rPr>
          <w:sz w:val="24"/>
          <w:szCs w:val="24"/>
        </w:rPr>
        <w:t>were</w:t>
      </w:r>
      <w:r w:rsidR="00877CBC" w:rsidRPr="009420C6">
        <w:rPr>
          <w:sz w:val="24"/>
          <w:szCs w:val="24"/>
        </w:rPr>
        <w:t xml:space="preserve"> statistically significant at the confidence level used for variable retention, suggesting that the influence of the BE on perceived barriers is reasonably consistent across population groups.</w:t>
      </w:r>
    </w:p>
    <w:p w14:paraId="45367B13" w14:textId="5702FB9C" w:rsidR="00877CBC" w:rsidRPr="00B144FC" w:rsidRDefault="00877CBC" w:rsidP="00B9201B">
      <w:pPr>
        <w:ind w:firstLine="720"/>
        <w:jc w:val="both"/>
        <w:rPr>
          <w:color w:val="000000"/>
          <w:sz w:val="24"/>
          <w:szCs w:val="24"/>
        </w:rPr>
      </w:pPr>
      <w:r w:rsidRPr="00AA1D2D">
        <w:rPr>
          <w:color w:val="000000"/>
          <w:sz w:val="24"/>
          <w:szCs w:val="24"/>
        </w:rPr>
        <w:t xml:space="preserve">Among the </w:t>
      </w:r>
      <w:r w:rsidR="00D13C0D" w:rsidRPr="00AA1D2D">
        <w:rPr>
          <w:color w:val="000000"/>
          <w:sz w:val="24"/>
          <w:szCs w:val="24"/>
        </w:rPr>
        <w:t>socio</w:t>
      </w:r>
      <w:r w:rsidR="008154AA">
        <w:rPr>
          <w:color w:val="000000"/>
          <w:sz w:val="24"/>
          <w:szCs w:val="24"/>
        </w:rPr>
        <w:t>-</w:t>
      </w:r>
      <w:r w:rsidR="00D13C0D" w:rsidRPr="00AA1D2D">
        <w:rPr>
          <w:color w:val="000000"/>
          <w:sz w:val="24"/>
          <w:szCs w:val="24"/>
        </w:rPr>
        <w:t xml:space="preserve">economic </w:t>
      </w:r>
      <w:r w:rsidRPr="00CA270F">
        <w:rPr>
          <w:color w:val="000000"/>
          <w:sz w:val="24"/>
          <w:szCs w:val="24"/>
        </w:rPr>
        <w:t xml:space="preserve">BE </w:t>
      </w:r>
      <w:r w:rsidR="00D13C0D" w:rsidRPr="00CA270F">
        <w:rPr>
          <w:color w:val="000000"/>
          <w:sz w:val="24"/>
          <w:szCs w:val="24"/>
        </w:rPr>
        <w:t>variables</w:t>
      </w:r>
      <w:r w:rsidR="00E53458" w:rsidRPr="00B144FC">
        <w:rPr>
          <w:color w:val="000000"/>
          <w:sz w:val="24"/>
          <w:szCs w:val="24"/>
        </w:rPr>
        <w:t>,</w:t>
      </w:r>
      <w:r w:rsidRPr="00B144FC">
        <w:rPr>
          <w:color w:val="000000"/>
          <w:sz w:val="24"/>
          <w:szCs w:val="24"/>
        </w:rPr>
        <w:t xml:space="preserve"> </w:t>
      </w:r>
      <w:r w:rsidR="00E53458" w:rsidRPr="00B144FC">
        <w:rPr>
          <w:color w:val="000000"/>
          <w:sz w:val="24"/>
          <w:szCs w:val="24"/>
        </w:rPr>
        <w:t>a</w:t>
      </w:r>
      <w:r w:rsidR="003F7C78" w:rsidRPr="00B144FC">
        <w:rPr>
          <w:color w:val="000000"/>
          <w:sz w:val="24"/>
          <w:szCs w:val="24"/>
        </w:rPr>
        <w:t xml:space="preserve"> higher share of </w:t>
      </w:r>
      <w:r w:rsidR="00677860">
        <w:rPr>
          <w:color w:val="000000"/>
          <w:sz w:val="24"/>
          <w:szCs w:val="24"/>
        </w:rPr>
        <w:t>no</w:t>
      </w:r>
      <w:r w:rsidR="003F7C78" w:rsidRPr="00B144FC">
        <w:rPr>
          <w:color w:val="000000"/>
          <w:sz w:val="24"/>
          <w:szCs w:val="24"/>
        </w:rPr>
        <w:t xml:space="preserve">-vehicle households </w:t>
      </w:r>
      <w:r w:rsidRPr="00B144FC">
        <w:rPr>
          <w:color w:val="000000"/>
          <w:sz w:val="24"/>
          <w:szCs w:val="24"/>
        </w:rPr>
        <w:t xml:space="preserve">is associated with </w:t>
      </w:r>
      <w:r w:rsidR="003F7C78" w:rsidRPr="00B144FC">
        <w:rPr>
          <w:color w:val="000000"/>
          <w:sz w:val="24"/>
          <w:szCs w:val="24"/>
        </w:rPr>
        <w:t>a lower propensity to be a</w:t>
      </w:r>
      <w:r w:rsidR="00070C0B" w:rsidRPr="00B144FC">
        <w:rPr>
          <w:color w:val="000000"/>
          <w:sz w:val="24"/>
          <w:szCs w:val="24"/>
        </w:rPr>
        <w:t>n NRAT</w:t>
      </w:r>
      <w:r w:rsidR="003F7C78" w:rsidRPr="00B144FC">
        <w:rPr>
          <w:color w:val="000000"/>
          <w:sz w:val="24"/>
          <w:szCs w:val="24"/>
        </w:rPr>
        <w:t xml:space="preserve">, an intuitive </w:t>
      </w:r>
      <w:r w:rsidRPr="00B144FC">
        <w:rPr>
          <w:color w:val="000000"/>
          <w:sz w:val="24"/>
          <w:szCs w:val="24"/>
        </w:rPr>
        <w:t>result</w:t>
      </w:r>
      <w:r w:rsidR="003F7C78" w:rsidRPr="00B144FC">
        <w:rPr>
          <w:color w:val="000000"/>
          <w:sz w:val="24"/>
          <w:szCs w:val="24"/>
        </w:rPr>
        <w:t xml:space="preserve"> given that such </w:t>
      </w:r>
      <w:r w:rsidRPr="00B144FC">
        <w:rPr>
          <w:color w:val="000000"/>
          <w:sz w:val="24"/>
          <w:szCs w:val="24"/>
        </w:rPr>
        <w:t xml:space="preserve">neighborhoods tend to foster both </w:t>
      </w:r>
      <w:r w:rsidR="003F7C78" w:rsidRPr="00B144FC">
        <w:rPr>
          <w:color w:val="000000"/>
          <w:sz w:val="24"/>
          <w:szCs w:val="24"/>
        </w:rPr>
        <w:t xml:space="preserve">supportive environments </w:t>
      </w:r>
      <w:r w:rsidRPr="00B144FC">
        <w:rPr>
          <w:color w:val="000000"/>
          <w:sz w:val="24"/>
          <w:szCs w:val="24"/>
        </w:rPr>
        <w:t xml:space="preserve">and </w:t>
      </w:r>
      <w:r w:rsidR="003F7C78" w:rsidRPr="00B144FC">
        <w:rPr>
          <w:color w:val="000000"/>
          <w:sz w:val="24"/>
          <w:szCs w:val="24"/>
        </w:rPr>
        <w:t xml:space="preserve">a local culture </w:t>
      </w:r>
      <w:r w:rsidRPr="00B144FC">
        <w:rPr>
          <w:color w:val="000000"/>
          <w:sz w:val="24"/>
          <w:szCs w:val="24"/>
        </w:rPr>
        <w:t>more conducive to</w:t>
      </w:r>
      <w:r w:rsidR="003F7C78" w:rsidRPr="00B144FC">
        <w:rPr>
          <w:color w:val="000000"/>
          <w:sz w:val="24"/>
          <w:szCs w:val="24"/>
        </w:rPr>
        <w:t xml:space="preserve"> active travel </w:t>
      </w:r>
      <w:sdt>
        <w:sdtPr>
          <w:rPr>
            <w:color w:val="000000"/>
            <w:sz w:val="24"/>
            <w:szCs w:val="24"/>
          </w:rPr>
          <w:tag w:val="MENDELEY_CITATION_v3_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"/>
          <w:id w:val="789480528"/>
          <w:placeholder>
            <w:docPart w:val="DefaultPlaceholder_-1854013440"/>
          </w:placeholder>
        </w:sdtPr>
        <w:sdtEndPr/>
        <w:sdtContent>
          <w:r w:rsidR="000C5DDA" w:rsidRPr="000C5DDA">
            <w:rPr>
              <w:color w:val="000000"/>
              <w:sz w:val="24"/>
              <w:szCs w:val="24"/>
            </w:rPr>
            <w:t>(Mitra and Saphores, 2017)</w:t>
          </w:r>
        </w:sdtContent>
      </w:sdt>
      <w:r w:rsidR="003F7C78" w:rsidRPr="000B0459">
        <w:rPr>
          <w:color w:val="000000"/>
          <w:sz w:val="24"/>
          <w:szCs w:val="24"/>
        </w:rPr>
        <w:t xml:space="preserve">. </w:t>
      </w:r>
      <w:r w:rsidRPr="000B0459">
        <w:rPr>
          <w:color w:val="000000"/>
          <w:sz w:val="24"/>
          <w:szCs w:val="24"/>
        </w:rPr>
        <w:t>C</w:t>
      </w:r>
      <w:r w:rsidRPr="00AA1D2D">
        <w:rPr>
          <w:color w:val="000000"/>
          <w:sz w:val="24"/>
          <w:szCs w:val="24"/>
        </w:rPr>
        <w:t>onversely</w:t>
      </w:r>
      <w:r w:rsidR="0065166B" w:rsidRPr="00B144FC">
        <w:rPr>
          <w:color w:val="000000"/>
          <w:sz w:val="24"/>
          <w:szCs w:val="24"/>
        </w:rPr>
        <w:t>, a</w:t>
      </w:r>
      <w:r w:rsidR="003F7C78" w:rsidRPr="00B144FC">
        <w:rPr>
          <w:color w:val="000000"/>
          <w:sz w:val="24"/>
          <w:szCs w:val="24"/>
        </w:rPr>
        <w:t xml:space="preserve"> higher share of medium-wage workers </w:t>
      </w:r>
      <w:r w:rsidR="0065166B" w:rsidRPr="00B144FC">
        <w:rPr>
          <w:color w:val="000000"/>
          <w:sz w:val="24"/>
          <w:szCs w:val="24"/>
        </w:rPr>
        <w:t>is associated with a greater pro</w:t>
      </w:r>
      <w:r w:rsidRPr="00B144FC">
        <w:rPr>
          <w:color w:val="000000"/>
          <w:sz w:val="24"/>
          <w:szCs w:val="24"/>
        </w:rPr>
        <w:t>pensity</w:t>
      </w:r>
      <w:r w:rsidR="0065166B" w:rsidRPr="00B144FC">
        <w:rPr>
          <w:color w:val="000000"/>
          <w:sz w:val="24"/>
          <w:szCs w:val="24"/>
        </w:rPr>
        <w:t xml:space="preserve"> </w:t>
      </w:r>
      <w:r w:rsidRPr="00B144FC">
        <w:rPr>
          <w:color w:val="000000"/>
          <w:sz w:val="24"/>
          <w:szCs w:val="24"/>
        </w:rPr>
        <w:t xml:space="preserve">to be </w:t>
      </w:r>
      <w:r w:rsidR="0065166B" w:rsidRPr="00B144FC">
        <w:rPr>
          <w:color w:val="000000"/>
          <w:sz w:val="24"/>
          <w:szCs w:val="24"/>
        </w:rPr>
        <w:t>an NRAT</w:t>
      </w:r>
      <w:r w:rsidR="003F7C78" w:rsidRPr="00B144FC">
        <w:rPr>
          <w:color w:val="000000"/>
          <w:sz w:val="24"/>
          <w:szCs w:val="24"/>
        </w:rPr>
        <w:t>, p</w:t>
      </w:r>
      <w:r w:rsidRPr="00B144FC">
        <w:rPr>
          <w:color w:val="000000"/>
          <w:sz w:val="24"/>
          <w:szCs w:val="24"/>
        </w:rPr>
        <w:t>ossibly</w:t>
      </w:r>
      <w:r w:rsidR="003F7C78" w:rsidRPr="00B144FC">
        <w:rPr>
          <w:color w:val="000000"/>
          <w:sz w:val="24"/>
          <w:szCs w:val="24"/>
        </w:rPr>
        <w:t xml:space="preserve"> reflecting the </w:t>
      </w:r>
      <w:r w:rsidRPr="00B144FC">
        <w:rPr>
          <w:color w:val="000000"/>
          <w:sz w:val="24"/>
          <w:szCs w:val="24"/>
        </w:rPr>
        <w:t xml:space="preserve">more </w:t>
      </w:r>
      <w:r w:rsidR="003F7C78" w:rsidRPr="00B144FC">
        <w:rPr>
          <w:color w:val="000000"/>
          <w:sz w:val="24"/>
          <w:szCs w:val="24"/>
        </w:rPr>
        <w:t xml:space="preserve">suburban, auto-oriented character of these neighborhoods, </w:t>
      </w:r>
      <w:r w:rsidR="00973EF5" w:rsidRPr="00B144FC">
        <w:rPr>
          <w:color w:val="000000"/>
          <w:sz w:val="24"/>
          <w:szCs w:val="24"/>
        </w:rPr>
        <w:t xml:space="preserve">where </w:t>
      </w:r>
      <w:r w:rsidRPr="00B144FC">
        <w:rPr>
          <w:color w:val="000000"/>
          <w:sz w:val="24"/>
          <w:szCs w:val="24"/>
        </w:rPr>
        <w:t xml:space="preserve">longer </w:t>
      </w:r>
      <w:r w:rsidR="00973EF5" w:rsidRPr="00B144FC">
        <w:rPr>
          <w:color w:val="000000"/>
          <w:sz w:val="24"/>
          <w:szCs w:val="24"/>
        </w:rPr>
        <w:t xml:space="preserve">travel distances </w:t>
      </w:r>
      <w:r w:rsidRPr="00B144FC">
        <w:rPr>
          <w:color w:val="000000"/>
          <w:sz w:val="24"/>
          <w:szCs w:val="24"/>
        </w:rPr>
        <w:t xml:space="preserve">reduce the practicality of </w:t>
      </w:r>
      <w:r w:rsidR="00973EF5" w:rsidRPr="00B144FC">
        <w:rPr>
          <w:color w:val="000000"/>
          <w:sz w:val="24"/>
          <w:szCs w:val="24"/>
        </w:rPr>
        <w:t xml:space="preserve">active </w:t>
      </w:r>
      <w:r w:rsidRPr="00B144FC">
        <w:rPr>
          <w:color w:val="000000"/>
          <w:sz w:val="24"/>
          <w:szCs w:val="24"/>
        </w:rPr>
        <w:t>travel</w:t>
      </w:r>
      <w:r w:rsidR="00973EF5" w:rsidRPr="00B144FC">
        <w:rPr>
          <w:color w:val="000000"/>
          <w:sz w:val="24"/>
          <w:szCs w:val="24"/>
        </w:rPr>
        <w:t xml:space="preserve"> </w:t>
      </w:r>
      <w:sdt>
        <w:sdtPr>
          <w:rPr>
            <w:color w:val="000000"/>
            <w:sz w:val="24"/>
            <w:szCs w:val="24"/>
          </w:rPr>
          <w:tag w:val="MENDELEY_CITATION_v3_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"/>
          <w:id w:val="1923444143"/>
          <w:placeholder>
            <w:docPart w:val="DefaultPlaceholder_-1854013440"/>
          </w:placeholder>
        </w:sdtPr>
        <w:sdtEndPr/>
        <w:sdtContent>
          <w:r w:rsidR="000C5DDA" w:rsidRPr="000C5DDA">
            <w:rPr>
              <w:color w:val="000000"/>
              <w:sz w:val="24"/>
              <w:szCs w:val="24"/>
            </w:rPr>
            <w:t>(Saelens and Handy, 2008; Blumenberg and King, 2024)</w:t>
          </w:r>
        </w:sdtContent>
      </w:sdt>
      <w:r w:rsidR="001E03D5" w:rsidRPr="000B0459">
        <w:rPr>
          <w:color w:val="000000"/>
          <w:sz w:val="24"/>
          <w:szCs w:val="24"/>
        </w:rPr>
        <w:t>.</w:t>
      </w:r>
    </w:p>
    <w:p w14:paraId="5E8E8643" w14:textId="0236E6AB" w:rsidR="00125BEA" w:rsidRPr="00B144FC" w:rsidRDefault="00D13C0D" w:rsidP="00B9201B">
      <w:pPr>
        <w:ind w:firstLine="720"/>
        <w:jc w:val="both"/>
        <w:rPr>
          <w:color w:val="000000"/>
          <w:sz w:val="24"/>
          <w:szCs w:val="24"/>
        </w:rPr>
      </w:pPr>
      <w:r w:rsidRPr="00B144FC">
        <w:rPr>
          <w:color w:val="000000"/>
          <w:sz w:val="24"/>
          <w:szCs w:val="24"/>
        </w:rPr>
        <w:t>Development d</w:t>
      </w:r>
      <w:r w:rsidR="003F7C78" w:rsidRPr="00B144FC">
        <w:rPr>
          <w:color w:val="000000"/>
          <w:sz w:val="24"/>
          <w:szCs w:val="24"/>
        </w:rPr>
        <w:t xml:space="preserve">ensity </w:t>
      </w:r>
      <w:r w:rsidR="00877CBC" w:rsidRPr="00B144FC">
        <w:rPr>
          <w:color w:val="000000"/>
          <w:sz w:val="24"/>
          <w:szCs w:val="24"/>
        </w:rPr>
        <w:t xml:space="preserve">produces a consistent pattern. </w:t>
      </w:r>
      <w:r w:rsidR="00CB53D5" w:rsidRPr="00CB53D5">
        <w:rPr>
          <w:color w:val="000000"/>
          <w:sz w:val="24"/>
          <w:szCs w:val="24"/>
        </w:rPr>
        <w:t>Respondents in low-density neighborhoods are more likely to cite deficiencies in sidewalks, bicycle lanes, and lighting, reflecting the generally less developed pedestrian environment of these areas. At the same time, they are less likely to identify aggressive drivers and loitering or threatening behavior as barriers, since the lower pedestrian and vehicle activity of low-density neighborhoods reduces exposure to these concerns</w:t>
      </w:r>
      <w:r w:rsidR="00CB53D5">
        <w:rPr>
          <w:color w:val="000000"/>
          <w:sz w:val="24"/>
          <w:szCs w:val="24"/>
        </w:rPr>
        <w:t xml:space="preserve"> </w:t>
      </w:r>
      <w:sdt>
        <w:sdtPr>
          <w:rPr>
            <w:color w:val="000000"/>
            <w:sz w:val="24"/>
            <w:szCs w:val="24"/>
          </w:rPr>
          <w:tag w:val="MENDELEY_CITATION_v3_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"/>
          <w:id w:val="1510878927"/>
          <w:placeholder>
            <w:docPart w:val="DefaultPlaceholder_-1854013440"/>
          </w:placeholder>
        </w:sdtPr>
        <w:sdtEndPr/>
        <w:sdtContent>
          <w:r w:rsidR="000C5DDA" w:rsidRPr="000C5DDA">
            <w:rPr>
              <w:color w:val="000000"/>
              <w:sz w:val="24"/>
              <w:szCs w:val="24"/>
            </w:rPr>
            <w:t>(Morency et al., 2012)</w:t>
          </w:r>
        </w:sdtContent>
      </w:sdt>
      <w:r w:rsidR="00125BEA" w:rsidRPr="00B144FC">
        <w:rPr>
          <w:color w:val="000000"/>
          <w:sz w:val="24"/>
          <w:szCs w:val="24"/>
        </w:rPr>
        <w:t xml:space="preserve">. </w:t>
      </w:r>
      <w:r w:rsidR="00A215B8" w:rsidRPr="004E6402">
        <w:rPr>
          <w:color w:val="000000"/>
          <w:sz w:val="24"/>
          <w:szCs w:val="24"/>
        </w:rPr>
        <w:t>Low activity density shows a partly similar pattern, with greater concern about sidewalk and bicycle lane deficiencies but less concern about insufficient lighting and adverse weather. This indicates that busier, activity-rich neighborhoods, which tend to provide better active travel facilities, draw fewer infrastructure complaints even as their greater activity makes lighting and weather concerns more salient</w:t>
      </w:r>
      <w:r w:rsidR="004E6402" w:rsidRPr="004E6402">
        <w:rPr>
          <w:color w:val="000000"/>
          <w:sz w:val="24"/>
          <w:szCs w:val="24"/>
        </w:rPr>
        <w:t>.</w:t>
      </w:r>
    </w:p>
    <w:p w14:paraId="0932DA6A" w14:textId="6B596FE0" w:rsidR="00CA241F" w:rsidRPr="00B144FC" w:rsidRDefault="00D13C0D" w:rsidP="00B9201B">
      <w:pPr>
        <w:ind w:firstLine="720"/>
        <w:jc w:val="both"/>
        <w:rPr>
          <w:color w:val="000000"/>
          <w:sz w:val="24"/>
          <w:szCs w:val="24"/>
        </w:rPr>
      </w:pPr>
      <w:r w:rsidRPr="00B144FC">
        <w:rPr>
          <w:color w:val="000000"/>
          <w:sz w:val="24"/>
          <w:szCs w:val="24"/>
        </w:rPr>
        <w:t>The</w:t>
      </w:r>
      <w:r w:rsidR="00125BEA" w:rsidRPr="00B144FC">
        <w:rPr>
          <w:color w:val="000000"/>
          <w:sz w:val="24"/>
          <w:szCs w:val="24"/>
        </w:rPr>
        <w:t xml:space="preserve"> </w:t>
      </w:r>
      <w:r w:rsidRPr="00B144FC">
        <w:rPr>
          <w:color w:val="000000"/>
          <w:sz w:val="24"/>
          <w:szCs w:val="24"/>
        </w:rPr>
        <w:t xml:space="preserve">local activity mix attributes </w:t>
      </w:r>
      <w:r w:rsidR="00125BEA" w:rsidRPr="00B144FC">
        <w:rPr>
          <w:color w:val="000000"/>
          <w:sz w:val="24"/>
          <w:szCs w:val="24"/>
        </w:rPr>
        <w:t>exhibit more modest effects. R</w:t>
      </w:r>
      <w:r w:rsidR="00AA33B1" w:rsidRPr="00B144FC">
        <w:rPr>
          <w:color w:val="000000"/>
          <w:sz w:val="24"/>
          <w:szCs w:val="24"/>
        </w:rPr>
        <w:t xml:space="preserve">espondents in </w:t>
      </w:r>
      <w:r w:rsidR="00125BEA" w:rsidRPr="00B144FC">
        <w:rPr>
          <w:color w:val="000000"/>
          <w:sz w:val="24"/>
          <w:szCs w:val="24"/>
        </w:rPr>
        <w:t xml:space="preserve">areas with limited employment diversity </w:t>
      </w:r>
      <w:r w:rsidR="00AA33B1" w:rsidRPr="00B144FC">
        <w:rPr>
          <w:color w:val="000000"/>
          <w:sz w:val="24"/>
          <w:szCs w:val="24"/>
        </w:rPr>
        <w:t xml:space="preserve">are less likely to </w:t>
      </w:r>
      <w:r w:rsidR="00125BEA" w:rsidRPr="00B144FC">
        <w:rPr>
          <w:color w:val="000000"/>
          <w:sz w:val="24"/>
          <w:szCs w:val="24"/>
        </w:rPr>
        <w:t xml:space="preserve">report </w:t>
      </w:r>
      <w:r w:rsidR="00AA33B1" w:rsidRPr="00B144FC">
        <w:rPr>
          <w:color w:val="000000"/>
          <w:sz w:val="24"/>
          <w:szCs w:val="24"/>
        </w:rPr>
        <w:t xml:space="preserve">insufficient lighting </w:t>
      </w:r>
      <w:r w:rsidR="005313E8" w:rsidRPr="00B144FC">
        <w:rPr>
          <w:color w:val="000000"/>
          <w:sz w:val="24"/>
          <w:szCs w:val="24"/>
        </w:rPr>
        <w:t>and distracted</w:t>
      </w:r>
      <w:r w:rsidR="00AA33B1" w:rsidRPr="00B144FC">
        <w:rPr>
          <w:color w:val="000000"/>
          <w:sz w:val="24"/>
          <w:szCs w:val="24"/>
        </w:rPr>
        <w:t xml:space="preserve"> drivers as barriers</w:t>
      </w:r>
      <w:r w:rsidR="00125BEA" w:rsidRPr="00B144FC">
        <w:rPr>
          <w:color w:val="000000"/>
          <w:sz w:val="24"/>
          <w:szCs w:val="24"/>
        </w:rPr>
        <w:t>, perhaps reflecting</w:t>
      </w:r>
      <w:r w:rsidR="00C321A1" w:rsidRPr="00B144FC">
        <w:rPr>
          <w:color w:val="000000"/>
          <w:sz w:val="24"/>
          <w:szCs w:val="24"/>
        </w:rPr>
        <w:t xml:space="preserve"> </w:t>
      </w:r>
      <w:r w:rsidR="00C16067" w:rsidRPr="00B144FC">
        <w:rPr>
          <w:color w:val="000000"/>
          <w:sz w:val="24"/>
          <w:szCs w:val="24"/>
        </w:rPr>
        <w:t>quiet</w:t>
      </w:r>
      <w:r w:rsidR="00125BEA" w:rsidRPr="00B144FC">
        <w:rPr>
          <w:color w:val="000000"/>
          <w:sz w:val="24"/>
          <w:szCs w:val="24"/>
        </w:rPr>
        <w:t>er</w:t>
      </w:r>
      <w:r w:rsidR="00C16067" w:rsidRPr="00B144FC">
        <w:rPr>
          <w:color w:val="000000"/>
          <w:sz w:val="24"/>
          <w:szCs w:val="24"/>
        </w:rPr>
        <w:t xml:space="preserve"> </w:t>
      </w:r>
      <w:r w:rsidR="00CA241F" w:rsidRPr="00B144FC">
        <w:rPr>
          <w:color w:val="000000"/>
          <w:sz w:val="24"/>
          <w:szCs w:val="24"/>
        </w:rPr>
        <w:t xml:space="preserve">neighborhoods with lower traffic volumes. Those </w:t>
      </w:r>
      <w:r w:rsidR="006D00D5" w:rsidRPr="00B144FC">
        <w:rPr>
          <w:color w:val="000000"/>
          <w:sz w:val="24"/>
          <w:szCs w:val="24"/>
        </w:rPr>
        <w:t>living in areas with modest</w:t>
      </w:r>
      <w:r w:rsidR="00C16067" w:rsidRPr="00B144FC">
        <w:rPr>
          <w:color w:val="000000"/>
          <w:sz w:val="24"/>
          <w:szCs w:val="24"/>
        </w:rPr>
        <w:t xml:space="preserve"> jobs-per-household ratio</w:t>
      </w:r>
      <w:r w:rsidR="006D00D5" w:rsidRPr="00B144FC">
        <w:rPr>
          <w:color w:val="000000"/>
          <w:sz w:val="24"/>
          <w:szCs w:val="24"/>
        </w:rPr>
        <w:t>s</w:t>
      </w:r>
      <w:r w:rsidR="00C16067" w:rsidRPr="00B144FC">
        <w:rPr>
          <w:color w:val="000000"/>
          <w:sz w:val="24"/>
          <w:szCs w:val="24"/>
        </w:rPr>
        <w:t xml:space="preserve"> </w:t>
      </w:r>
      <w:r w:rsidR="006D00D5" w:rsidRPr="00B144FC">
        <w:rPr>
          <w:color w:val="000000"/>
          <w:sz w:val="24"/>
          <w:szCs w:val="24"/>
        </w:rPr>
        <w:t xml:space="preserve">are somewhat less </w:t>
      </w:r>
      <w:r w:rsidR="00CA241F" w:rsidRPr="00B144FC">
        <w:rPr>
          <w:color w:val="000000"/>
          <w:sz w:val="24"/>
          <w:szCs w:val="24"/>
        </w:rPr>
        <w:t xml:space="preserve">likely to perceive trip-length mismatches, </w:t>
      </w:r>
      <w:r w:rsidR="00AA73E8" w:rsidRPr="00B144FC">
        <w:rPr>
          <w:color w:val="000000"/>
          <w:sz w:val="24"/>
          <w:szCs w:val="24"/>
        </w:rPr>
        <w:t xml:space="preserve">while </w:t>
      </w:r>
      <w:r w:rsidR="00CA241F" w:rsidRPr="00B144FC">
        <w:rPr>
          <w:color w:val="000000"/>
          <w:sz w:val="24"/>
          <w:szCs w:val="24"/>
        </w:rPr>
        <w:t xml:space="preserve">residents of employment-rich </w:t>
      </w:r>
      <w:r w:rsidR="00AA73E8" w:rsidRPr="00B144FC">
        <w:rPr>
          <w:color w:val="000000"/>
          <w:sz w:val="24"/>
          <w:szCs w:val="24"/>
        </w:rPr>
        <w:t xml:space="preserve">areas are more likely to report concerns regarding </w:t>
      </w:r>
      <w:r w:rsidR="00C16067" w:rsidRPr="00B144FC">
        <w:rPr>
          <w:color w:val="000000"/>
          <w:sz w:val="24"/>
          <w:szCs w:val="24"/>
        </w:rPr>
        <w:t>aggressive drivers</w:t>
      </w:r>
      <w:r w:rsidR="00CA241F" w:rsidRPr="00B144FC">
        <w:rPr>
          <w:color w:val="000000"/>
          <w:sz w:val="24"/>
          <w:szCs w:val="24"/>
        </w:rPr>
        <w:t>, consistent with heavier traffic activity</w:t>
      </w:r>
      <w:r w:rsidR="00C16067" w:rsidRPr="00B144FC">
        <w:rPr>
          <w:color w:val="000000"/>
          <w:sz w:val="24"/>
          <w:szCs w:val="24"/>
        </w:rPr>
        <w:t>.</w:t>
      </w:r>
      <w:r w:rsidR="007F7AC0">
        <w:rPr>
          <w:color w:val="000000"/>
          <w:sz w:val="24"/>
          <w:szCs w:val="24"/>
        </w:rPr>
        <w:t xml:space="preserve"> </w:t>
      </w:r>
      <w:r w:rsidR="007F7AC0" w:rsidRPr="007F7AC0">
        <w:rPr>
          <w:color w:val="000000"/>
          <w:sz w:val="24"/>
          <w:szCs w:val="24"/>
        </w:rPr>
        <w:t xml:space="preserve">Finally, a low degree of land-use mix is associated with a marginally lower propensity to be an NRAT and somewhat fewer reports of sidewalk and bicycle lane deficiencies, possibly because neighborhoods dominated by a single </w:t>
      </w:r>
      <w:r w:rsidR="007F7AC0" w:rsidRPr="007F7AC0">
        <w:rPr>
          <w:color w:val="000000"/>
          <w:sz w:val="24"/>
          <w:szCs w:val="24"/>
        </w:rPr>
        <w:lastRenderedPageBreak/>
        <w:t>land use, typically residential in character, offer quiet streets and continuous local sidewalks that support at least occasional recreational walking close to home.</w:t>
      </w:r>
    </w:p>
    <w:p w14:paraId="2800464D" w14:textId="654FC991" w:rsidR="00A033F9" w:rsidRDefault="00CA241F" w:rsidP="00B9201B">
      <w:pPr>
        <w:ind w:firstLine="720"/>
        <w:jc w:val="both"/>
        <w:rPr>
          <w:b/>
          <w:bCs/>
          <w:color w:val="000000"/>
          <w:sz w:val="24"/>
          <w:szCs w:val="24"/>
        </w:rPr>
      </w:pPr>
      <w:r w:rsidRPr="00F43196">
        <w:rPr>
          <w:sz w:val="24"/>
          <w:szCs w:val="24"/>
        </w:rPr>
        <w:t xml:space="preserve">Network design measures exhibit some of the strongest relationships in the model. </w:t>
      </w:r>
      <w:r w:rsidRPr="00B144FC">
        <w:rPr>
          <w:color w:val="000000"/>
          <w:sz w:val="24"/>
          <w:szCs w:val="24"/>
        </w:rPr>
        <w:t>R</w:t>
      </w:r>
      <w:r w:rsidR="0091087E" w:rsidRPr="00B144FC">
        <w:rPr>
          <w:color w:val="000000"/>
          <w:sz w:val="24"/>
          <w:szCs w:val="24"/>
        </w:rPr>
        <w:t xml:space="preserve">espondents </w:t>
      </w:r>
      <w:r w:rsidRPr="00B144FC">
        <w:rPr>
          <w:color w:val="000000"/>
          <w:sz w:val="24"/>
          <w:szCs w:val="24"/>
        </w:rPr>
        <w:t xml:space="preserve">living </w:t>
      </w:r>
      <w:r w:rsidR="0091087E" w:rsidRPr="00B144FC">
        <w:rPr>
          <w:color w:val="000000"/>
          <w:sz w:val="24"/>
          <w:szCs w:val="24"/>
        </w:rPr>
        <w:t xml:space="preserve">in areas with </w:t>
      </w:r>
      <w:r w:rsidRPr="00B144FC">
        <w:rPr>
          <w:color w:val="000000"/>
          <w:sz w:val="24"/>
          <w:szCs w:val="24"/>
        </w:rPr>
        <w:t xml:space="preserve">low </w:t>
      </w:r>
      <w:r w:rsidR="0091087E" w:rsidRPr="00B144FC">
        <w:rPr>
          <w:color w:val="000000"/>
          <w:sz w:val="24"/>
          <w:szCs w:val="24"/>
        </w:rPr>
        <w:t>pedestrian network density</w:t>
      </w:r>
      <w:r w:rsidRPr="00B144FC">
        <w:rPr>
          <w:color w:val="000000"/>
          <w:sz w:val="24"/>
          <w:szCs w:val="24"/>
        </w:rPr>
        <w:t xml:space="preserve"> are more likely to identify </w:t>
      </w:r>
      <w:r w:rsidR="0091087E" w:rsidRPr="00B144FC">
        <w:rPr>
          <w:color w:val="000000"/>
          <w:sz w:val="24"/>
          <w:szCs w:val="24"/>
        </w:rPr>
        <w:t xml:space="preserve">deficiencies in </w:t>
      </w:r>
      <w:r w:rsidRPr="00B144FC">
        <w:rPr>
          <w:color w:val="000000"/>
          <w:sz w:val="24"/>
          <w:szCs w:val="24"/>
        </w:rPr>
        <w:t>infrastructure (</w:t>
      </w:r>
      <w:r w:rsidR="0091087E" w:rsidRPr="00B144FC">
        <w:rPr>
          <w:color w:val="000000"/>
          <w:sz w:val="24"/>
          <w:szCs w:val="24"/>
        </w:rPr>
        <w:t>sidewalks and bi</w:t>
      </w:r>
      <w:r w:rsidR="007E0AAF">
        <w:rPr>
          <w:color w:val="000000"/>
          <w:sz w:val="24"/>
          <w:szCs w:val="24"/>
        </w:rPr>
        <w:t>cycl</w:t>
      </w:r>
      <w:r w:rsidR="0091087E" w:rsidRPr="00B144FC">
        <w:rPr>
          <w:color w:val="000000"/>
          <w:sz w:val="24"/>
          <w:szCs w:val="24"/>
        </w:rPr>
        <w:t>e lane</w:t>
      </w:r>
      <w:r w:rsidRPr="00B144FC">
        <w:rPr>
          <w:color w:val="000000"/>
          <w:sz w:val="24"/>
          <w:szCs w:val="24"/>
        </w:rPr>
        <w:t>s)</w:t>
      </w:r>
      <w:r w:rsidR="0091087E" w:rsidRPr="00B144FC">
        <w:rPr>
          <w:color w:val="000000"/>
          <w:sz w:val="24"/>
          <w:szCs w:val="24"/>
        </w:rPr>
        <w:t xml:space="preserve">, along with elevated concerns about insufficient lighting, </w:t>
      </w:r>
      <w:r w:rsidRPr="00B144FC">
        <w:rPr>
          <w:color w:val="000000"/>
          <w:sz w:val="24"/>
          <w:szCs w:val="24"/>
        </w:rPr>
        <w:t xml:space="preserve">personal </w:t>
      </w:r>
      <w:r w:rsidR="00B779F0" w:rsidRPr="00B144FC">
        <w:rPr>
          <w:color w:val="000000"/>
          <w:sz w:val="24"/>
          <w:szCs w:val="24"/>
        </w:rPr>
        <w:t>security</w:t>
      </w:r>
      <w:r w:rsidR="0091087E" w:rsidRPr="00B144FC">
        <w:rPr>
          <w:color w:val="000000"/>
          <w:sz w:val="24"/>
          <w:szCs w:val="24"/>
        </w:rPr>
        <w:t>, and adverse weather. The</w:t>
      </w:r>
      <w:r w:rsidRPr="00B144FC">
        <w:rPr>
          <w:color w:val="000000"/>
          <w:sz w:val="24"/>
          <w:szCs w:val="24"/>
        </w:rPr>
        <w:t xml:space="preserve"> infrastructure effects </w:t>
      </w:r>
      <w:r w:rsidR="0091087E" w:rsidRPr="00B144FC">
        <w:rPr>
          <w:color w:val="000000"/>
          <w:sz w:val="24"/>
          <w:szCs w:val="24"/>
        </w:rPr>
        <w:t xml:space="preserve">are </w:t>
      </w:r>
      <w:r w:rsidRPr="00B144FC">
        <w:rPr>
          <w:color w:val="000000"/>
          <w:sz w:val="24"/>
          <w:szCs w:val="24"/>
        </w:rPr>
        <w:t xml:space="preserve">expected, </w:t>
      </w:r>
      <w:r w:rsidR="0091087E" w:rsidRPr="00B144FC">
        <w:rPr>
          <w:color w:val="000000"/>
          <w:sz w:val="24"/>
          <w:szCs w:val="24"/>
        </w:rPr>
        <w:t xml:space="preserve">while the heightened security concern may reflect </w:t>
      </w:r>
      <w:r w:rsidRPr="00B144FC">
        <w:rPr>
          <w:color w:val="000000"/>
          <w:sz w:val="24"/>
          <w:szCs w:val="24"/>
        </w:rPr>
        <w:t xml:space="preserve">reduced informal surveillance in areas where sparse pedestrian networks discourage outdoor </w:t>
      </w:r>
      <w:r w:rsidRPr="00CB7B9A">
        <w:rPr>
          <w:color w:val="000000"/>
          <w:sz w:val="24"/>
          <w:szCs w:val="24"/>
        </w:rPr>
        <w:t xml:space="preserve">activity. </w:t>
      </w:r>
      <w:r w:rsidR="00CB7B9A" w:rsidRPr="00CB7B9A">
        <w:rPr>
          <w:color w:val="000000"/>
          <w:sz w:val="24"/>
          <w:szCs w:val="24"/>
        </w:rPr>
        <w:t>Low intersection density tells a similar story, being associated with a higher propensity to be an NRAT, more frequent reports of sidewalk and bicycle lane deficiencies, and greater concern about adverse weather, consistent with the longer, less direct travel paths of poorly connected street networks. Likewise, areas characterized by fewer three-leg intersections and more four-</w:t>
      </w:r>
      <w:r w:rsidR="00951D62">
        <w:rPr>
          <w:color w:val="000000"/>
          <w:sz w:val="24"/>
          <w:szCs w:val="24"/>
        </w:rPr>
        <w:t>or-more-</w:t>
      </w:r>
      <w:r w:rsidR="00CB7B9A" w:rsidRPr="00CB7B9A">
        <w:rPr>
          <w:color w:val="000000"/>
          <w:sz w:val="24"/>
          <w:szCs w:val="24"/>
        </w:rPr>
        <w:t xml:space="preserve">leg intersections, </w:t>
      </w:r>
      <w:r w:rsidR="00A033F9" w:rsidRPr="00A033F9">
        <w:rPr>
          <w:color w:val="000000"/>
          <w:sz w:val="24"/>
          <w:szCs w:val="24"/>
        </w:rPr>
        <w:t xml:space="preserve">indicative of traditional connected street grids rather than curvilinear suburban layouts, are associated with lower concern about trip-length </w:t>
      </w:r>
      <w:r w:rsidR="003D03F5" w:rsidRPr="00A033F9">
        <w:rPr>
          <w:color w:val="000000"/>
          <w:sz w:val="24"/>
          <w:szCs w:val="24"/>
        </w:rPr>
        <w:t>mismatches</w:t>
      </w:r>
      <w:r w:rsidR="00A033F9">
        <w:rPr>
          <w:color w:val="000000"/>
          <w:sz w:val="24"/>
          <w:szCs w:val="24"/>
        </w:rPr>
        <w:t>.</w:t>
      </w:r>
    </w:p>
    <w:p w14:paraId="4BDECF48" w14:textId="0458E89B" w:rsidR="002F2115" w:rsidRDefault="00B144FC" w:rsidP="00B9201B">
      <w:pPr>
        <w:ind w:firstLine="720"/>
        <w:jc w:val="both"/>
        <w:rPr>
          <w:color w:val="000000"/>
          <w:sz w:val="24"/>
          <w:szCs w:val="24"/>
        </w:rPr>
      </w:pPr>
      <w:r w:rsidRPr="00F43196">
        <w:rPr>
          <w:sz w:val="24"/>
          <w:szCs w:val="24"/>
        </w:rPr>
        <w:t xml:space="preserve">Finally, the National Walkability Index reinforces these broader findings. </w:t>
      </w:r>
      <w:r w:rsidR="002F2115" w:rsidRPr="00B144FC">
        <w:rPr>
          <w:color w:val="000000"/>
          <w:sz w:val="24"/>
          <w:szCs w:val="24"/>
        </w:rPr>
        <w:t xml:space="preserve">Respondents in more walkable areas are </w:t>
      </w:r>
      <w:r w:rsidRPr="00B144FC">
        <w:rPr>
          <w:color w:val="000000"/>
          <w:sz w:val="24"/>
          <w:szCs w:val="24"/>
        </w:rPr>
        <w:t xml:space="preserve">progressively </w:t>
      </w:r>
      <w:r w:rsidR="002F2115" w:rsidRPr="00B144FC">
        <w:rPr>
          <w:color w:val="000000"/>
          <w:sz w:val="24"/>
          <w:szCs w:val="24"/>
        </w:rPr>
        <w:t xml:space="preserve">less </w:t>
      </w:r>
      <w:r w:rsidRPr="004D7D43">
        <w:rPr>
          <w:color w:val="000000"/>
          <w:sz w:val="24"/>
          <w:szCs w:val="24"/>
        </w:rPr>
        <w:t xml:space="preserve">likely to </w:t>
      </w:r>
      <w:r w:rsidR="005313E8" w:rsidRPr="004D7D43">
        <w:rPr>
          <w:color w:val="000000"/>
          <w:sz w:val="24"/>
          <w:szCs w:val="24"/>
        </w:rPr>
        <w:t>be</w:t>
      </w:r>
      <w:r w:rsidR="002F2115" w:rsidRPr="004D7D43">
        <w:rPr>
          <w:color w:val="000000"/>
          <w:sz w:val="24"/>
          <w:szCs w:val="24"/>
        </w:rPr>
        <w:t xml:space="preserve"> </w:t>
      </w:r>
      <w:r w:rsidR="006A0CDC" w:rsidRPr="004D7D43">
        <w:rPr>
          <w:color w:val="000000"/>
          <w:sz w:val="24"/>
          <w:szCs w:val="24"/>
        </w:rPr>
        <w:t>NRATs</w:t>
      </w:r>
      <w:r w:rsidR="002F2115" w:rsidRPr="004D7D43">
        <w:rPr>
          <w:color w:val="000000"/>
          <w:sz w:val="24"/>
          <w:szCs w:val="24"/>
        </w:rPr>
        <w:t xml:space="preserve"> than in the least</w:t>
      </w:r>
      <w:r w:rsidRPr="004D7D43">
        <w:rPr>
          <w:color w:val="000000"/>
          <w:sz w:val="24"/>
          <w:szCs w:val="24"/>
        </w:rPr>
        <w:t xml:space="preserve"> </w:t>
      </w:r>
      <w:r w:rsidR="002F2115" w:rsidRPr="004D7D43">
        <w:rPr>
          <w:color w:val="000000"/>
          <w:sz w:val="24"/>
          <w:szCs w:val="24"/>
        </w:rPr>
        <w:t xml:space="preserve">walkable </w:t>
      </w:r>
      <w:r w:rsidRPr="004D7D43">
        <w:rPr>
          <w:color w:val="000000"/>
          <w:sz w:val="24"/>
          <w:szCs w:val="24"/>
        </w:rPr>
        <w:t>areas</w:t>
      </w:r>
      <w:r w:rsidR="002F2115" w:rsidRPr="004D7D43">
        <w:rPr>
          <w:color w:val="000000"/>
          <w:sz w:val="24"/>
          <w:szCs w:val="24"/>
        </w:rPr>
        <w:t xml:space="preserve">, </w:t>
      </w:r>
      <w:r w:rsidR="004D7D43" w:rsidRPr="004D7D43">
        <w:rPr>
          <w:color w:val="000000"/>
          <w:sz w:val="24"/>
          <w:szCs w:val="24"/>
        </w:rPr>
        <w:t xml:space="preserve">consistent with the intent of walkable urban design to promote active travel </w:t>
      </w:r>
      <w:sdt>
        <w:sdtPr>
          <w:rPr>
            <w:color w:val="000000"/>
            <w:sz w:val="24"/>
            <w:szCs w:val="24"/>
          </w:rPr>
          <w:tag w:val="MENDELEY_CITATION_v3_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"/>
          <w:id w:val="-1958093489"/>
          <w:placeholder>
            <w:docPart w:val="DefaultPlaceholder_-1854013440"/>
          </w:placeholder>
        </w:sdtPr>
        <w:sdtEndPr/>
        <w:sdtContent>
          <w:r w:rsidR="000C5DDA" w:rsidRPr="000C5DDA">
            <w:rPr>
              <w:color w:val="000000"/>
              <w:sz w:val="24"/>
              <w:szCs w:val="24"/>
            </w:rPr>
            <w:t>(Watson et al., 2020)</w:t>
          </w:r>
        </w:sdtContent>
      </w:sdt>
      <w:r w:rsidR="002F2115" w:rsidRPr="004D7D43">
        <w:rPr>
          <w:color w:val="000000"/>
          <w:sz w:val="24"/>
          <w:szCs w:val="24"/>
        </w:rPr>
        <w:t xml:space="preserve">. At the same time, </w:t>
      </w:r>
      <w:r w:rsidRPr="004D7D43">
        <w:rPr>
          <w:color w:val="000000"/>
          <w:sz w:val="24"/>
          <w:szCs w:val="24"/>
        </w:rPr>
        <w:t xml:space="preserve">they are </w:t>
      </w:r>
      <w:r w:rsidR="002F2115" w:rsidRPr="004D7D43">
        <w:rPr>
          <w:color w:val="000000"/>
          <w:sz w:val="24"/>
          <w:szCs w:val="24"/>
        </w:rPr>
        <w:t>more likely to cite insufficient lighting</w:t>
      </w:r>
      <w:r w:rsidRPr="004D7D43">
        <w:rPr>
          <w:color w:val="000000"/>
          <w:sz w:val="24"/>
          <w:szCs w:val="24"/>
        </w:rPr>
        <w:t>, and</w:t>
      </w:r>
      <w:r w:rsidRPr="00B144FC">
        <w:rPr>
          <w:color w:val="000000"/>
          <w:sz w:val="24"/>
          <w:szCs w:val="24"/>
        </w:rPr>
        <w:t xml:space="preserve"> in the most walkable neighborhoods, distracted driving</w:t>
      </w:r>
      <w:r w:rsidR="002F2115" w:rsidRPr="00B144FC">
        <w:rPr>
          <w:color w:val="000000"/>
          <w:sz w:val="24"/>
          <w:szCs w:val="24"/>
        </w:rPr>
        <w:t xml:space="preserve"> as barrier</w:t>
      </w:r>
      <w:r w:rsidRPr="00B144FC">
        <w:rPr>
          <w:color w:val="000000"/>
          <w:sz w:val="24"/>
          <w:szCs w:val="24"/>
        </w:rPr>
        <w:t>s</w:t>
      </w:r>
      <w:r w:rsidR="007B46F1" w:rsidRPr="00B144FC">
        <w:rPr>
          <w:color w:val="000000"/>
          <w:sz w:val="24"/>
          <w:szCs w:val="24"/>
        </w:rPr>
        <w:t>.</w:t>
      </w:r>
      <w:r w:rsidR="002F2115" w:rsidRPr="00B144FC">
        <w:rPr>
          <w:color w:val="000000"/>
          <w:sz w:val="24"/>
          <w:szCs w:val="24"/>
        </w:rPr>
        <w:t xml:space="preserve"> </w:t>
      </w:r>
      <w:r w:rsidR="007C581E" w:rsidRPr="00B144FC">
        <w:rPr>
          <w:color w:val="000000"/>
          <w:sz w:val="24"/>
          <w:szCs w:val="24"/>
        </w:rPr>
        <w:t xml:space="preserve">One possible </w:t>
      </w:r>
      <w:r w:rsidRPr="00B144FC">
        <w:rPr>
          <w:color w:val="000000"/>
          <w:sz w:val="24"/>
          <w:szCs w:val="24"/>
        </w:rPr>
        <w:t>explanation</w:t>
      </w:r>
      <w:r w:rsidR="007C581E" w:rsidRPr="00B144FC">
        <w:rPr>
          <w:color w:val="000000"/>
          <w:sz w:val="24"/>
          <w:szCs w:val="24"/>
        </w:rPr>
        <w:t xml:space="preserve"> is that </w:t>
      </w:r>
      <w:r w:rsidRPr="00B144FC">
        <w:rPr>
          <w:color w:val="000000"/>
          <w:sz w:val="24"/>
          <w:szCs w:val="24"/>
        </w:rPr>
        <w:t xml:space="preserve">greater pedestrian activity, especially after dark and in mixed traffic environments, increases exposure to, and awareness of, these issues. In contrast, respondents in more walkable neighborhoods are less likely to report deficiencies in </w:t>
      </w:r>
      <w:r w:rsidR="002F2115" w:rsidRPr="00B144FC">
        <w:rPr>
          <w:color w:val="000000"/>
          <w:sz w:val="24"/>
          <w:szCs w:val="24"/>
        </w:rPr>
        <w:t>sidewalk</w:t>
      </w:r>
      <w:r w:rsidRPr="00B144FC">
        <w:rPr>
          <w:color w:val="000000"/>
          <w:sz w:val="24"/>
          <w:szCs w:val="24"/>
        </w:rPr>
        <w:t>s</w:t>
      </w:r>
      <w:r w:rsidR="002F2115" w:rsidRPr="00B144FC">
        <w:rPr>
          <w:color w:val="000000"/>
          <w:sz w:val="24"/>
          <w:szCs w:val="24"/>
        </w:rPr>
        <w:t xml:space="preserve"> and bi</w:t>
      </w:r>
      <w:r w:rsidR="007E0AAF">
        <w:rPr>
          <w:color w:val="000000"/>
          <w:sz w:val="24"/>
          <w:szCs w:val="24"/>
        </w:rPr>
        <w:t>cycle</w:t>
      </w:r>
      <w:r w:rsidR="005D132D" w:rsidRPr="00B144FC">
        <w:rPr>
          <w:color w:val="000000"/>
          <w:sz w:val="24"/>
          <w:szCs w:val="24"/>
        </w:rPr>
        <w:t xml:space="preserve"> </w:t>
      </w:r>
      <w:r w:rsidR="002F2115" w:rsidRPr="00B144FC">
        <w:rPr>
          <w:color w:val="000000"/>
          <w:sz w:val="24"/>
          <w:szCs w:val="24"/>
        </w:rPr>
        <w:t>lane</w:t>
      </w:r>
      <w:r w:rsidRPr="00B144FC">
        <w:rPr>
          <w:color w:val="000000"/>
          <w:sz w:val="24"/>
          <w:szCs w:val="24"/>
        </w:rPr>
        <w:t>s</w:t>
      </w:r>
      <w:r w:rsidR="002F2115" w:rsidRPr="00B144FC">
        <w:rPr>
          <w:color w:val="000000"/>
          <w:sz w:val="24"/>
          <w:szCs w:val="24"/>
        </w:rPr>
        <w:t xml:space="preserve"> </w:t>
      </w:r>
      <w:r w:rsidRPr="00B144FC">
        <w:rPr>
          <w:color w:val="000000"/>
          <w:sz w:val="24"/>
          <w:szCs w:val="24"/>
        </w:rPr>
        <w:t xml:space="preserve">or concerns about </w:t>
      </w:r>
      <w:r w:rsidR="002F2115" w:rsidRPr="00B144FC">
        <w:rPr>
          <w:color w:val="000000"/>
          <w:sz w:val="24"/>
          <w:szCs w:val="24"/>
        </w:rPr>
        <w:t>trip-length mismatch</w:t>
      </w:r>
      <w:r w:rsidRPr="00B144FC">
        <w:rPr>
          <w:color w:val="000000"/>
          <w:sz w:val="24"/>
          <w:szCs w:val="24"/>
        </w:rPr>
        <w:t>es</w:t>
      </w:r>
      <w:r w:rsidR="002F2115" w:rsidRPr="00B144FC">
        <w:rPr>
          <w:color w:val="000000"/>
          <w:sz w:val="24"/>
          <w:szCs w:val="24"/>
        </w:rPr>
        <w:t xml:space="preserve">, </w:t>
      </w:r>
      <w:r w:rsidRPr="00B144FC">
        <w:rPr>
          <w:color w:val="000000"/>
          <w:sz w:val="24"/>
          <w:szCs w:val="24"/>
        </w:rPr>
        <w:t xml:space="preserve">reflecting </w:t>
      </w:r>
      <w:r w:rsidR="002F2115" w:rsidRPr="00B144FC">
        <w:rPr>
          <w:color w:val="000000"/>
          <w:sz w:val="24"/>
          <w:szCs w:val="24"/>
        </w:rPr>
        <w:t xml:space="preserve">the more </w:t>
      </w:r>
      <w:r w:rsidRPr="00B144FC">
        <w:rPr>
          <w:color w:val="000000"/>
          <w:sz w:val="24"/>
          <w:szCs w:val="24"/>
        </w:rPr>
        <w:t xml:space="preserve">complete pedestrian </w:t>
      </w:r>
      <w:r w:rsidR="002F2115" w:rsidRPr="00B144FC">
        <w:rPr>
          <w:color w:val="000000"/>
          <w:sz w:val="24"/>
          <w:szCs w:val="24"/>
        </w:rPr>
        <w:t xml:space="preserve">networks and compact </w:t>
      </w:r>
      <w:r w:rsidRPr="00B144FC">
        <w:rPr>
          <w:color w:val="000000"/>
          <w:sz w:val="24"/>
          <w:szCs w:val="24"/>
        </w:rPr>
        <w:t xml:space="preserve">land-use patterns </w:t>
      </w:r>
      <w:r w:rsidR="002F2115" w:rsidRPr="00B144FC">
        <w:rPr>
          <w:color w:val="000000"/>
          <w:sz w:val="24"/>
          <w:szCs w:val="24"/>
        </w:rPr>
        <w:t xml:space="preserve">of such </w:t>
      </w:r>
      <w:r w:rsidRPr="00B144FC">
        <w:rPr>
          <w:color w:val="000000"/>
          <w:sz w:val="24"/>
          <w:szCs w:val="24"/>
        </w:rPr>
        <w:t>environments</w:t>
      </w:r>
      <w:r w:rsidR="002F2115" w:rsidRPr="00B144FC">
        <w:rPr>
          <w:color w:val="000000"/>
          <w:sz w:val="24"/>
          <w:szCs w:val="24"/>
        </w:rPr>
        <w:t>.</w:t>
      </w:r>
    </w:p>
    <w:p w14:paraId="61E03F99" w14:textId="77777777" w:rsidR="00B9201B" w:rsidRPr="00B144FC" w:rsidRDefault="00B9201B" w:rsidP="00B9201B">
      <w:pPr>
        <w:ind w:firstLine="720"/>
        <w:jc w:val="both"/>
        <w:rPr>
          <w:color w:val="000000"/>
          <w:sz w:val="24"/>
          <w:szCs w:val="24"/>
        </w:rPr>
      </w:pPr>
    </w:p>
    <w:p w14:paraId="476962B4" w14:textId="102A8FE4" w:rsidR="00B43B68" w:rsidRPr="00B43B68" w:rsidRDefault="00B43B68" w:rsidP="00B9201B">
      <w:pPr>
        <w:rPr>
          <w:b/>
          <w:bCs/>
          <w:sz w:val="24"/>
          <w:szCs w:val="24"/>
        </w:rPr>
      </w:pPr>
      <w:r w:rsidRPr="00DF679C">
        <w:rPr>
          <w:b/>
          <w:bCs/>
          <w:sz w:val="24"/>
          <w:szCs w:val="24"/>
        </w:rPr>
        <w:t>4.3 Correlations</w:t>
      </w:r>
    </w:p>
    <w:p w14:paraId="42B574EB" w14:textId="686873CA" w:rsidR="00645460" w:rsidRDefault="00866D39" w:rsidP="00B9201B">
      <w:pPr>
        <w:jc w:val="both"/>
        <w:rPr>
          <w:color w:val="000000"/>
          <w:sz w:val="24"/>
          <w:szCs w:val="24"/>
        </w:rPr>
      </w:pPr>
      <w:r w:rsidRPr="00866D39">
        <w:rPr>
          <w:color w:val="000000"/>
          <w:sz w:val="24"/>
          <w:szCs w:val="24"/>
        </w:rPr>
        <w:t xml:space="preserve">The correlation parameters estimated in the model appear in the final section of Table 3. Consider first the correlations between the NRAT indicator and the seven specific barriers, three of which are statistically significant. </w:t>
      </w:r>
      <w:r w:rsidR="00645460" w:rsidRPr="00866D39">
        <w:rPr>
          <w:color w:val="000000"/>
          <w:sz w:val="24"/>
          <w:szCs w:val="24"/>
        </w:rPr>
        <w:t xml:space="preserve">The </w:t>
      </w:r>
      <w:r w:rsidR="00645460">
        <w:rPr>
          <w:color w:val="000000"/>
          <w:sz w:val="24"/>
          <w:szCs w:val="24"/>
        </w:rPr>
        <w:t xml:space="preserve">first </w:t>
      </w:r>
      <w:r w:rsidR="00645460" w:rsidRPr="00866D39">
        <w:rPr>
          <w:color w:val="000000"/>
          <w:sz w:val="24"/>
          <w:szCs w:val="24"/>
        </w:rPr>
        <w:t>two significant correlations</w:t>
      </w:r>
      <w:r w:rsidR="00645460">
        <w:rPr>
          <w:color w:val="000000"/>
          <w:sz w:val="24"/>
          <w:szCs w:val="24"/>
        </w:rPr>
        <w:t xml:space="preserve"> (corresponding to the correlations between NRAT propensity and the propensity to cite </w:t>
      </w:r>
      <w:r w:rsidR="00645460" w:rsidRPr="00866D39">
        <w:rPr>
          <w:color w:val="000000"/>
          <w:sz w:val="24"/>
          <w:szCs w:val="24"/>
        </w:rPr>
        <w:t>lack of sidewalks or bicycle lanes and aggressive drivers</w:t>
      </w:r>
      <w:r w:rsidR="00645460">
        <w:rPr>
          <w:color w:val="000000"/>
          <w:sz w:val="24"/>
          <w:szCs w:val="24"/>
        </w:rPr>
        <w:t xml:space="preserve"> as barriers)</w:t>
      </w:r>
      <w:r w:rsidR="00645460" w:rsidRPr="00866D39">
        <w:rPr>
          <w:color w:val="000000"/>
          <w:sz w:val="24"/>
          <w:szCs w:val="24"/>
        </w:rPr>
        <w:t xml:space="preserve"> are negative.</w:t>
      </w:r>
      <w:r w:rsidR="00645460">
        <w:rPr>
          <w:color w:val="000000"/>
          <w:sz w:val="24"/>
          <w:szCs w:val="24"/>
        </w:rPr>
        <w:t xml:space="preserve"> </w:t>
      </w:r>
      <w:r w:rsidR="00645460" w:rsidRPr="00866D39">
        <w:rPr>
          <w:color w:val="000000"/>
          <w:sz w:val="24"/>
          <w:szCs w:val="24"/>
        </w:rPr>
        <w:t>A negative correlation implies that the unobserved factors raising the propensity to identify these barriers are associated with a lower, not higher, propensity to be an NRAT.</w:t>
      </w:r>
      <w:r w:rsidR="00645460">
        <w:rPr>
          <w:color w:val="000000"/>
          <w:sz w:val="24"/>
          <w:szCs w:val="24"/>
        </w:rPr>
        <w:t xml:space="preserve"> Equivalently, and interestingly, this also implies that t</w:t>
      </w:r>
      <w:r w:rsidR="00645460" w:rsidRPr="00866D39">
        <w:rPr>
          <w:color w:val="000000"/>
          <w:sz w:val="24"/>
          <w:szCs w:val="24"/>
        </w:rPr>
        <w:t>hese two barriers are</w:t>
      </w:r>
      <w:r w:rsidR="00645460">
        <w:rPr>
          <w:color w:val="000000"/>
          <w:sz w:val="24"/>
          <w:szCs w:val="24"/>
        </w:rPr>
        <w:t xml:space="preserve"> </w:t>
      </w:r>
      <w:r w:rsidR="00645460" w:rsidRPr="00866D39">
        <w:rPr>
          <w:color w:val="000000"/>
          <w:sz w:val="24"/>
          <w:szCs w:val="24"/>
        </w:rPr>
        <w:t xml:space="preserve">voiced disproportionately by individuals who, in unobserved terms, are closest to being active travelers, a pattern with direct policy relevance, since removing such barriers is what most plausibly converts latent demand into actual active travel. A plausible reading is that both barriers are experiential. Noticing missing sidewalks or bicycle lanes, or encountering aggressive drivers, generally requires being </w:t>
      </w:r>
      <w:r w:rsidR="00645460">
        <w:rPr>
          <w:color w:val="000000"/>
          <w:sz w:val="24"/>
          <w:szCs w:val="24"/>
        </w:rPr>
        <w:t>“</w:t>
      </w:r>
      <w:r w:rsidR="00645460" w:rsidRPr="00866D39">
        <w:rPr>
          <w:color w:val="000000"/>
          <w:sz w:val="24"/>
          <w:szCs w:val="24"/>
        </w:rPr>
        <w:t>out</w:t>
      </w:r>
      <w:r w:rsidR="00645460">
        <w:rPr>
          <w:color w:val="000000"/>
          <w:sz w:val="24"/>
          <w:szCs w:val="24"/>
        </w:rPr>
        <w:t xml:space="preserve"> and about”</w:t>
      </w:r>
      <w:r w:rsidR="00645460" w:rsidRPr="00866D39">
        <w:rPr>
          <w:color w:val="000000"/>
          <w:sz w:val="24"/>
          <w:szCs w:val="24"/>
        </w:rPr>
        <w:t xml:space="preserve"> in the pedestrian and bicycling environment</w:t>
      </w:r>
      <w:r w:rsidR="00645460">
        <w:rPr>
          <w:color w:val="000000"/>
          <w:sz w:val="24"/>
          <w:szCs w:val="24"/>
        </w:rPr>
        <w:t xml:space="preserve">; </w:t>
      </w:r>
      <w:r w:rsidR="00645460" w:rsidRPr="00F95563">
        <w:rPr>
          <w:color w:val="000000"/>
          <w:sz w:val="24"/>
          <w:szCs w:val="24"/>
        </w:rPr>
        <w:t xml:space="preserve">yet, precisely because of their greater exposure and attentiveness to on-the-ground conditions, </w:t>
      </w:r>
      <w:r w:rsidR="00645460">
        <w:rPr>
          <w:color w:val="000000"/>
          <w:sz w:val="24"/>
          <w:szCs w:val="24"/>
        </w:rPr>
        <w:t xml:space="preserve">relatively regular active travelers </w:t>
      </w:r>
      <w:r w:rsidR="00645460" w:rsidRPr="00F95563">
        <w:rPr>
          <w:color w:val="000000"/>
          <w:sz w:val="24"/>
          <w:szCs w:val="24"/>
        </w:rPr>
        <w:t xml:space="preserve">are more likely to perceive and report these infrastructural and traffic-safety deficiencies </w:t>
      </w:r>
      <w:sdt>
        <w:sdtPr>
          <w:rPr>
            <w:color w:val="000000"/>
            <w:sz w:val="24"/>
            <w:szCs w:val="24"/>
          </w:rPr>
          <w:tag w:val="MENDELEY_CITATION_v3_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"/>
          <w:id w:val="1651939285"/>
          <w:placeholder>
            <w:docPart w:val="C9B8CDEB0DA74720BFEDF0EA4B954B2F"/>
          </w:placeholder>
        </w:sdtPr>
        <w:sdtEndPr/>
        <w:sdtContent>
          <w:r w:rsidR="000C5DDA" w:rsidRPr="000C5DDA">
            <w:rPr>
              <w:color w:val="000000"/>
              <w:sz w:val="24"/>
              <w:szCs w:val="24"/>
            </w:rPr>
            <w:t>(Sanders, 2015; Aldred, 2016)</w:t>
          </w:r>
        </w:sdtContent>
      </w:sdt>
      <w:r w:rsidR="00645460" w:rsidRPr="00866D39">
        <w:rPr>
          <w:color w:val="000000"/>
          <w:sz w:val="24"/>
          <w:szCs w:val="24"/>
        </w:rPr>
        <w:t xml:space="preserve">. </w:t>
      </w:r>
    </w:p>
    <w:p w14:paraId="6EE84232" w14:textId="0BD7D101" w:rsidR="00866D39" w:rsidRPr="00866D39" w:rsidRDefault="00866D39" w:rsidP="00B9201B">
      <w:pPr>
        <w:ind w:firstLine="720"/>
        <w:jc w:val="both"/>
        <w:rPr>
          <w:color w:val="000000"/>
          <w:sz w:val="24"/>
          <w:szCs w:val="24"/>
        </w:rPr>
      </w:pPr>
      <w:r w:rsidRPr="00866D39">
        <w:rPr>
          <w:color w:val="000000"/>
          <w:sz w:val="24"/>
          <w:szCs w:val="24"/>
        </w:rPr>
        <w:t xml:space="preserve">The NRAT indicator is </w:t>
      </w:r>
      <w:r w:rsidR="00645460">
        <w:rPr>
          <w:color w:val="000000"/>
          <w:sz w:val="24"/>
          <w:szCs w:val="24"/>
        </w:rPr>
        <w:t xml:space="preserve">also </w:t>
      </w:r>
      <w:r w:rsidRPr="00866D39">
        <w:rPr>
          <w:color w:val="000000"/>
          <w:sz w:val="24"/>
          <w:szCs w:val="24"/>
        </w:rPr>
        <w:t xml:space="preserve">positively correlated with personal-security concerns related to loitering or threatening behavior, indicating that the unobserved factors predisposing an individual to be an NRAT also heighten this particular concern. In other words, the apprehension about personal security and the tendency to avoid active travel appear to spring from a common unobserved source, consistent </w:t>
      </w:r>
      <w:r w:rsidR="00FF1159" w:rsidRPr="00FF1159">
        <w:rPr>
          <w:color w:val="000000"/>
          <w:sz w:val="24"/>
          <w:szCs w:val="24"/>
        </w:rPr>
        <w:t xml:space="preserve">with evidence that such concerns deter would-be active travelers </w:t>
      </w:r>
      <w:r w:rsidR="00FF1159" w:rsidRPr="00FF1159">
        <w:rPr>
          <w:color w:val="000000"/>
          <w:sz w:val="24"/>
          <w:szCs w:val="24"/>
        </w:rPr>
        <w:lastRenderedPageBreak/>
        <w:t>before a trip is ever undertaken</w:t>
      </w:r>
      <w:r w:rsidR="00FF1159">
        <w:rPr>
          <w:color w:val="000000"/>
          <w:sz w:val="24"/>
          <w:szCs w:val="24"/>
        </w:rPr>
        <w:t xml:space="preserve"> </w:t>
      </w:r>
      <w:sdt>
        <w:sdtPr>
          <w:rPr>
            <w:color w:val="000000"/>
            <w:sz w:val="24"/>
            <w:szCs w:val="24"/>
          </w:rPr>
          <w:tag w:val="MENDELEY_CITATION_v3_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"/>
          <w:id w:val="1630271449"/>
          <w:placeholder>
            <w:docPart w:val="DefaultPlaceholder_-1854013440"/>
          </w:placeholder>
        </w:sdtPr>
        <w:sdtEndPr/>
        <w:sdtContent>
          <w:r w:rsidR="000C5DDA" w:rsidRPr="000C5DDA">
            <w:rPr>
              <w:color w:val="000000"/>
              <w:sz w:val="24"/>
              <w:szCs w:val="24"/>
            </w:rPr>
            <w:t>(Foster et al., 2014; Rees-Punia et al., 2018)</w:t>
          </w:r>
        </w:sdtContent>
      </w:sdt>
      <w:r w:rsidRPr="00866D39">
        <w:rPr>
          <w:color w:val="000000"/>
          <w:sz w:val="24"/>
          <w:szCs w:val="24"/>
        </w:rPr>
        <w:t>.</w:t>
      </w:r>
      <w:r w:rsidR="00645460">
        <w:rPr>
          <w:color w:val="000000"/>
          <w:sz w:val="24"/>
          <w:szCs w:val="24"/>
        </w:rPr>
        <w:t xml:space="preserve"> </w:t>
      </w:r>
      <w:r w:rsidRPr="00866D39">
        <w:rPr>
          <w:color w:val="000000"/>
          <w:sz w:val="24"/>
          <w:szCs w:val="24"/>
        </w:rPr>
        <w:t xml:space="preserve">This </w:t>
      </w:r>
      <w:r w:rsidR="00645460">
        <w:rPr>
          <w:color w:val="000000"/>
          <w:sz w:val="24"/>
          <w:szCs w:val="24"/>
        </w:rPr>
        <w:t xml:space="preserve">contrasts with the situation corresponding to the first two barriers just discussed above, which </w:t>
      </w:r>
      <w:r w:rsidR="00B937F0">
        <w:rPr>
          <w:color w:val="000000"/>
          <w:sz w:val="24"/>
          <w:szCs w:val="24"/>
        </w:rPr>
        <w:t xml:space="preserve">appear to </w:t>
      </w:r>
      <w:r w:rsidR="00645460">
        <w:rPr>
          <w:color w:val="000000"/>
          <w:sz w:val="24"/>
          <w:szCs w:val="24"/>
        </w:rPr>
        <w:t xml:space="preserve">arise from participation, while the correlation with personal-security concerns </w:t>
      </w:r>
      <w:r w:rsidR="00B937F0">
        <w:rPr>
          <w:color w:val="000000"/>
          <w:sz w:val="24"/>
          <w:szCs w:val="24"/>
        </w:rPr>
        <w:t xml:space="preserve">relates to </w:t>
      </w:r>
      <w:r w:rsidRPr="00866D39">
        <w:rPr>
          <w:color w:val="000000"/>
          <w:sz w:val="24"/>
          <w:szCs w:val="24"/>
        </w:rPr>
        <w:t>suppress</w:t>
      </w:r>
      <w:r w:rsidR="00B937F0">
        <w:rPr>
          <w:color w:val="000000"/>
          <w:sz w:val="24"/>
          <w:szCs w:val="24"/>
        </w:rPr>
        <w:t>ed</w:t>
      </w:r>
      <w:r w:rsidRPr="00866D39">
        <w:rPr>
          <w:color w:val="000000"/>
          <w:sz w:val="24"/>
          <w:szCs w:val="24"/>
        </w:rPr>
        <w:t xml:space="preserve"> participation.</w:t>
      </w:r>
    </w:p>
    <w:p w14:paraId="5F4077EA" w14:textId="72F4C0BF" w:rsidR="00866D39" w:rsidRDefault="00866D39" w:rsidP="00B9201B">
      <w:pPr>
        <w:ind w:firstLine="720"/>
        <w:jc w:val="both"/>
        <w:rPr>
          <w:color w:val="000000"/>
          <w:sz w:val="24"/>
          <w:szCs w:val="24"/>
        </w:rPr>
      </w:pPr>
      <w:r w:rsidRPr="00866D39">
        <w:rPr>
          <w:color w:val="000000"/>
          <w:sz w:val="24"/>
          <w:szCs w:val="24"/>
        </w:rPr>
        <w:t>The remaining significant correlations are among the seven barriers themselves, and all are positive. These pervasive positive inter-barrier correlations point to an underlying disposition of general concern that leads some individuals to be more attentive to, and more likely to articulate, barriers across multiple dimensions of the active travel environment. Such a disposition may reflect personality traits, for instance risk aversion or environmental sensitivity, that simultaneously raise or lower concern across all the barriers considered.</w:t>
      </w:r>
    </w:p>
    <w:p w14:paraId="32935C5E" w14:textId="77777777" w:rsidR="00B9201B" w:rsidRPr="00866D39" w:rsidRDefault="00B9201B" w:rsidP="00B9201B">
      <w:pPr>
        <w:ind w:firstLine="720"/>
        <w:jc w:val="both"/>
        <w:rPr>
          <w:color w:val="000000"/>
          <w:sz w:val="24"/>
          <w:szCs w:val="24"/>
        </w:rPr>
      </w:pPr>
    </w:p>
    <w:p w14:paraId="496F755A" w14:textId="07C053E4" w:rsidR="00320B9F" w:rsidRPr="00390142" w:rsidRDefault="00320B9F" w:rsidP="00B9201B">
      <w:pPr>
        <w:rPr>
          <w:b/>
          <w:bCs/>
          <w:sz w:val="24"/>
          <w:szCs w:val="24"/>
        </w:rPr>
      </w:pPr>
      <w:r w:rsidRPr="00390142">
        <w:rPr>
          <w:b/>
          <w:bCs/>
          <w:sz w:val="24"/>
          <w:szCs w:val="24"/>
        </w:rPr>
        <w:t>4.4 Model Fit</w:t>
      </w:r>
    </w:p>
    <w:p w14:paraId="64089602" w14:textId="4DC8A354" w:rsidR="008D6870" w:rsidRDefault="00372DDE" w:rsidP="00B9201B">
      <w:pPr>
        <w:jc w:val="both"/>
        <w:rPr>
          <w:color w:val="000000"/>
          <w:sz w:val="24"/>
          <w:szCs w:val="24"/>
        </w:rPr>
      </w:pPr>
      <w:r w:rsidRPr="00372DDE">
        <w:rPr>
          <w:color w:val="000000"/>
          <w:sz w:val="24"/>
          <w:szCs w:val="24"/>
        </w:rPr>
        <w:t xml:space="preserve">We evaluate the performance of the proposed joint model against an independent </w:t>
      </w:r>
      <w:r w:rsidR="00E21304">
        <w:rPr>
          <w:color w:val="000000"/>
          <w:sz w:val="24"/>
          <w:szCs w:val="24"/>
        </w:rPr>
        <w:t>model</w:t>
      </w:r>
      <w:r w:rsidR="00E21304" w:rsidRPr="00372DDE">
        <w:rPr>
          <w:color w:val="000000"/>
          <w:sz w:val="24"/>
          <w:szCs w:val="24"/>
        </w:rPr>
        <w:t xml:space="preserve"> </w:t>
      </w:r>
      <w:r w:rsidRPr="00372DDE">
        <w:rPr>
          <w:color w:val="000000"/>
          <w:sz w:val="24"/>
          <w:szCs w:val="24"/>
        </w:rPr>
        <w:t xml:space="preserve">that does not consider the correlations </w:t>
      </w:r>
      <w:r w:rsidR="003147F2">
        <w:rPr>
          <w:color w:val="000000"/>
          <w:sz w:val="24"/>
          <w:szCs w:val="24"/>
        </w:rPr>
        <w:t>among</w:t>
      </w:r>
      <w:r w:rsidR="003147F2" w:rsidRPr="00372DDE">
        <w:rPr>
          <w:color w:val="000000"/>
          <w:sz w:val="24"/>
          <w:szCs w:val="24"/>
        </w:rPr>
        <w:t xml:space="preserve"> </w:t>
      </w:r>
      <w:r w:rsidRPr="00372DDE">
        <w:rPr>
          <w:color w:val="000000"/>
          <w:sz w:val="24"/>
          <w:szCs w:val="24"/>
        </w:rPr>
        <w:t xml:space="preserve">the eight outcomes. The independent model specification treats all outcome dimensions independently, ignoring the correlation terms discussed in the previous section (and shown at the bottom of Table 3). A variety of disaggregate fit metrics are employed to compare the performance of the two models, as shown in Table 4. The log-likelihood at convergence </w:t>
      </w:r>
      <w:r w:rsidR="00B13C73">
        <w:rPr>
          <w:color w:val="000000"/>
          <w:sz w:val="24"/>
          <w:szCs w:val="24"/>
        </w:rPr>
        <w:t>and</w:t>
      </w:r>
      <w:r w:rsidRPr="00372DDE">
        <w:rPr>
          <w:color w:val="000000"/>
          <w:sz w:val="24"/>
          <w:szCs w:val="24"/>
        </w:rPr>
        <w:t xml:space="preserve"> the adjusted likelihood ratio index calculated in comparison to both the constants-only log-likelihood and the equal-probability log-likelihood are all larger for the proposed model, supporting the superior fit of this model. Additionally, the proposed model has a smaller Bayesian information criterion than the independent model, suggesting that the proposed model has a better fit after accounting for the number of parameters. Finally, the two models are compared using a formal likelihood ratio test, which is found to be significant at any reasonable level of significance for a chi-square value with 24 degrees of freedom. The proposed model clearly outperforms the independent model based on these disaggregate fit statistics.</w:t>
      </w:r>
      <w:r w:rsidR="009420C6">
        <w:rPr>
          <w:color w:val="000000"/>
          <w:sz w:val="24"/>
          <w:szCs w:val="24"/>
        </w:rPr>
        <w:t xml:space="preserve"> </w:t>
      </w:r>
    </w:p>
    <w:p w14:paraId="08C32C26" w14:textId="77777777" w:rsidR="003D03F5" w:rsidRPr="00372DDE" w:rsidRDefault="003D03F5" w:rsidP="00B9201B">
      <w:pPr>
        <w:jc w:val="both"/>
        <w:rPr>
          <w:color w:val="000000"/>
          <w:sz w:val="24"/>
          <w:szCs w:val="24"/>
        </w:rPr>
      </w:pPr>
    </w:p>
    <w:p w14:paraId="6EDFE414" w14:textId="40142052" w:rsidR="00320B9F" w:rsidRPr="00824BDE" w:rsidRDefault="00F670FB" w:rsidP="009420C6">
      <w:pPr>
        <w:pStyle w:val="FootnoteText"/>
        <w:rPr>
          <w:b/>
          <w:bCs/>
          <w:sz w:val="24"/>
          <w:szCs w:val="24"/>
        </w:rPr>
      </w:pPr>
      <w:r w:rsidRPr="00824BDE">
        <w:rPr>
          <w:b/>
          <w:bCs/>
          <w:sz w:val="24"/>
          <w:szCs w:val="24"/>
        </w:rPr>
        <w:t>Table 4</w:t>
      </w:r>
      <w:r w:rsidR="00222FFE">
        <w:rPr>
          <w:b/>
          <w:bCs/>
          <w:sz w:val="24"/>
          <w:szCs w:val="24"/>
        </w:rPr>
        <w:t>.</w:t>
      </w:r>
      <w:r w:rsidRPr="00824BDE">
        <w:rPr>
          <w:b/>
          <w:bCs/>
          <w:sz w:val="24"/>
          <w:szCs w:val="24"/>
        </w:rPr>
        <w:t xml:space="preserve"> Model Fit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9" w:type="dxa"/>
        </w:tblCellMar>
        <w:tblLook w:val="04A0" w:firstRow="1" w:lastRow="0" w:firstColumn="1" w:lastColumn="0" w:noHBand="0" w:noVBand="1"/>
      </w:tblPr>
      <w:tblGrid>
        <w:gridCol w:w="5827"/>
        <w:gridCol w:w="1620"/>
        <w:gridCol w:w="1867"/>
      </w:tblGrid>
      <w:tr w:rsidR="0039055D" w:rsidRPr="00E01E15" w14:paraId="2096D21B" w14:textId="77777777" w:rsidTr="00563D5E">
        <w:trPr>
          <w:trHeight w:hRule="exact" w:val="342"/>
        </w:trPr>
        <w:tc>
          <w:tcPr>
            <w:tcW w:w="5827" w:type="dxa"/>
            <w:tcBorders>
              <w:top w:val="single" w:sz="18" w:space="0" w:color="auto"/>
              <w:left w:val="single" w:sz="18" w:space="0" w:color="auto"/>
              <w:bottom w:val="single" w:sz="18" w:space="0" w:color="auto"/>
              <w:right w:val="single" w:sz="18" w:space="0" w:color="auto"/>
            </w:tcBorders>
          </w:tcPr>
          <w:p w14:paraId="1FE96535" w14:textId="4EA538A9" w:rsidR="0039055D" w:rsidRPr="00563D5E" w:rsidRDefault="0039055D" w:rsidP="00E34010">
            <w:pPr>
              <w:jc w:val="both"/>
              <w:rPr>
                <w:b/>
                <w:bCs/>
                <w:color w:val="000000"/>
                <w:sz w:val="20"/>
                <w:szCs w:val="20"/>
              </w:rPr>
            </w:pPr>
            <w:r w:rsidRPr="00563D5E">
              <w:rPr>
                <w:b/>
                <w:bCs/>
                <w:color w:val="000000"/>
                <w:sz w:val="20"/>
                <w:szCs w:val="20"/>
              </w:rPr>
              <w:t>Metric</w:t>
            </w:r>
          </w:p>
        </w:tc>
        <w:tc>
          <w:tcPr>
            <w:tcW w:w="1620" w:type="dxa"/>
            <w:tcBorders>
              <w:top w:val="single" w:sz="18" w:space="0" w:color="auto"/>
              <w:left w:val="single" w:sz="18" w:space="0" w:color="auto"/>
              <w:bottom w:val="single" w:sz="18" w:space="0" w:color="auto"/>
              <w:right w:val="single" w:sz="8" w:space="0" w:color="auto"/>
            </w:tcBorders>
          </w:tcPr>
          <w:p w14:paraId="57DC5415" w14:textId="2473627D" w:rsidR="0039055D" w:rsidRPr="00563D5E" w:rsidRDefault="0039055D" w:rsidP="00E34010">
            <w:pPr>
              <w:jc w:val="center"/>
              <w:rPr>
                <w:b/>
                <w:bCs/>
                <w:color w:val="000000"/>
                <w:sz w:val="20"/>
                <w:szCs w:val="20"/>
              </w:rPr>
            </w:pPr>
            <w:r w:rsidRPr="00563D5E">
              <w:rPr>
                <w:b/>
                <w:bCs/>
                <w:color w:val="000000"/>
                <w:sz w:val="20"/>
                <w:szCs w:val="20"/>
              </w:rPr>
              <w:t>Proposed Model</w:t>
            </w:r>
          </w:p>
        </w:tc>
        <w:tc>
          <w:tcPr>
            <w:tcW w:w="1867" w:type="dxa"/>
            <w:tcBorders>
              <w:top w:val="single" w:sz="18" w:space="0" w:color="auto"/>
              <w:left w:val="single" w:sz="8" w:space="0" w:color="auto"/>
              <w:bottom w:val="single" w:sz="18" w:space="0" w:color="auto"/>
              <w:right w:val="single" w:sz="18" w:space="0" w:color="auto"/>
            </w:tcBorders>
          </w:tcPr>
          <w:p w14:paraId="3A927B74" w14:textId="0A2CEE26" w:rsidR="0039055D" w:rsidRPr="00563D5E" w:rsidRDefault="0039055D" w:rsidP="00E34010">
            <w:pPr>
              <w:jc w:val="center"/>
              <w:rPr>
                <w:b/>
                <w:bCs/>
                <w:color w:val="000000"/>
                <w:sz w:val="20"/>
                <w:szCs w:val="20"/>
              </w:rPr>
            </w:pPr>
            <w:r w:rsidRPr="00563D5E">
              <w:rPr>
                <w:b/>
                <w:bCs/>
                <w:color w:val="000000"/>
                <w:sz w:val="20"/>
                <w:szCs w:val="20"/>
              </w:rPr>
              <w:t>Independent Model</w:t>
            </w:r>
          </w:p>
        </w:tc>
      </w:tr>
      <w:tr w:rsidR="0039055D" w:rsidRPr="00E01E15" w14:paraId="405DD41C" w14:textId="77777777" w:rsidTr="00563D5E">
        <w:trPr>
          <w:trHeight w:hRule="exact" w:val="288"/>
        </w:trPr>
        <w:tc>
          <w:tcPr>
            <w:tcW w:w="5827" w:type="dxa"/>
            <w:tcBorders>
              <w:top w:val="single" w:sz="18" w:space="0" w:color="auto"/>
              <w:left w:val="single" w:sz="18" w:space="0" w:color="auto"/>
              <w:bottom w:val="dotted" w:sz="4" w:space="0" w:color="auto"/>
              <w:right w:val="single" w:sz="18" w:space="0" w:color="auto"/>
            </w:tcBorders>
          </w:tcPr>
          <w:p w14:paraId="55071BCA" w14:textId="6C54F1BA" w:rsidR="0039055D" w:rsidRPr="008D6870" w:rsidRDefault="00A658F7" w:rsidP="00E34010">
            <w:pPr>
              <w:tabs>
                <w:tab w:val="decimal" w:pos="360"/>
              </w:tabs>
              <w:rPr>
                <w:sz w:val="20"/>
                <w:szCs w:val="20"/>
              </w:rPr>
            </w:pPr>
            <w:r w:rsidRPr="008D6870">
              <w:rPr>
                <w:sz w:val="20"/>
                <w:szCs w:val="20"/>
              </w:rPr>
              <w:t>Log-Likelihood at Convergence</w:t>
            </w:r>
          </w:p>
        </w:tc>
        <w:tc>
          <w:tcPr>
            <w:tcW w:w="1620" w:type="dxa"/>
            <w:tcBorders>
              <w:top w:val="single" w:sz="18" w:space="0" w:color="auto"/>
              <w:left w:val="single" w:sz="18" w:space="0" w:color="auto"/>
              <w:bottom w:val="dotted" w:sz="4" w:space="0" w:color="auto"/>
              <w:right w:val="single" w:sz="8" w:space="0" w:color="auto"/>
            </w:tcBorders>
          </w:tcPr>
          <w:p w14:paraId="0CC20740" w14:textId="3D031A2D" w:rsidR="0039055D" w:rsidRPr="008D6870" w:rsidRDefault="009F16D9" w:rsidP="00E34010">
            <w:pPr>
              <w:tabs>
                <w:tab w:val="decimal" w:pos="864"/>
              </w:tabs>
              <w:rPr>
                <w:sz w:val="20"/>
                <w:szCs w:val="20"/>
              </w:rPr>
            </w:pPr>
            <w:r w:rsidRPr="008D6870">
              <w:rPr>
                <w:sz w:val="20"/>
                <w:szCs w:val="20"/>
              </w:rPr>
              <w:t>-7020.37</w:t>
            </w:r>
          </w:p>
        </w:tc>
        <w:tc>
          <w:tcPr>
            <w:tcW w:w="1867" w:type="dxa"/>
            <w:tcBorders>
              <w:top w:val="single" w:sz="18" w:space="0" w:color="auto"/>
              <w:left w:val="single" w:sz="8" w:space="0" w:color="auto"/>
              <w:bottom w:val="dotted" w:sz="4" w:space="0" w:color="auto"/>
              <w:right w:val="single" w:sz="18" w:space="0" w:color="auto"/>
            </w:tcBorders>
          </w:tcPr>
          <w:p w14:paraId="0A9CE730" w14:textId="649264D0" w:rsidR="0039055D" w:rsidRPr="008D6870" w:rsidRDefault="00950E73" w:rsidP="006B433D">
            <w:pPr>
              <w:tabs>
                <w:tab w:val="decimal" w:pos="1008"/>
              </w:tabs>
              <w:rPr>
                <w:sz w:val="20"/>
                <w:szCs w:val="20"/>
              </w:rPr>
            </w:pPr>
            <w:r w:rsidRPr="008D6870">
              <w:rPr>
                <w:sz w:val="20"/>
                <w:szCs w:val="20"/>
              </w:rPr>
              <w:t>-7</w:t>
            </w:r>
            <w:r w:rsidR="005127A8" w:rsidRPr="008D6870">
              <w:rPr>
                <w:sz w:val="20"/>
                <w:szCs w:val="20"/>
              </w:rPr>
              <w:t>708.96</w:t>
            </w:r>
          </w:p>
        </w:tc>
      </w:tr>
      <w:tr w:rsidR="0031182F" w:rsidRPr="00E01E15" w14:paraId="41014F67" w14:textId="77777777" w:rsidTr="00563D5E">
        <w:trPr>
          <w:trHeight w:hRule="exact" w:val="288"/>
        </w:trPr>
        <w:tc>
          <w:tcPr>
            <w:tcW w:w="5827" w:type="dxa"/>
            <w:tcBorders>
              <w:top w:val="dotted" w:sz="4" w:space="0" w:color="auto"/>
              <w:left w:val="single" w:sz="18" w:space="0" w:color="auto"/>
              <w:bottom w:val="dotted" w:sz="4" w:space="0" w:color="auto"/>
              <w:right w:val="single" w:sz="18" w:space="0" w:color="auto"/>
            </w:tcBorders>
          </w:tcPr>
          <w:p w14:paraId="6A9F0E6F" w14:textId="3ED38C66" w:rsidR="0031182F" w:rsidRPr="008D6870" w:rsidRDefault="0031182F" w:rsidP="00E34010">
            <w:pPr>
              <w:tabs>
                <w:tab w:val="decimal" w:pos="360"/>
              </w:tabs>
              <w:rPr>
                <w:sz w:val="20"/>
                <w:szCs w:val="20"/>
              </w:rPr>
            </w:pPr>
            <w:r w:rsidRPr="008D6870">
              <w:rPr>
                <w:sz w:val="20"/>
                <w:szCs w:val="20"/>
              </w:rPr>
              <w:t>Log-Likelihood at Constants</w:t>
            </w:r>
          </w:p>
        </w:tc>
        <w:tc>
          <w:tcPr>
            <w:tcW w:w="3487" w:type="dxa"/>
            <w:gridSpan w:val="2"/>
            <w:tcBorders>
              <w:top w:val="dotted" w:sz="4" w:space="0" w:color="auto"/>
              <w:left w:val="single" w:sz="18" w:space="0" w:color="auto"/>
              <w:bottom w:val="dotted" w:sz="4" w:space="0" w:color="auto"/>
              <w:right w:val="single" w:sz="18" w:space="0" w:color="auto"/>
            </w:tcBorders>
          </w:tcPr>
          <w:p w14:paraId="7100A686" w14:textId="50797D01" w:rsidR="0031182F" w:rsidRPr="008D6870" w:rsidRDefault="0031182F" w:rsidP="00E34010">
            <w:pPr>
              <w:tabs>
                <w:tab w:val="decimal" w:pos="1728"/>
              </w:tabs>
              <w:rPr>
                <w:sz w:val="20"/>
                <w:szCs w:val="20"/>
              </w:rPr>
            </w:pPr>
            <w:r w:rsidRPr="008D6870">
              <w:rPr>
                <w:sz w:val="20"/>
                <w:szCs w:val="20"/>
              </w:rPr>
              <w:t>-8417.53</w:t>
            </w:r>
          </w:p>
        </w:tc>
      </w:tr>
      <w:tr w:rsidR="0031182F" w:rsidRPr="00E01E15" w14:paraId="06708B79" w14:textId="77777777" w:rsidTr="00563D5E">
        <w:trPr>
          <w:trHeight w:hRule="exact" w:val="288"/>
        </w:trPr>
        <w:tc>
          <w:tcPr>
            <w:tcW w:w="5827" w:type="dxa"/>
            <w:tcBorders>
              <w:top w:val="dotted" w:sz="4" w:space="0" w:color="auto"/>
              <w:left w:val="single" w:sz="18" w:space="0" w:color="auto"/>
              <w:bottom w:val="dotted" w:sz="4" w:space="0" w:color="auto"/>
              <w:right w:val="single" w:sz="18" w:space="0" w:color="auto"/>
            </w:tcBorders>
          </w:tcPr>
          <w:p w14:paraId="6A4FEB79" w14:textId="5A7E89FF" w:rsidR="0031182F" w:rsidRPr="008D6870" w:rsidRDefault="0031182F" w:rsidP="00E34010">
            <w:pPr>
              <w:tabs>
                <w:tab w:val="decimal" w:pos="360"/>
              </w:tabs>
              <w:rPr>
                <w:sz w:val="20"/>
                <w:szCs w:val="20"/>
              </w:rPr>
            </w:pPr>
            <w:r w:rsidRPr="008D6870">
              <w:rPr>
                <w:sz w:val="20"/>
                <w:szCs w:val="20"/>
              </w:rPr>
              <w:t>Log-Likelihood at Zero</w:t>
            </w:r>
          </w:p>
        </w:tc>
        <w:tc>
          <w:tcPr>
            <w:tcW w:w="3487" w:type="dxa"/>
            <w:gridSpan w:val="2"/>
            <w:tcBorders>
              <w:top w:val="dotted" w:sz="4" w:space="0" w:color="auto"/>
              <w:left w:val="single" w:sz="18" w:space="0" w:color="auto"/>
              <w:bottom w:val="dotted" w:sz="4" w:space="0" w:color="auto"/>
              <w:right w:val="single" w:sz="18" w:space="0" w:color="auto"/>
            </w:tcBorders>
          </w:tcPr>
          <w:p w14:paraId="5D7FAF2F" w14:textId="416B006B" w:rsidR="0031182F" w:rsidRPr="008D6870" w:rsidRDefault="008356E5" w:rsidP="00E34010">
            <w:pPr>
              <w:tabs>
                <w:tab w:val="decimal" w:pos="1728"/>
              </w:tabs>
              <w:rPr>
                <w:sz w:val="20"/>
                <w:szCs w:val="20"/>
              </w:rPr>
            </w:pPr>
            <w:r>
              <w:rPr>
                <w:sz w:val="20"/>
                <w:szCs w:val="20"/>
              </w:rPr>
              <w:t>-</w:t>
            </w:r>
            <w:r w:rsidR="0031182F" w:rsidRPr="008D6870">
              <w:rPr>
                <w:sz w:val="20"/>
                <w:szCs w:val="20"/>
              </w:rPr>
              <w:t>12896.00</w:t>
            </w:r>
          </w:p>
        </w:tc>
      </w:tr>
      <w:tr w:rsidR="0039055D" w:rsidRPr="00E01E15" w14:paraId="46A0EE0B" w14:textId="77777777" w:rsidTr="00563D5E">
        <w:trPr>
          <w:trHeight w:hRule="exact" w:val="288"/>
        </w:trPr>
        <w:tc>
          <w:tcPr>
            <w:tcW w:w="5827" w:type="dxa"/>
            <w:tcBorders>
              <w:top w:val="dotted" w:sz="4" w:space="0" w:color="auto"/>
              <w:left w:val="single" w:sz="18" w:space="0" w:color="auto"/>
              <w:bottom w:val="dotted" w:sz="4" w:space="0" w:color="auto"/>
              <w:right w:val="single" w:sz="18" w:space="0" w:color="auto"/>
            </w:tcBorders>
          </w:tcPr>
          <w:p w14:paraId="26A35BED" w14:textId="19FAB10B" w:rsidR="0039055D" w:rsidRPr="008D6870" w:rsidRDefault="00A658F7" w:rsidP="00E34010">
            <w:pPr>
              <w:tabs>
                <w:tab w:val="decimal" w:pos="360"/>
              </w:tabs>
              <w:rPr>
                <w:sz w:val="20"/>
                <w:szCs w:val="20"/>
              </w:rPr>
            </w:pPr>
            <w:r w:rsidRPr="008D6870">
              <w:rPr>
                <w:sz w:val="20"/>
                <w:szCs w:val="20"/>
              </w:rPr>
              <w:t>Number of Parameters</w:t>
            </w:r>
            <w:r w:rsidR="00134D97" w:rsidRPr="008D6870">
              <w:rPr>
                <w:sz w:val="20"/>
                <w:szCs w:val="20"/>
              </w:rPr>
              <w:t xml:space="preserve"> (including </w:t>
            </w:r>
            <w:r w:rsidR="009420C6" w:rsidRPr="008D6870">
              <w:rPr>
                <w:sz w:val="20"/>
                <w:szCs w:val="20"/>
              </w:rPr>
              <w:t>constants</w:t>
            </w:r>
            <w:r w:rsidR="00134D97" w:rsidRPr="008D6870">
              <w:rPr>
                <w:sz w:val="20"/>
                <w:szCs w:val="20"/>
              </w:rPr>
              <w:t xml:space="preserve">) </w:t>
            </w:r>
          </w:p>
        </w:tc>
        <w:tc>
          <w:tcPr>
            <w:tcW w:w="1620" w:type="dxa"/>
            <w:tcBorders>
              <w:top w:val="dotted" w:sz="4" w:space="0" w:color="auto"/>
              <w:left w:val="single" w:sz="18" w:space="0" w:color="auto"/>
              <w:bottom w:val="dotted" w:sz="4" w:space="0" w:color="auto"/>
              <w:right w:val="single" w:sz="8" w:space="0" w:color="auto"/>
            </w:tcBorders>
            <w:vAlign w:val="center"/>
          </w:tcPr>
          <w:p w14:paraId="640A6B10" w14:textId="0EDAE3BF" w:rsidR="0039055D" w:rsidRPr="008D6870" w:rsidRDefault="004712FD" w:rsidP="00E34010">
            <w:pPr>
              <w:jc w:val="center"/>
              <w:rPr>
                <w:sz w:val="20"/>
                <w:szCs w:val="20"/>
              </w:rPr>
            </w:pPr>
            <w:r w:rsidRPr="008D6870">
              <w:rPr>
                <w:sz w:val="20"/>
                <w:szCs w:val="20"/>
              </w:rPr>
              <w:t>141</w:t>
            </w:r>
          </w:p>
        </w:tc>
        <w:tc>
          <w:tcPr>
            <w:tcW w:w="1867" w:type="dxa"/>
            <w:tcBorders>
              <w:top w:val="dotted" w:sz="4" w:space="0" w:color="auto"/>
              <w:left w:val="single" w:sz="8" w:space="0" w:color="auto"/>
              <w:bottom w:val="dotted" w:sz="4" w:space="0" w:color="auto"/>
              <w:right w:val="single" w:sz="18" w:space="0" w:color="auto"/>
            </w:tcBorders>
            <w:vAlign w:val="center"/>
          </w:tcPr>
          <w:p w14:paraId="7EBA2817" w14:textId="7B74DA73" w:rsidR="0039055D" w:rsidRPr="008D6870" w:rsidRDefault="004712FD" w:rsidP="00E34010">
            <w:pPr>
              <w:jc w:val="center"/>
              <w:rPr>
                <w:sz w:val="20"/>
                <w:szCs w:val="20"/>
              </w:rPr>
            </w:pPr>
            <w:r w:rsidRPr="008D6870">
              <w:rPr>
                <w:sz w:val="20"/>
                <w:szCs w:val="20"/>
              </w:rPr>
              <w:t>117</w:t>
            </w:r>
          </w:p>
        </w:tc>
      </w:tr>
      <w:tr w:rsidR="00A658F7" w:rsidRPr="00E01E15" w14:paraId="545FB6A4" w14:textId="77777777" w:rsidTr="00563D5E">
        <w:trPr>
          <w:trHeight w:hRule="exact" w:val="288"/>
        </w:trPr>
        <w:tc>
          <w:tcPr>
            <w:tcW w:w="5827" w:type="dxa"/>
            <w:tcBorders>
              <w:top w:val="dotted" w:sz="4" w:space="0" w:color="auto"/>
              <w:left w:val="single" w:sz="18" w:space="0" w:color="auto"/>
              <w:bottom w:val="dotted" w:sz="4" w:space="0" w:color="auto"/>
              <w:right w:val="single" w:sz="18" w:space="0" w:color="auto"/>
            </w:tcBorders>
            <w:vAlign w:val="center"/>
          </w:tcPr>
          <w:p w14:paraId="2DC7B13F" w14:textId="3674918E" w:rsidR="00A658F7" w:rsidRPr="008D6870" w:rsidRDefault="00A658F7" w:rsidP="00E34010">
            <w:pPr>
              <w:tabs>
                <w:tab w:val="decimal" w:pos="360"/>
              </w:tabs>
              <w:rPr>
                <w:sz w:val="20"/>
                <w:szCs w:val="20"/>
              </w:rPr>
            </w:pPr>
            <w:r w:rsidRPr="008D6870">
              <w:rPr>
                <w:sz w:val="20"/>
                <w:szCs w:val="20"/>
              </w:rPr>
              <w:t>Adjusted Likelihood Ratio Index</w:t>
            </w:r>
            <w:r w:rsidR="00E34010">
              <w:rPr>
                <w:sz w:val="20"/>
                <w:szCs w:val="20"/>
              </w:rPr>
              <w:t xml:space="preserve"> </w:t>
            </w:r>
            <w:r w:rsidRPr="008D6870">
              <w:rPr>
                <w:sz w:val="20"/>
                <w:szCs w:val="20"/>
              </w:rPr>
              <w:t>(relative to constants-only model)</w:t>
            </w:r>
          </w:p>
        </w:tc>
        <w:tc>
          <w:tcPr>
            <w:tcW w:w="1620" w:type="dxa"/>
            <w:tcBorders>
              <w:top w:val="dotted" w:sz="4" w:space="0" w:color="auto"/>
              <w:left w:val="single" w:sz="18" w:space="0" w:color="auto"/>
              <w:bottom w:val="dotted" w:sz="4" w:space="0" w:color="auto"/>
              <w:right w:val="single" w:sz="8" w:space="0" w:color="auto"/>
            </w:tcBorders>
            <w:vAlign w:val="center"/>
          </w:tcPr>
          <w:p w14:paraId="60E78C43" w14:textId="4272AB95" w:rsidR="00A658F7" w:rsidRPr="008D6870" w:rsidRDefault="0037444C" w:rsidP="00E34010">
            <w:pPr>
              <w:jc w:val="center"/>
              <w:rPr>
                <w:sz w:val="20"/>
                <w:szCs w:val="20"/>
              </w:rPr>
            </w:pPr>
            <w:r w:rsidRPr="008D6870">
              <w:rPr>
                <w:sz w:val="20"/>
                <w:szCs w:val="20"/>
              </w:rPr>
              <w:t>0.149</w:t>
            </w:r>
          </w:p>
        </w:tc>
        <w:tc>
          <w:tcPr>
            <w:tcW w:w="1867" w:type="dxa"/>
            <w:tcBorders>
              <w:top w:val="dotted" w:sz="4" w:space="0" w:color="auto"/>
              <w:left w:val="single" w:sz="8" w:space="0" w:color="auto"/>
              <w:bottom w:val="dotted" w:sz="4" w:space="0" w:color="auto"/>
              <w:right w:val="single" w:sz="18" w:space="0" w:color="auto"/>
            </w:tcBorders>
            <w:vAlign w:val="center"/>
          </w:tcPr>
          <w:p w14:paraId="2DFCC008" w14:textId="45BA3063" w:rsidR="00A658F7" w:rsidRPr="008D6870" w:rsidRDefault="0021545E" w:rsidP="00E34010">
            <w:pPr>
              <w:jc w:val="center"/>
              <w:rPr>
                <w:sz w:val="20"/>
                <w:szCs w:val="20"/>
              </w:rPr>
            </w:pPr>
            <w:r w:rsidRPr="008D6870">
              <w:rPr>
                <w:sz w:val="20"/>
                <w:szCs w:val="20"/>
              </w:rPr>
              <w:t>0.070</w:t>
            </w:r>
          </w:p>
        </w:tc>
      </w:tr>
      <w:tr w:rsidR="00A658F7" w:rsidRPr="00E01E15" w14:paraId="49F8E185" w14:textId="77777777" w:rsidTr="00563D5E">
        <w:trPr>
          <w:trHeight w:hRule="exact" w:val="288"/>
        </w:trPr>
        <w:tc>
          <w:tcPr>
            <w:tcW w:w="5827" w:type="dxa"/>
            <w:tcBorders>
              <w:top w:val="dotted" w:sz="4" w:space="0" w:color="auto"/>
              <w:left w:val="single" w:sz="18" w:space="0" w:color="auto"/>
              <w:bottom w:val="dotted" w:sz="4" w:space="0" w:color="auto"/>
              <w:right w:val="single" w:sz="18" w:space="0" w:color="auto"/>
            </w:tcBorders>
            <w:vAlign w:val="center"/>
          </w:tcPr>
          <w:p w14:paraId="76EE9335" w14:textId="20A129FC" w:rsidR="00A658F7" w:rsidRPr="008D6870" w:rsidRDefault="000C2F78" w:rsidP="00E34010">
            <w:pPr>
              <w:tabs>
                <w:tab w:val="decimal" w:pos="360"/>
              </w:tabs>
              <w:rPr>
                <w:sz w:val="20"/>
                <w:szCs w:val="20"/>
              </w:rPr>
            </w:pPr>
            <w:r w:rsidRPr="008D6870">
              <w:rPr>
                <w:sz w:val="20"/>
                <w:szCs w:val="20"/>
              </w:rPr>
              <w:t>Adjusted Likelihood Ratio Index (relative to equal-probability model)</w:t>
            </w:r>
          </w:p>
        </w:tc>
        <w:tc>
          <w:tcPr>
            <w:tcW w:w="1620" w:type="dxa"/>
            <w:tcBorders>
              <w:top w:val="dotted" w:sz="4" w:space="0" w:color="auto"/>
              <w:left w:val="single" w:sz="18" w:space="0" w:color="auto"/>
              <w:bottom w:val="dotted" w:sz="4" w:space="0" w:color="auto"/>
              <w:right w:val="single" w:sz="8" w:space="0" w:color="auto"/>
            </w:tcBorders>
            <w:vAlign w:val="center"/>
          </w:tcPr>
          <w:p w14:paraId="39924C18" w14:textId="7D11AD1C" w:rsidR="00A658F7" w:rsidRPr="008D6870" w:rsidRDefault="009701EF" w:rsidP="00E34010">
            <w:pPr>
              <w:jc w:val="center"/>
              <w:rPr>
                <w:sz w:val="20"/>
                <w:szCs w:val="20"/>
              </w:rPr>
            </w:pPr>
            <w:r w:rsidRPr="008D6870">
              <w:rPr>
                <w:sz w:val="20"/>
                <w:szCs w:val="20"/>
              </w:rPr>
              <w:t>0.445</w:t>
            </w:r>
          </w:p>
        </w:tc>
        <w:tc>
          <w:tcPr>
            <w:tcW w:w="1867" w:type="dxa"/>
            <w:tcBorders>
              <w:top w:val="dotted" w:sz="4" w:space="0" w:color="auto"/>
              <w:left w:val="single" w:sz="8" w:space="0" w:color="auto"/>
              <w:bottom w:val="dotted" w:sz="4" w:space="0" w:color="auto"/>
              <w:right w:val="single" w:sz="18" w:space="0" w:color="auto"/>
            </w:tcBorders>
            <w:vAlign w:val="center"/>
          </w:tcPr>
          <w:p w14:paraId="3C7E07AA" w14:textId="4763DB8C" w:rsidR="00A658F7" w:rsidRPr="008D6870" w:rsidRDefault="009701EF" w:rsidP="00E34010">
            <w:pPr>
              <w:jc w:val="center"/>
              <w:rPr>
                <w:sz w:val="20"/>
                <w:szCs w:val="20"/>
              </w:rPr>
            </w:pPr>
            <w:r w:rsidRPr="008D6870">
              <w:rPr>
                <w:sz w:val="20"/>
                <w:szCs w:val="20"/>
              </w:rPr>
              <w:t>0.393</w:t>
            </w:r>
          </w:p>
        </w:tc>
      </w:tr>
      <w:tr w:rsidR="00A658F7" w:rsidRPr="00E01E15" w14:paraId="20326800" w14:textId="77777777" w:rsidTr="00563D5E">
        <w:trPr>
          <w:trHeight w:hRule="exact" w:val="288"/>
        </w:trPr>
        <w:tc>
          <w:tcPr>
            <w:tcW w:w="5827" w:type="dxa"/>
            <w:tcBorders>
              <w:top w:val="dotted" w:sz="4" w:space="0" w:color="auto"/>
              <w:left w:val="single" w:sz="18" w:space="0" w:color="auto"/>
              <w:bottom w:val="dotted" w:sz="4" w:space="0" w:color="auto"/>
              <w:right w:val="single" w:sz="18" w:space="0" w:color="auto"/>
            </w:tcBorders>
          </w:tcPr>
          <w:p w14:paraId="6BF08035" w14:textId="75FCA30D" w:rsidR="00A658F7" w:rsidRPr="008D6870" w:rsidRDefault="000C2F78" w:rsidP="00E34010">
            <w:pPr>
              <w:tabs>
                <w:tab w:val="decimal" w:pos="360"/>
              </w:tabs>
              <w:rPr>
                <w:sz w:val="20"/>
                <w:szCs w:val="20"/>
              </w:rPr>
            </w:pPr>
            <w:r w:rsidRPr="008D6870">
              <w:rPr>
                <w:sz w:val="20"/>
                <w:szCs w:val="20"/>
              </w:rPr>
              <w:t>Bayesian Information Criterion</w:t>
            </w:r>
          </w:p>
        </w:tc>
        <w:tc>
          <w:tcPr>
            <w:tcW w:w="1620" w:type="dxa"/>
            <w:tcBorders>
              <w:top w:val="dotted" w:sz="4" w:space="0" w:color="auto"/>
              <w:left w:val="single" w:sz="18" w:space="0" w:color="auto"/>
              <w:bottom w:val="dotted" w:sz="4" w:space="0" w:color="auto"/>
              <w:right w:val="single" w:sz="8" w:space="0" w:color="auto"/>
            </w:tcBorders>
          </w:tcPr>
          <w:p w14:paraId="047369BE" w14:textId="3140307A" w:rsidR="00A658F7" w:rsidRPr="008D6870" w:rsidRDefault="00A22645" w:rsidP="00E34010">
            <w:pPr>
              <w:tabs>
                <w:tab w:val="decimal" w:pos="864"/>
              </w:tabs>
              <w:rPr>
                <w:sz w:val="20"/>
                <w:szCs w:val="20"/>
              </w:rPr>
            </w:pPr>
            <w:r w:rsidRPr="008D6870">
              <w:rPr>
                <w:sz w:val="20"/>
                <w:szCs w:val="20"/>
              </w:rPr>
              <w:t>15312.65</w:t>
            </w:r>
          </w:p>
        </w:tc>
        <w:tc>
          <w:tcPr>
            <w:tcW w:w="1867" w:type="dxa"/>
            <w:tcBorders>
              <w:top w:val="dotted" w:sz="4" w:space="0" w:color="auto"/>
              <w:left w:val="single" w:sz="8" w:space="0" w:color="auto"/>
              <w:bottom w:val="dotted" w:sz="4" w:space="0" w:color="auto"/>
              <w:right w:val="single" w:sz="18" w:space="0" w:color="auto"/>
            </w:tcBorders>
          </w:tcPr>
          <w:p w14:paraId="5AAC547F" w14:textId="5FB7AA3B" w:rsidR="00A658F7" w:rsidRPr="008D6870" w:rsidRDefault="006F72EC" w:rsidP="006B433D">
            <w:pPr>
              <w:tabs>
                <w:tab w:val="decimal" w:pos="1008"/>
              </w:tabs>
              <w:rPr>
                <w:sz w:val="20"/>
                <w:szCs w:val="20"/>
              </w:rPr>
            </w:pPr>
            <w:r w:rsidRPr="008D6870">
              <w:rPr>
                <w:sz w:val="20"/>
                <w:szCs w:val="20"/>
              </w:rPr>
              <w:t>16473.35</w:t>
            </w:r>
          </w:p>
        </w:tc>
      </w:tr>
      <w:tr w:rsidR="0031182F" w:rsidRPr="00E01E15" w14:paraId="0FB7DCD7" w14:textId="77777777" w:rsidTr="00563D5E">
        <w:trPr>
          <w:trHeight w:hRule="exact" w:val="325"/>
        </w:trPr>
        <w:tc>
          <w:tcPr>
            <w:tcW w:w="5827" w:type="dxa"/>
            <w:tcBorders>
              <w:top w:val="dotted" w:sz="4" w:space="0" w:color="auto"/>
              <w:left w:val="single" w:sz="18" w:space="0" w:color="auto"/>
              <w:bottom w:val="single" w:sz="18" w:space="0" w:color="auto"/>
              <w:right w:val="single" w:sz="18" w:space="0" w:color="auto"/>
            </w:tcBorders>
          </w:tcPr>
          <w:p w14:paraId="48CC9600" w14:textId="16096B89" w:rsidR="0031182F" w:rsidRPr="008D6870" w:rsidRDefault="0031182F" w:rsidP="00E34010">
            <w:pPr>
              <w:tabs>
                <w:tab w:val="decimal" w:pos="360"/>
              </w:tabs>
              <w:rPr>
                <w:sz w:val="20"/>
                <w:szCs w:val="20"/>
              </w:rPr>
            </w:pPr>
            <w:r w:rsidRPr="008D6870">
              <w:rPr>
                <w:sz w:val="20"/>
                <w:szCs w:val="20"/>
              </w:rPr>
              <w:t>Likelihood Ratio Test</w:t>
            </w:r>
          </w:p>
        </w:tc>
        <w:tc>
          <w:tcPr>
            <w:tcW w:w="3487" w:type="dxa"/>
            <w:gridSpan w:val="2"/>
            <w:tcBorders>
              <w:top w:val="dotted" w:sz="4" w:space="0" w:color="auto"/>
              <w:left w:val="single" w:sz="18" w:space="0" w:color="auto"/>
              <w:bottom w:val="single" w:sz="18" w:space="0" w:color="auto"/>
              <w:right w:val="single" w:sz="18" w:space="0" w:color="auto"/>
            </w:tcBorders>
          </w:tcPr>
          <w:p w14:paraId="74EEFEF4" w14:textId="31E08BD1" w:rsidR="0031182F" w:rsidRPr="008D6870" w:rsidRDefault="00F802F2" w:rsidP="00F802F2">
            <w:pPr>
              <w:tabs>
                <w:tab w:val="center" w:pos="1640"/>
                <w:tab w:val="right" w:pos="3280"/>
              </w:tabs>
              <w:rPr>
                <w:sz w:val="20"/>
                <w:szCs w:val="20"/>
              </w:rPr>
            </w:pPr>
            <w:r>
              <w:rPr>
                <w:sz w:val="20"/>
                <w:szCs w:val="20"/>
              </w:rPr>
              <w:tab/>
            </w:r>
            <w:r w:rsidRPr="00F802F2">
              <w:rPr>
                <w:position w:val="-12"/>
                <w:sz w:val="20"/>
                <w:szCs w:val="20"/>
              </w:rPr>
              <w:object w:dxaOrig="2220" w:dyaOrig="340" w14:anchorId="2A266DB0">
                <v:shape id="_x0000_i1079" type="#_x0000_t75" style="width:110.25pt;height:17.25pt" o:ole="">
                  <v:imagedata r:id="rId121" o:title=""/>
                </v:shape>
                <o:OLEObject Type="Embed" ProgID="Equation.DSMT4" ShapeID="_x0000_i1079" DrawAspect="Content" ObjectID="_1851766652" r:id="rId122"/>
              </w:object>
            </w:r>
          </w:p>
        </w:tc>
      </w:tr>
    </w:tbl>
    <w:p w14:paraId="708C1AF8" w14:textId="77777777" w:rsidR="00B9201B" w:rsidRDefault="00B9201B" w:rsidP="00B9201B">
      <w:pPr>
        <w:rPr>
          <w:b/>
          <w:bCs/>
          <w:sz w:val="24"/>
          <w:szCs w:val="24"/>
        </w:rPr>
      </w:pPr>
    </w:p>
    <w:p w14:paraId="5F9C6BBB" w14:textId="596771F8" w:rsidR="002C4F24" w:rsidRDefault="00137CEB" w:rsidP="00B9201B">
      <w:pPr>
        <w:rPr>
          <w:b/>
          <w:bCs/>
          <w:sz w:val="24"/>
          <w:szCs w:val="24"/>
        </w:rPr>
      </w:pPr>
      <w:r w:rsidRPr="00390142">
        <w:rPr>
          <w:b/>
          <w:bCs/>
          <w:sz w:val="24"/>
          <w:szCs w:val="24"/>
        </w:rPr>
        <w:t>4.5 Average Treatment Effects</w:t>
      </w:r>
      <w:r w:rsidR="002F283D">
        <w:rPr>
          <w:b/>
          <w:bCs/>
          <w:sz w:val="24"/>
          <w:szCs w:val="24"/>
        </w:rPr>
        <w:t xml:space="preserve"> (ATEs)</w:t>
      </w:r>
    </w:p>
    <w:p w14:paraId="3D4C29A5" w14:textId="5A23EF9D" w:rsidR="00F7220D" w:rsidRDefault="00165136" w:rsidP="00B9201B">
      <w:pPr>
        <w:pStyle w:val="NormalWeb"/>
        <w:spacing w:before="0" w:beforeAutospacing="0" w:after="0" w:afterAutospacing="0"/>
        <w:jc w:val="both"/>
        <w:rPr>
          <w:color w:val="000000"/>
        </w:rPr>
      </w:pPr>
      <w:r w:rsidRPr="00165136">
        <w:rPr>
          <w:color w:val="000000"/>
        </w:rPr>
        <w:t>The coefficients in Table 3 indicate the direction of the effects on the underlying latent propensities, but they do not directly convey the magnitude of those effects on the probability of being an NRAT or of identifying a particular barrier</w:t>
      </w:r>
      <w:r w:rsidR="00F7220D" w:rsidRPr="00165136">
        <w:rPr>
          <w:color w:val="000000"/>
        </w:rPr>
        <w:t>. To provide such an intuitive interpretation, Table 5 presents ATEs, computed as the percentage change in the proportion of individuals experiencing a given outcome when</w:t>
      </w:r>
      <w:r w:rsidR="00F7220D" w:rsidRPr="00F7220D">
        <w:rPr>
          <w:color w:val="000000"/>
        </w:rPr>
        <w:t xml:space="preserve"> a single exogenous variable is shifted from a baseline level to a treatment level, with all other variables held at their observed sample values.</w:t>
      </w:r>
    </w:p>
    <w:p w14:paraId="09D25164" w14:textId="6C14011D" w:rsidR="00B71B4F" w:rsidRPr="003F7BAD" w:rsidRDefault="00E518F6" w:rsidP="00324812">
      <w:pPr>
        <w:pStyle w:val="NormalWeb"/>
        <w:spacing w:before="0" w:beforeAutospacing="0" w:after="0" w:afterAutospacing="0"/>
        <w:jc w:val="both"/>
        <w:rPr>
          <w:color w:val="000000"/>
        </w:rPr>
        <w:sectPr w:rsidR="00B71B4F" w:rsidRPr="003F7BAD" w:rsidSect="00B9201B">
          <w:pgSz w:w="12240" w:h="15840" w:code="1"/>
          <w:pgMar w:top="1440" w:right="1440" w:bottom="1440" w:left="1440" w:header="720" w:footer="720" w:gutter="0"/>
          <w:cols w:space="720"/>
          <w:docGrid w:linePitch="360"/>
        </w:sectPr>
      </w:pPr>
      <w:r>
        <w:rPr>
          <w:color w:val="000000"/>
        </w:rPr>
        <w:tab/>
      </w:r>
    </w:p>
    <w:p w14:paraId="59E38CC9" w14:textId="39EE5C84" w:rsidR="00782B9B" w:rsidRDefault="00FC1FB2" w:rsidP="00704A82">
      <w:pPr>
        <w:pStyle w:val="FootnoteText"/>
        <w:rPr>
          <w:b/>
          <w:bCs/>
          <w:sz w:val="24"/>
          <w:szCs w:val="24"/>
        </w:rPr>
      </w:pPr>
      <w:r w:rsidRPr="00824BDE">
        <w:rPr>
          <w:b/>
          <w:bCs/>
          <w:sz w:val="24"/>
          <w:szCs w:val="24"/>
        </w:rPr>
        <w:lastRenderedPageBreak/>
        <w:t xml:space="preserve">Table </w:t>
      </w:r>
      <w:r w:rsidR="00EB5B1C" w:rsidRPr="00824BDE">
        <w:rPr>
          <w:b/>
          <w:bCs/>
          <w:sz w:val="24"/>
          <w:szCs w:val="24"/>
        </w:rPr>
        <w:t>5</w:t>
      </w:r>
      <w:r w:rsidRPr="00824BDE">
        <w:rPr>
          <w:b/>
          <w:bCs/>
          <w:sz w:val="24"/>
          <w:szCs w:val="24"/>
        </w:rPr>
        <w:t>. Average Treatment Effects (ATEs) of Exogenous Variables</w:t>
      </w:r>
    </w:p>
    <w:tbl>
      <w:tblPr>
        <w:tblW w:w="5000" w:type="pct"/>
        <w:tblBorders>
          <w:top w:val="single" w:sz="18" w:space="0" w:color="auto"/>
          <w:left w:val="single" w:sz="18" w:space="0" w:color="auto"/>
          <w:bottom w:val="single" w:sz="18" w:space="0" w:color="auto"/>
          <w:right w:val="single" w:sz="18" w:space="0" w:color="auto"/>
          <w:insideH w:val="dotted" w:sz="4" w:space="0" w:color="auto"/>
          <w:insideV w:val="dotted" w:sz="4" w:space="0" w:color="auto"/>
        </w:tblBorders>
        <w:tblLayout w:type="fixed"/>
        <w:tblCellMar>
          <w:left w:w="29" w:type="dxa"/>
          <w:right w:w="10" w:type="dxa"/>
        </w:tblCellMar>
        <w:tblLook w:val="04A0" w:firstRow="1" w:lastRow="0" w:firstColumn="1" w:lastColumn="0" w:noHBand="0" w:noVBand="1"/>
      </w:tblPr>
      <w:tblGrid>
        <w:gridCol w:w="1529"/>
        <w:gridCol w:w="1529"/>
        <w:gridCol w:w="1529"/>
        <w:gridCol w:w="1046"/>
        <w:gridCol w:w="1046"/>
        <w:gridCol w:w="1046"/>
        <w:gridCol w:w="1046"/>
        <w:gridCol w:w="1046"/>
        <w:gridCol w:w="1046"/>
        <w:gridCol w:w="1046"/>
        <w:gridCol w:w="1005"/>
      </w:tblGrid>
      <w:tr w:rsidR="00035C45" w:rsidRPr="0031252B" w14:paraId="5877D29D" w14:textId="77777777" w:rsidTr="00313300">
        <w:trPr>
          <w:trHeight w:val="187"/>
          <w:tblHeader/>
        </w:trPr>
        <w:tc>
          <w:tcPr>
            <w:tcW w:w="592" w:type="pct"/>
            <w:vMerge w:val="restart"/>
            <w:tcBorders>
              <w:right w:val="single" w:sz="18" w:space="0" w:color="auto"/>
            </w:tcBorders>
            <w:tcMar>
              <w:top w:w="8" w:type="dxa"/>
              <w:left w:w="28" w:type="dxa"/>
              <w:bottom w:w="8" w:type="dxa"/>
              <w:right w:w="28" w:type="dxa"/>
            </w:tcMar>
            <w:vAlign w:val="center"/>
          </w:tcPr>
          <w:p w14:paraId="41F513E7" w14:textId="1E1AA493" w:rsidR="00035C45" w:rsidRPr="0031252B" w:rsidRDefault="00035C45" w:rsidP="00035C45">
            <w:pPr>
              <w:spacing w:line="200" w:lineRule="auto"/>
              <w:rPr>
                <w:sz w:val="20"/>
                <w:szCs w:val="20"/>
              </w:rPr>
            </w:pPr>
            <w:r w:rsidRPr="008D6870">
              <w:rPr>
                <w:b/>
                <w:bCs/>
                <w:sz w:val="20"/>
                <w:szCs w:val="20"/>
              </w:rPr>
              <w:t>Variable</w:t>
            </w:r>
          </w:p>
        </w:tc>
        <w:tc>
          <w:tcPr>
            <w:tcW w:w="592" w:type="pct"/>
            <w:vMerge w:val="restart"/>
            <w:tcBorders>
              <w:right w:val="single" w:sz="18" w:space="0" w:color="auto"/>
            </w:tcBorders>
            <w:vAlign w:val="center"/>
          </w:tcPr>
          <w:p w14:paraId="720961AD" w14:textId="7F285C36" w:rsidR="00035C45" w:rsidRPr="0031252B" w:rsidRDefault="00035C45" w:rsidP="00035C45">
            <w:pPr>
              <w:spacing w:line="200" w:lineRule="auto"/>
              <w:rPr>
                <w:sz w:val="20"/>
                <w:szCs w:val="20"/>
              </w:rPr>
            </w:pPr>
            <w:r w:rsidRPr="008D6870">
              <w:rPr>
                <w:b/>
                <w:bCs/>
                <w:sz w:val="20"/>
                <w:szCs w:val="20"/>
              </w:rPr>
              <w:t>Base</w:t>
            </w:r>
          </w:p>
        </w:tc>
        <w:tc>
          <w:tcPr>
            <w:tcW w:w="592" w:type="pct"/>
            <w:vMerge w:val="restart"/>
            <w:tcBorders>
              <w:right w:val="single" w:sz="18" w:space="0" w:color="auto"/>
            </w:tcBorders>
            <w:vAlign w:val="center"/>
          </w:tcPr>
          <w:p w14:paraId="03AE2112" w14:textId="4A668864" w:rsidR="00035C45" w:rsidRPr="0031252B" w:rsidRDefault="00035C45" w:rsidP="00035C45">
            <w:pPr>
              <w:spacing w:line="200" w:lineRule="auto"/>
              <w:rPr>
                <w:sz w:val="20"/>
                <w:szCs w:val="20"/>
              </w:rPr>
            </w:pPr>
            <w:r w:rsidRPr="008D6870">
              <w:rPr>
                <w:b/>
                <w:bCs/>
                <w:sz w:val="20"/>
                <w:szCs w:val="20"/>
              </w:rPr>
              <w:t>Treatment</w:t>
            </w:r>
          </w:p>
        </w:tc>
        <w:tc>
          <w:tcPr>
            <w:tcW w:w="405" w:type="pct"/>
            <w:vMerge w:val="restart"/>
            <w:tcBorders>
              <w:left w:val="single" w:sz="18" w:space="0" w:color="auto"/>
              <w:right w:val="single" w:sz="18" w:space="0" w:color="auto"/>
            </w:tcBorders>
            <w:tcMar>
              <w:top w:w="8" w:type="dxa"/>
              <w:left w:w="28" w:type="dxa"/>
              <w:bottom w:w="8" w:type="dxa"/>
              <w:right w:w="28" w:type="dxa"/>
            </w:tcMar>
            <w:vAlign w:val="center"/>
          </w:tcPr>
          <w:p w14:paraId="4A376317" w14:textId="77777777" w:rsidR="00035C45" w:rsidRPr="0031252B" w:rsidRDefault="00035C45" w:rsidP="00035C45">
            <w:pPr>
              <w:spacing w:line="200" w:lineRule="auto"/>
              <w:jc w:val="center"/>
              <w:rPr>
                <w:sz w:val="20"/>
                <w:szCs w:val="20"/>
              </w:rPr>
            </w:pPr>
            <w:r w:rsidRPr="0031252B">
              <w:rPr>
                <w:b/>
                <w:bCs/>
                <w:sz w:val="20"/>
                <w:szCs w:val="20"/>
              </w:rPr>
              <w:t>NRAT</w:t>
            </w:r>
          </w:p>
        </w:tc>
        <w:tc>
          <w:tcPr>
            <w:tcW w:w="810" w:type="pct"/>
            <w:gridSpan w:val="2"/>
            <w:tcBorders>
              <w:left w:val="single" w:sz="18" w:space="0" w:color="auto"/>
              <w:bottom w:val="single" w:sz="8" w:space="0" w:color="auto"/>
              <w:right w:val="single" w:sz="18" w:space="0" w:color="auto"/>
            </w:tcBorders>
            <w:tcMar>
              <w:top w:w="8" w:type="dxa"/>
              <w:left w:w="28" w:type="dxa"/>
              <w:bottom w:w="8" w:type="dxa"/>
              <w:right w:w="28" w:type="dxa"/>
            </w:tcMar>
            <w:vAlign w:val="center"/>
          </w:tcPr>
          <w:p w14:paraId="49E141FF" w14:textId="77777777" w:rsidR="00035C45" w:rsidRPr="0031252B" w:rsidRDefault="00035C45" w:rsidP="00035C45">
            <w:pPr>
              <w:spacing w:line="200" w:lineRule="auto"/>
              <w:jc w:val="center"/>
              <w:rPr>
                <w:sz w:val="20"/>
                <w:szCs w:val="20"/>
              </w:rPr>
            </w:pPr>
            <w:r w:rsidRPr="0031252B">
              <w:rPr>
                <w:b/>
                <w:bCs/>
                <w:sz w:val="20"/>
                <w:szCs w:val="20"/>
              </w:rPr>
              <w:t>Infrastructural deficiencies in active travel networks</w:t>
            </w:r>
          </w:p>
        </w:tc>
        <w:tc>
          <w:tcPr>
            <w:tcW w:w="810" w:type="pct"/>
            <w:gridSpan w:val="2"/>
            <w:tcBorders>
              <w:left w:val="single" w:sz="18" w:space="0" w:color="auto"/>
              <w:bottom w:val="single" w:sz="8" w:space="0" w:color="auto"/>
              <w:right w:val="single" w:sz="18" w:space="0" w:color="auto"/>
            </w:tcBorders>
            <w:tcMar>
              <w:top w:w="8" w:type="dxa"/>
              <w:left w:w="28" w:type="dxa"/>
              <w:bottom w:w="8" w:type="dxa"/>
              <w:right w:w="28" w:type="dxa"/>
            </w:tcMar>
            <w:vAlign w:val="center"/>
          </w:tcPr>
          <w:p w14:paraId="61ADA8E7" w14:textId="77777777" w:rsidR="00035C45" w:rsidRPr="0031252B" w:rsidRDefault="00035C45" w:rsidP="00035C45">
            <w:pPr>
              <w:spacing w:line="200" w:lineRule="auto"/>
              <w:jc w:val="center"/>
              <w:rPr>
                <w:sz w:val="20"/>
                <w:szCs w:val="20"/>
              </w:rPr>
            </w:pPr>
            <w:r w:rsidRPr="0031252B">
              <w:rPr>
                <w:b/>
                <w:bCs/>
                <w:sz w:val="20"/>
                <w:szCs w:val="20"/>
              </w:rPr>
              <w:t>Traffic-safety concerns</w:t>
            </w:r>
          </w:p>
        </w:tc>
        <w:tc>
          <w:tcPr>
            <w:tcW w:w="405" w:type="pct"/>
            <w:tcBorders>
              <w:left w:val="single" w:sz="18" w:space="0" w:color="auto"/>
              <w:bottom w:val="single" w:sz="8" w:space="0" w:color="auto"/>
              <w:right w:val="single" w:sz="18" w:space="0" w:color="auto"/>
            </w:tcBorders>
            <w:tcMar>
              <w:top w:w="8" w:type="dxa"/>
              <w:left w:w="28" w:type="dxa"/>
              <w:bottom w:w="8" w:type="dxa"/>
              <w:right w:w="28" w:type="dxa"/>
            </w:tcMar>
            <w:vAlign w:val="center"/>
          </w:tcPr>
          <w:p w14:paraId="5E359AE1" w14:textId="77777777" w:rsidR="00035C45" w:rsidRPr="0031252B" w:rsidRDefault="00035C45" w:rsidP="00035C45">
            <w:pPr>
              <w:spacing w:line="200" w:lineRule="auto"/>
              <w:jc w:val="center"/>
              <w:rPr>
                <w:sz w:val="20"/>
                <w:szCs w:val="20"/>
              </w:rPr>
            </w:pPr>
            <w:r w:rsidRPr="0031252B">
              <w:rPr>
                <w:b/>
                <w:bCs/>
                <w:sz w:val="20"/>
                <w:szCs w:val="20"/>
              </w:rPr>
              <w:t>Personal-security concerns</w:t>
            </w:r>
          </w:p>
        </w:tc>
        <w:tc>
          <w:tcPr>
            <w:tcW w:w="794" w:type="pct"/>
            <w:gridSpan w:val="2"/>
            <w:tcBorders>
              <w:left w:val="single" w:sz="18" w:space="0" w:color="auto"/>
              <w:bottom w:val="single" w:sz="8" w:space="0" w:color="auto"/>
            </w:tcBorders>
            <w:tcMar>
              <w:top w:w="8" w:type="dxa"/>
              <w:left w:w="28" w:type="dxa"/>
              <w:bottom w:w="8" w:type="dxa"/>
              <w:right w:w="28" w:type="dxa"/>
            </w:tcMar>
            <w:vAlign w:val="center"/>
          </w:tcPr>
          <w:p w14:paraId="49839855" w14:textId="77777777" w:rsidR="00035C45" w:rsidRPr="0031252B" w:rsidRDefault="00035C45" w:rsidP="00035C45">
            <w:pPr>
              <w:spacing w:line="200" w:lineRule="auto"/>
              <w:jc w:val="center"/>
              <w:rPr>
                <w:sz w:val="20"/>
                <w:szCs w:val="20"/>
              </w:rPr>
            </w:pPr>
            <w:r w:rsidRPr="0031252B">
              <w:rPr>
                <w:b/>
                <w:bCs/>
                <w:sz w:val="20"/>
                <w:szCs w:val="20"/>
              </w:rPr>
              <w:t>Practical and situational constraints</w:t>
            </w:r>
          </w:p>
        </w:tc>
      </w:tr>
      <w:tr w:rsidR="00035C45" w:rsidRPr="0031252B" w14:paraId="1AADD0A1" w14:textId="77777777" w:rsidTr="00313300">
        <w:trPr>
          <w:trHeight w:val="828"/>
          <w:tblHeader/>
        </w:trPr>
        <w:tc>
          <w:tcPr>
            <w:tcW w:w="592" w:type="pct"/>
            <w:vMerge/>
            <w:tcBorders>
              <w:right w:val="single" w:sz="18" w:space="0" w:color="auto"/>
            </w:tcBorders>
            <w:tcMar>
              <w:top w:w="8" w:type="dxa"/>
              <w:left w:w="28" w:type="dxa"/>
              <w:bottom w:w="8" w:type="dxa"/>
              <w:right w:w="28" w:type="dxa"/>
            </w:tcMar>
            <w:vAlign w:val="center"/>
          </w:tcPr>
          <w:p w14:paraId="6D1612A4" w14:textId="77777777" w:rsidR="00035C45" w:rsidRPr="0031252B" w:rsidRDefault="00035C45" w:rsidP="00E568AB">
            <w:pPr>
              <w:spacing w:line="200" w:lineRule="auto"/>
              <w:rPr>
                <w:sz w:val="20"/>
                <w:szCs w:val="20"/>
              </w:rPr>
            </w:pPr>
          </w:p>
        </w:tc>
        <w:tc>
          <w:tcPr>
            <w:tcW w:w="592" w:type="pct"/>
            <w:vMerge/>
            <w:tcBorders>
              <w:right w:val="single" w:sz="18" w:space="0" w:color="auto"/>
            </w:tcBorders>
            <w:vAlign w:val="center"/>
          </w:tcPr>
          <w:p w14:paraId="02D601B0" w14:textId="77777777" w:rsidR="00035C45" w:rsidRPr="0031252B" w:rsidRDefault="00035C45" w:rsidP="00E568AB">
            <w:pPr>
              <w:spacing w:line="200" w:lineRule="auto"/>
              <w:rPr>
                <w:sz w:val="20"/>
                <w:szCs w:val="20"/>
              </w:rPr>
            </w:pPr>
          </w:p>
        </w:tc>
        <w:tc>
          <w:tcPr>
            <w:tcW w:w="592" w:type="pct"/>
            <w:vMerge/>
            <w:tcBorders>
              <w:right w:val="single" w:sz="18" w:space="0" w:color="auto"/>
            </w:tcBorders>
            <w:vAlign w:val="center"/>
          </w:tcPr>
          <w:p w14:paraId="07D7B3CB" w14:textId="2656DAD6" w:rsidR="00035C45" w:rsidRPr="0031252B" w:rsidRDefault="00035C45" w:rsidP="00E568AB">
            <w:pPr>
              <w:spacing w:line="200" w:lineRule="auto"/>
              <w:rPr>
                <w:sz w:val="20"/>
                <w:szCs w:val="20"/>
              </w:rPr>
            </w:pPr>
          </w:p>
        </w:tc>
        <w:tc>
          <w:tcPr>
            <w:tcW w:w="405" w:type="pct"/>
            <w:vMerge/>
            <w:tcBorders>
              <w:left w:val="single" w:sz="18" w:space="0" w:color="auto"/>
              <w:right w:val="single" w:sz="18" w:space="0" w:color="auto"/>
            </w:tcBorders>
            <w:tcMar>
              <w:top w:w="8" w:type="dxa"/>
              <w:left w:w="28" w:type="dxa"/>
              <w:bottom w:w="8" w:type="dxa"/>
              <w:right w:w="28" w:type="dxa"/>
            </w:tcMar>
            <w:vAlign w:val="center"/>
          </w:tcPr>
          <w:p w14:paraId="791935A7" w14:textId="77777777" w:rsidR="00035C45" w:rsidRPr="0031252B" w:rsidRDefault="00035C45" w:rsidP="00E568AB">
            <w:pPr>
              <w:spacing w:line="200" w:lineRule="auto"/>
              <w:rPr>
                <w:sz w:val="20"/>
                <w:szCs w:val="20"/>
              </w:rPr>
            </w:pPr>
          </w:p>
        </w:tc>
        <w:tc>
          <w:tcPr>
            <w:tcW w:w="405" w:type="pct"/>
            <w:tcBorders>
              <w:top w:val="single" w:sz="8" w:space="0" w:color="auto"/>
              <w:left w:val="single" w:sz="18" w:space="0" w:color="auto"/>
              <w:right w:val="single" w:sz="8" w:space="0" w:color="auto"/>
            </w:tcBorders>
            <w:tcMar>
              <w:top w:w="8" w:type="dxa"/>
              <w:left w:w="28" w:type="dxa"/>
              <w:bottom w:w="8" w:type="dxa"/>
              <w:right w:w="28" w:type="dxa"/>
            </w:tcMar>
            <w:vAlign w:val="center"/>
          </w:tcPr>
          <w:p w14:paraId="572C4FBD" w14:textId="77777777" w:rsidR="00035C45" w:rsidRPr="0031252B" w:rsidRDefault="00035C45" w:rsidP="00E568AB">
            <w:pPr>
              <w:spacing w:line="200" w:lineRule="auto"/>
              <w:jc w:val="center"/>
              <w:rPr>
                <w:sz w:val="20"/>
                <w:szCs w:val="20"/>
              </w:rPr>
            </w:pPr>
            <w:r w:rsidRPr="00CB1BFE">
              <w:rPr>
                <w:b/>
                <w:bCs/>
                <w:sz w:val="20"/>
                <w:szCs w:val="20"/>
              </w:rPr>
              <w:t>Lack of sidewalks / bicycle lanes</w:t>
            </w:r>
          </w:p>
        </w:tc>
        <w:tc>
          <w:tcPr>
            <w:tcW w:w="405" w:type="pct"/>
            <w:tcBorders>
              <w:top w:val="single" w:sz="8" w:space="0" w:color="auto"/>
              <w:left w:val="single" w:sz="8" w:space="0" w:color="auto"/>
              <w:right w:val="single" w:sz="18" w:space="0" w:color="auto"/>
            </w:tcBorders>
            <w:tcMar>
              <w:top w:w="8" w:type="dxa"/>
              <w:left w:w="28" w:type="dxa"/>
              <w:bottom w:w="8" w:type="dxa"/>
              <w:right w:w="28" w:type="dxa"/>
            </w:tcMar>
            <w:vAlign w:val="center"/>
          </w:tcPr>
          <w:p w14:paraId="59FBDA1A" w14:textId="77777777" w:rsidR="00035C45" w:rsidRPr="0031252B" w:rsidRDefault="00035C45" w:rsidP="00E568AB">
            <w:pPr>
              <w:spacing w:line="200" w:lineRule="auto"/>
              <w:jc w:val="center"/>
              <w:rPr>
                <w:sz w:val="20"/>
                <w:szCs w:val="20"/>
              </w:rPr>
            </w:pPr>
            <w:r w:rsidRPr="0031252B">
              <w:rPr>
                <w:b/>
                <w:bCs/>
                <w:sz w:val="20"/>
                <w:szCs w:val="20"/>
              </w:rPr>
              <w:t>Insufficient lighting</w:t>
            </w:r>
          </w:p>
        </w:tc>
        <w:tc>
          <w:tcPr>
            <w:tcW w:w="405" w:type="pct"/>
            <w:tcBorders>
              <w:top w:val="single" w:sz="8" w:space="0" w:color="auto"/>
              <w:left w:val="single" w:sz="18" w:space="0" w:color="auto"/>
              <w:right w:val="single" w:sz="8" w:space="0" w:color="auto"/>
            </w:tcBorders>
            <w:tcMar>
              <w:top w:w="8" w:type="dxa"/>
              <w:left w:w="28" w:type="dxa"/>
              <w:bottom w:w="8" w:type="dxa"/>
              <w:right w:w="28" w:type="dxa"/>
            </w:tcMar>
            <w:vAlign w:val="center"/>
          </w:tcPr>
          <w:p w14:paraId="2DEB0C7C" w14:textId="77777777" w:rsidR="00035C45" w:rsidRPr="0031252B" w:rsidRDefault="00035C45" w:rsidP="00E568AB">
            <w:pPr>
              <w:spacing w:line="200" w:lineRule="auto"/>
              <w:jc w:val="center"/>
              <w:rPr>
                <w:sz w:val="20"/>
                <w:szCs w:val="20"/>
              </w:rPr>
            </w:pPr>
            <w:r w:rsidRPr="0031252B">
              <w:rPr>
                <w:b/>
                <w:bCs/>
                <w:sz w:val="20"/>
                <w:szCs w:val="20"/>
              </w:rPr>
              <w:t>Aggressive drivers</w:t>
            </w:r>
          </w:p>
        </w:tc>
        <w:tc>
          <w:tcPr>
            <w:tcW w:w="405" w:type="pct"/>
            <w:tcBorders>
              <w:top w:val="single" w:sz="8" w:space="0" w:color="auto"/>
              <w:left w:val="single" w:sz="8" w:space="0" w:color="auto"/>
              <w:right w:val="single" w:sz="18" w:space="0" w:color="auto"/>
            </w:tcBorders>
            <w:tcMar>
              <w:top w:w="8" w:type="dxa"/>
              <w:left w:w="28" w:type="dxa"/>
              <w:bottom w:w="8" w:type="dxa"/>
              <w:right w:w="28" w:type="dxa"/>
            </w:tcMar>
            <w:vAlign w:val="center"/>
          </w:tcPr>
          <w:p w14:paraId="2D4AC03F" w14:textId="77777777" w:rsidR="00035C45" w:rsidRPr="0031252B" w:rsidRDefault="00035C45" w:rsidP="00E568AB">
            <w:pPr>
              <w:spacing w:line="200" w:lineRule="auto"/>
              <w:jc w:val="center"/>
              <w:rPr>
                <w:sz w:val="20"/>
                <w:szCs w:val="20"/>
              </w:rPr>
            </w:pPr>
            <w:r w:rsidRPr="0031252B">
              <w:rPr>
                <w:b/>
                <w:bCs/>
                <w:sz w:val="20"/>
                <w:szCs w:val="20"/>
              </w:rPr>
              <w:t>Distracted drivers</w:t>
            </w:r>
          </w:p>
        </w:tc>
        <w:tc>
          <w:tcPr>
            <w:tcW w:w="405" w:type="pct"/>
            <w:tcBorders>
              <w:top w:val="single" w:sz="8" w:space="0" w:color="auto"/>
              <w:left w:val="single" w:sz="18" w:space="0" w:color="auto"/>
              <w:right w:val="single" w:sz="18" w:space="0" w:color="auto"/>
            </w:tcBorders>
            <w:tcMar>
              <w:top w:w="8" w:type="dxa"/>
              <w:left w:w="28" w:type="dxa"/>
              <w:bottom w:w="8" w:type="dxa"/>
              <w:right w:w="28" w:type="dxa"/>
            </w:tcMar>
            <w:vAlign w:val="center"/>
          </w:tcPr>
          <w:p w14:paraId="27BE0A81" w14:textId="77777777" w:rsidR="00035C45" w:rsidRPr="0031252B" w:rsidRDefault="00035C45" w:rsidP="00E568AB">
            <w:pPr>
              <w:spacing w:line="200" w:lineRule="auto"/>
              <w:jc w:val="center"/>
              <w:rPr>
                <w:sz w:val="20"/>
                <w:szCs w:val="20"/>
              </w:rPr>
            </w:pPr>
            <w:r w:rsidRPr="0031252B">
              <w:rPr>
                <w:b/>
                <w:bCs/>
                <w:sz w:val="20"/>
                <w:szCs w:val="20"/>
              </w:rPr>
              <w:t>Loitering / threatening</w:t>
            </w:r>
          </w:p>
        </w:tc>
        <w:tc>
          <w:tcPr>
            <w:tcW w:w="405" w:type="pct"/>
            <w:tcBorders>
              <w:top w:val="single" w:sz="8" w:space="0" w:color="auto"/>
              <w:left w:val="single" w:sz="18" w:space="0" w:color="auto"/>
              <w:right w:val="single" w:sz="8" w:space="0" w:color="auto"/>
            </w:tcBorders>
            <w:tcMar>
              <w:top w:w="8" w:type="dxa"/>
              <w:left w:w="28" w:type="dxa"/>
              <w:bottom w:w="8" w:type="dxa"/>
              <w:right w:w="28" w:type="dxa"/>
            </w:tcMar>
            <w:vAlign w:val="center"/>
          </w:tcPr>
          <w:p w14:paraId="40A5B3A1" w14:textId="77777777" w:rsidR="00035C45" w:rsidRPr="0031252B" w:rsidRDefault="00035C45" w:rsidP="00E568AB">
            <w:pPr>
              <w:spacing w:line="200" w:lineRule="auto"/>
              <w:jc w:val="center"/>
              <w:rPr>
                <w:sz w:val="20"/>
                <w:szCs w:val="20"/>
              </w:rPr>
            </w:pPr>
            <w:r w:rsidRPr="0031252B">
              <w:rPr>
                <w:b/>
                <w:bCs/>
                <w:sz w:val="20"/>
                <w:szCs w:val="20"/>
              </w:rPr>
              <w:t>Adverse weather</w:t>
            </w:r>
          </w:p>
        </w:tc>
        <w:tc>
          <w:tcPr>
            <w:tcW w:w="389" w:type="pct"/>
            <w:tcBorders>
              <w:top w:val="single" w:sz="8" w:space="0" w:color="auto"/>
              <w:left w:val="single" w:sz="8" w:space="0" w:color="auto"/>
            </w:tcBorders>
            <w:tcMar>
              <w:top w:w="8" w:type="dxa"/>
              <w:left w:w="28" w:type="dxa"/>
              <w:bottom w:w="8" w:type="dxa"/>
              <w:right w:w="28" w:type="dxa"/>
            </w:tcMar>
            <w:vAlign w:val="center"/>
          </w:tcPr>
          <w:p w14:paraId="2FE90D3E" w14:textId="77777777" w:rsidR="00035C45" w:rsidRPr="0031252B" w:rsidRDefault="00035C45" w:rsidP="00E568AB">
            <w:pPr>
              <w:spacing w:line="200" w:lineRule="auto"/>
              <w:jc w:val="center"/>
              <w:rPr>
                <w:sz w:val="20"/>
                <w:szCs w:val="20"/>
              </w:rPr>
            </w:pPr>
            <w:r w:rsidRPr="0031252B">
              <w:rPr>
                <w:b/>
                <w:bCs/>
                <w:sz w:val="20"/>
                <w:szCs w:val="20"/>
              </w:rPr>
              <w:t>Trip-length mismatch</w:t>
            </w:r>
          </w:p>
        </w:tc>
      </w:tr>
      <w:tr w:rsidR="00035C45" w:rsidRPr="0031252B" w14:paraId="2876B567" w14:textId="77777777" w:rsidTr="00313300">
        <w:trPr>
          <w:cantSplit/>
          <w:trHeight w:val="288"/>
        </w:trPr>
        <w:tc>
          <w:tcPr>
            <w:tcW w:w="5000" w:type="pct"/>
            <w:gridSpan w:val="11"/>
            <w:tcBorders>
              <w:top w:val="single" w:sz="18" w:space="0" w:color="auto"/>
              <w:bottom w:val="single" w:sz="8" w:space="0" w:color="auto"/>
            </w:tcBorders>
            <w:tcMar>
              <w:top w:w="8" w:type="dxa"/>
              <w:left w:w="28" w:type="dxa"/>
              <w:bottom w:w="8" w:type="dxa"/>
              <w:right w:w="28" w:type="dxa"/>
            </w:tcMar>
            <w:vAlign w:val="center"/>
          </w:tcPr>
          <w:p w14:paraId="66F036E4" w14:textId="6F818A4B" w:rsidR="00035C45" w:rsidRPr="0031252B" w:rsidRDefault="00035C45" w:rsidP="00E568AB">
            <w:pPr>
              <w:spacing w:line="200" w:lineRule="auto"/>
              <w:rPr>
                <w:sz w:val="20"/>
                <w:szCs w:val="20"/>
              </w:rPr>
            </w:pPr>
            <w:r w:rsidRPr="008D6870">
              <w:rPr>
                <w:b/>
                <w:bCs/>
                <w:i/>
                <w:iCs/>
                <w:sz w:val="20"/>
                <w:szCs w:val="20"/>
              </w:rPr>
              <w:t>Individual-level demographic characteristics</w:t>
            </w:r>
          </w:p>
        </w:tc>
      </w:tr>
      <w:tr w:rsidR="00035C45" w:rsidRPr="0031252B" w14:paraId="0061A73D" w14:textId="77777777" w:rsidTr="008B4262">
        <w:trPr>
          <w:cantSplit/>
          <w:trHeight w:val="288"/>
        </w:trPr>
        <w:tc>
          <w:tcPr>
            <w:tcW w:w="592" w:type="pct"/>
            <w:tcBorders>
              <w:top w:val="single" w:sz="8" w:space="0" w:color="auto"/>
              <w:bottom w:val="single" w:sz="8" w:space="0" w:color="auto"/>
              <w:right w:val="single" w:sz="18" w:space="0" w:color="auto"/>
            </w:tcBorders>
            <w:tcMar>
              <w:top w:w="8" w:type="dxa"/>
              <w:left w:w="28" w:type="dxa"/>
              <w:bottom w:w="8" w:type="dxa"/>
              <w:right w:w="28" w:type="dxa"/>
            </w:tcMar>
            <w:vAlign w:val="center"/>
          </w:tcPr>
          <w:p w14:paraId="5F405634" w14:textId="2F03B2E3" w:rsidR="00035C45" w:rsidRPr="00035C45" w:rsidRDefault="00035C45" w:rsidP="008B4262">
            <w:pPr>
              <w:spacing w:line="200" w:lineRule="auto"/>
              <w:rPr>
                <w:sz w:val="20"/>
                <w:szCs w:val="20"/>
              </w:rPr>
            </w:pPr>
            <w:r w:rsidRPr="00035C45">
              <w:rPr>
                <w:sz w:val="20"/>
                <w:szCs w:val="20"/>
              </w:rPr>
              <w:t>Gender</w:t>
            </w:r>
          </w:p>
        </w:tc>
        <w:tc>
          <w:tcPr>
            <w:tcW w:w="592" w:type="pct"/>
            <w:tcBorders>
              <w:top w:val="single" w:sz="8" w:space="0" w:color="auto"/>
              <w:bottom w:val="single" w:sz="8" w:space="0" w:color="auto"/>
              <w:right w:val="single" w:sz="18" w:space="0" w:color="auto"/>
            </w:tcBorders>
            <w:vAlign w:val="center"/>
          </w:tcPr>
          <w:p w14:paraId="4237F8E9" w14:textId="3BF28947" w:rsidR="00035C45" w:rsidRPr="00035C45" w:rsidRDefault="00035C45" w:rsidP="008B4262">
            <w:pPr>
              <w:spacing w:line="200" w:lineRule="auto"/>
              <w:rPr>
                <w:sz w:val="20"/>
                <w:szCs w:val="20"/>
              </w:rPr>
            </w:pPr>
            <w:r w:rsidRPr="00035C45">
              <w:rPr>
                <w:sz w:val="20"/>
                <w:szCs w:val="20"/>
              </w:rPr>
              <w:t>Male</w:t>
            </w:r>
          </w:p>
        </w:tc>
        <w:tc>
          <w:tcPr>
            <w:tcW w:w="592" w:type="pct"/>
            <w:tcBorders>
              <w:top w:val="single" w:sz="8" w:space="0" w:color="auto"/>
              <w:bottom w:val="single" w:sz="8" w:space="0" w:color="auto"/>
              <w:right w:val="single" w:sz="18" w:space="0" w:color="auto"/>
            </w:tcBorders>
            <w:vAlign w:val="center"/>
          </w:tcPr>
          <w:p w14:paraId="6D19EB76" w14:textId="62894853" w:rsidR="00035C45" w:rsidRPr="00035C45" w:rsidRDefault="00035C45" w:rsidP="008B4262">
            <w:pPr>
              <w:spacing w:line="200" w:lineRule="auto"/>
              <w:rPr>
                <w:sz w:val="20"/>
                <w:szCs w:val="20"/>
              </w:rPr>
            </w:pPr>
            <w:r w:rsidRPr="00035C45">
              <w:rPr>
                <w:sz w:val="20"/>
                <w:szCs w:val="20"/>
              </w:rPr>
              <w:t>Female</w:t>
            </w:r>
          </w:p>
        </w:tc>
        <w:tc>
          <w:tcPr>
            <w:tcW w:w="405" w:type="pct"/>
            <w:tcBorders>
              <w:top w:val="single" w:sz="8" w:space="0" w:color="auto"/>
              <w:left w:val="single" w:sz="18" w:space="0" w:color="auto"/>
              <w:bottom w:val="single" w:sz="8" w:space="0" w:color="auto"/>
              <w:right w:val="single" w:sz="18" w:space="0" w:color="auto"/>
            </w:tcBorders>
            <w:tcMar>
              <w:top w:w="8" w:type="dxa"/>
              <w:left w:w="28" w:type="dxa"/>
              <w:bottom w:w="8" w:type="dxa"/>
              <w:right w:w="28" w:type="dxa"/>
            </w:tcMar>
            <w:vAlign w:val="center"/>
          </w:tcPr>
          <w:p w14:paraId="1F0B53B5" w14:textId="31EC9AC9" w:rsidR="00035C45" w:rsidRPr="00035C45" w:rsidRDefault="00E00AFB" w:rsidP="0065528C">
            <w:pPr>
              <w:tabs>
                <w:tab w:val="decimal" w:pos="360"/>
              </w:tabs>
              <w:spacing w:line="200" w:lineRule="auto"/>
              <w:jc w:val="center"/>
              <w:rPr>
                <w:sz w:val="20"/>
                <w:szCs w:val="20"/>
              </w:rPr>
            </w:pPr>
            <w:r>
              <w:rPr>
                <w:sz w:val="20"/>
                <w:szCs w:val="20"/>
              </w:rPr>
              <w:t>31.</w:t>
            </w:r>
            <w:r w:rsidR="00786E13">
              <w:rPr>
                <w:sz w:val="20"/>
                <w:szCs w:val="20"/>
              </w:rPr>
              <w:t>89</w:t>
            </w:r>
          </w:p>
        </w:tc>
        <w:tc>
          <w:tcPr>
            <w:tcW w:w="405" w:type="pct"/>
            <w:tcBorders>
              <w:top w:val="single" w:sz="8" w:space="0" w:color="auto"/>
              <w:left w:val="single" w:sz="18" w:space="0" w:color="auto"/>
              <w:bottom w:val="single" w:sz="8" w:space="0" w:color="auto"/>
              <w:right w:val="single" w:sz="8" w:space="0" w:color="auto"/>
            </w:tcBorders>
            <w:tcMar>
              <w:top w:w="8" w:type="dxa"/>
              <w:left w:w="28" w:type="dxa"/>
              <w:bottom w:w="8" w:type="dxa"/>
              <w:right w:w="28" w:type="dxa"/>
            </w:tcMar>
            <w:vAlign w:val="center"/>
          </w:tcPr>
          <w:p w14:paraId="1003E1D1" w14:textId="224E548F" w:rsidR="00035C45" w:rsidRPr="00035C45" w:rsidRDefault="002C1DAB" w:rsidP="0065528C">
            <w:pPr>
              <w:tabs>
                <w:tab w:val="decimal" w:pos="360"/>
              </w:tabs>
              <w:spacing w:line="200" w:lineRule="auto"/>
              <w:jc w:val="center"/>
              <w:rPr>
                <w:sz w:val="20"/>
                <w:szCs w:val="20"/>
              </w:rPr>
            </w:pPr>
            <w:r>
              <w:rPr>
                <w:sz w:val="20"/>
                <w:szCs w:val="20"/>
              </w:rPr>
              <w:t>11.81</w:t>
            </w:r>
          </w:p>
        </w:tc>
        <w:tc>
          <w:tcPr>
            <w:tcW w:w="405" w:type="pct"/>
            <w:tcBorders>
              <w:top w:val="single" w:sz="8" w:space="0" w:color="auto"/>
              <w:left w:val="single" w:sz="8" w:space="0" w:color="auto"/>
              <w:bottom w:val="single" w:sz="8" w:space="0" w:color="auto"/>
              <w:right w:val="single" w:sz="18" w:space="0" w:color="auto"/>
            </w:tcBorders>
            <w:tcMar>
              <w:top w:w="8" w:type="dxa"/>
              <w:left w:w="28" w:type="dxa"/>
              <w:bottom w:w="8" w:type="dxa"/>
              <w:right w:w="28" w:type="dxa"/>
            </w:tcMar>
            <w:vAlign w:val="center"/>
          </w:tcPr>
          <w:p w14:paraId="544E0094" w14:textId="45543020" w:rsidR="00035C45" w:rsidRPr="00035C45" w:rsidRDefault="00035C45" w:rsidP="0065528C">
            <w:pPr>
              <w:tabs>
                <w:tab w:val="decimal" w:pos="360"/>
              </w:tabs>
              <w:spacing w:line="200" w:lineRule="auto"/>
              <w:jc w:val="center"/>
              <w:rPr>
                <w:sz w:val="20"/>
                <w:szCs w:val="20"/>
              </w:rPr>
            </w:pPr>
            <w:r w:rsidRPr="00035C45">
              <w:rPr>
                <w:sz w:val="20"/>
                <w:szCs w:val="20"/>
              </w:rPr>
              <w:t>-0.0</w:t>
            </w:r>
            <w:r w:rsidR="002C1DAB">
              <w:rPr>
                <w:sz w:val="20"/>
                <w:szCs w:val="20"/>
              </w:rPr>
              <w:t>2</w:t>
            </w:r>
          </w:p>
        </w:tc>
        <w:tc>
          <w:tcPr>
            <w:tcW w:w="405" w:type="pct"/>
            <w:tcBorders>
              <w:top w:val="single" w:sz="8" w:space="0" w:color="auto"/>
              <w:left w:val="single" w:sz="18" w:space="0" w:color="auto"/>
              <w:bottom w:val="single" w:sz="8" w:space="0" w:color="auto"/>
              <w:right w:val="single" w:sz="8" w:space="0" w:color="auto"/>
            </w:tcBorders>
            <w:tcMar>
              <w:top w:w="8" w:type="dxa"/>
              <w:left w:w="28" w:type="dxa"/>
              <w:bottom w:w="8" w:type="dxa"/>
              <w:right w:w="28" w:type="dxa"/>
            </w:tcMar>
            <w:vAlign w:val="center"/>
          </w:tcPr>
          <w:p w14:paraId="70F7990C" w14:textId="150333A9" w:rsidR="00035C45" w:rsidRPr="00035C45" w:rsidRDefault="00035C45" w:rsidP="0065528C">
            <w:pPr>
              <w:tabs>
                <w:tab w:val="decimal" w:pos="360"/>
              </w:tabs>
              <w:spacing w:line="200" w:lineRule="auto"/>
              <w:jc w:val="center"/>
              <w:rPr>
                <w:sz w:val="20"/>
                <w:szCs w:val="20"/>
              </w:rPr>
            </w:pPr>
            <w:r w:rsidRPr="00035C45">
              <w:rPr>
                <w:sz w:val="20"/>
                <w:szCs w:val="20"/>
              </w:rPr>
              <w:t>-0.0</w:t>
            </w:r>
            <w:r w:rsidR="002C1DAB">
              <w:rPr>
                <w:sz w:val="20"/>
                <w:szCs w:val="20"/>
              </w:rPr>
              <w:t>3</w:t>
            </w:r>
          </w:p>
        </w:tc>
        <w:tc>
          <w:tcPr>
            <w:tcW w:w="405" w:type="pct"/>
            <w:tcBorders>
              <w:top w:val="single" w:sz="8" w:space="0" w:color="auto"/>
              <w:left w:val="single" w:sz="8" w:space="0" w:color="auto"/>
              <w:bottom w:val="single" w:sz="8" w:space="0" w:color="auto"/>
              <w:right w:val="single" w:sz="18" w:space="0" w:color="auto"/>
            </w:tcBorders>
            <w:tcMar>
              <w:top w:w="8" w:type="dxa"/>
              <w:left w:w="28" w:type="dxa"/>
              <w:bottom w:w="8" w:type="dxa"/>
              <w:right w:w="28" w:type="dxa"/>
            </w:tcMar>
            <w:vAlign w:val="center"/>
          </w:tcPr>
          <w:p w14:paraId="45777675" w14:textId="4DD579F2" w:rsidR="00035C45" w:rsidRPr="00035C45" w:rsidRDefault="00035C45" w:rsidP="0065528C">
            <w:pPr>
              <w:tabs>
                <w:tab w:val="decimal" w:pos="360"/>
              </w:tabs>
              <w:spacing w:line="200" w:lineRule="auto"/>
              <w:jc w:val="center"/>
              <w:rPr>
                <w:sz w:val="20"/>
                <w:szCs w:val="20"/>
              </w:rPr>
            </w:pPr>
            <w:r w:rsidRPr="00035C45">
              <w:rPr>
                <w:sz w:val="20"/>
                <w:szCs w:val="20"/>
              </w:rPr>
              <w:t>0.00</w:t>
            </w:r>
          </w:p>
        </w:tc>
        <w:tc>
          <w:tcPr>
            <w:tcW w:w="405" w:type="pct"/>
            <w:tcBorders>
              <w:top w:val="single" w:sz="8" w:space="0" w:color="auto"/>
              <w:left w:val="single" w:sz="18" w:space="0" w:color="auto"/>
              <w:bottom w:val="single" w:sz="8" w:space="0" w:color="auto"/>
              <w:right w:val="single" w:sz="18" w:space="0" w:color="auto"/>
            </w:tcBorders>
            <w:tcMar>
              <w:top w:w="8" w:type="dxa"/>
              <w:left w:w="28" w:type="dxa"/>
              <w:bottom w:w="8" w:type="dxa"/>
              <w:right w:w="28" w:type="dxa"/>
            </w:tcMar>
            <w:vAlign w:val="center"/>
          </w:tcPr>
          <w:p w14:paraId="403A0EE3" w14:textId="71AF4D8A" w:rsidR="00035C45" w:rsidRPr="00035C45" w:rsidRDefault="002C1DAB" w:rsidP="0065528C">
            <w:pPr>
              <w:tabs>
                <w:tab w:val="decimal" w:pos="360"/>
              </w:tabs>
              <w:spacing w:line="200" w:lineRule="auto"/>
              <w:jc w:val="center"/>
              <w:rPr>
                <w:sz w:val="20"/>
                <w:szCs w:val="20"/>
              </w:rPr>
            </w:pPr>
            <w:r>
              <w:rPr>
                <w:sz w:val="20"/>
                <w:szCs w:val="20"/>
              </w:rPr>
              <w:t>94.96</w:t>
            </w:r>
          </w:p>
        </w:tc>
        <w:tc>
          <w:tcPr>
            <w:tcW w:w="405" w:type="pct"/>
            <w:tcBorders>
              <w:top w:val="single" w:sz="8" w:space="0" w:color="auto"/>
              <w:left w:val="single" w:sz="18" w:space="0" w:color="auto"/>
              <w:bottom w:val="single" w:sz="8" w:space="0" w:color="auto"/>
              <w:right w:val="single" w:sz="8" w:space="0" w:color="auto"/>
            </w:tcBorders>
            <w:tcMar>
              <w:top w:w="8" w:type="dxa"/>
              <w:left w:w="28" w:type="dxa"/>
              <w:bottom w:w="8" w:type="dxa"/>
              <w:right w:w="28" w:type="dxa"/>
            </w:tcMar>
            <w:vAlign w:val="center"/>
          </w:tcPr>
          <w:p w14:paraId="2E5CAAB9" w14:textId="7B4F70FC" w:rsidR="00035C45" w:rsidRPr="00035C45" w:rsidRDefault="002C1DAB" w:rsidP="0065528C">
            <w:pPr>
              <w:tabs>
                <w:tab w:val="decimal" w:pos="360"/>
              </w:tabs>
              <w:spacing w:line="200" w:lineRule="auto"/>
              <w:jc w:val="center"/>
              <w:rPr>
                <w:sz w:val="20"/>
                <w:szCs w:val="20"/>
              </w:rPr>
            </w:pPr>
            <w:r>
              <w:rPr>
                <w:sz w:val="20"/>
                <w:szCs w:val="20"/>
              </w:rPr>
              <w:t>11.84</w:t>
            </w:r>
          </w:p>
        </w:tc>
        <w:tc>
          <w:tcPr>
            <w:tcW w:w="389" w:type="pct"/>
            <w:tcBorders>
              <w:top w:val="single" w:sz="8" w:space="0" w:color="auto"/>
              <w:left w:val="single" w:sz="8" w:space="0" w:color="auto"/>
              <w:bottom w:val="single" w:sz="8" w:space="0" w:color="auto"/>
            </w:tcBorders>
            <w:tcMar>
              <w:top w:w="8" w:type="dxa"/>
              <w:left w:w="28" w:type="dxa"/>
              <w:bottom w:w="8" w:type="dxa"/>
              <w:right w:w="28" w:type="dxa"/>
            </w:tcMar>
            <w:vAlign w:val="center"/>
          </w:tcPr>
          <w:p w14:paraId="20FC0BE9" w14:textId="44F0057F" w:rsidR="00035C45" w:rsidRPr="00035C45" w:rsidRDefault="002C1DAB" w:rsidP="0065528C">
            <w:pPr>
              <w:tabs>
                <w:tab w:val="decimal" w:pos="360"/>
              </w:tabs>
              <w:spacing w:line="200" w:lineRule="auto"/>
              <w:jc w:val="center"/>
              <w:rPr>
                <w:sz w:val="20"/>
                <w:szCs w:val="20"/>
              </w:rPr>
            </w:pPr>
            <w:r>
              <w:rPr>
                <w:sz w:val="20"/>
                <w:szCs w:val="20"/>
              </w:rPr>
              <w:t>-15.15</w:t>
            </w:r>
          </w:p>
        </w:tc>
      </w:tr>
      <w:tr w:rsidR="00035C45" w:rsidRPr="0031252B" w14:paraId="1BD15684" w14:textId="77777777" w:rsidTr="00313300">
        <w:trPr>
          <w:cantSplit/>
          <w:trHeight w:val="288"/>
        </w:trPr>
        <w:tc>
          <w:tcPr>
            <w:tcW w:w="592" w:type="pct"/>
            <w:vMerge w:val="restart"/>
            <w:tcBorders>
              <w:top w:val="single" w:sz="8" w:space="0" w:color="auto"/>
              <w:right w:val="single" w:sz="18" w:space="0" w:color="auto"/>
            </w:tcBorders>
            <w:tcMar>
              <w:top w:w="8" w:type="dxa"/>
              <w:left w:w="28" w:type="dxa"/>
              <w:bottom w:w="8" w:type="dxa"/>
              <w:right w:w="28" w:type="dxa"/>
            </w:tcMar>
            <w:vAlign w:val="center"/>
          </w:tcPr>
          <w:p w14:paraId="710E228E" w14:textId="4E44A49D" w:rsidR="00035C45" w:rsidRPr="00035C45" w:rsidRDefault="00035C45" w:rsidP="00035C45">
            <w:pPr>
              <w:spacing w:line="200" w:lineRule="auto"/>
              <w:rPr>
                <w:sz w:val="20"/>
                <w:szCs w:val="20"/>
              </w:rPr>
            </w:pPr>
            <w:r w:rsidRPr="008D6870">
              <w:rPr>
                <w:sz w:val="20"/>
                <w:szCs w:val="20"/>
              </w:rPr>
              <w:t>Age</w:t>
            </w:r>
          </w:p>
        </w:tc>
        <w:tc>
          <w:tcPr>
            <w:tcW w:w="592" w:type="pct"/>
            <w:vMerge w:val="restart"/>
            <w:tcBorders>
              <w:top w:val="single" w:sz="8" w:space="0" w:color="auto"/>
              <w:right w:val="single" w:sz="18" w:space="0" w:color="auto"/>
            </w:tcBorders>
            <w:vAlign w:val="center"/>
          </w:tcPr>
          <w:p w14:paraId="465099D9" w14:textId="3A6C080E" w:rsidR="00035C45" w:rsidRPr="00035C45" w:rsidRDefault="00035C45" w:rsidP="00035C45">
            <w:pPr>
              <w:spacing w:line="200" w:lineRule="auto"/>
              <w:rPr>
                <w:sz w:val="20"/>
                <w:szCs w:val="20"/>
              </w:rPr>
            </w:pPr>
            <w:r w:rsidRPr="008D6870">
              <w:rPr>
                <w:sz w:val="20"/>
                <w:szCs w:val="20"/>
              </w:rPr>
              <w:t>18 to 24 years</w:t>
            </w:r>
          </w:p>
        </w:tc>
        <w:tc>
          <w:tcPr>
            <w:tcW w:w="592" w:type="pct"/>
            <w:tcBorders>
              <w:top w:val="single" w:sz="8" w:space="0" w:color="auto"/>
              <w:bottom w:val="dotted" w:sz="4" w:space="0" w:color="auto"/>
              <w:right w:val="single" w:sz="18" w:space="0" w:color="auto"/>
            </w:tcBorders>
            <w:vAlign w:val="center"/>
          </w:tcPr>
          <w:p w14:paraId="1D2AE1D7" w14:textId="5439F2DB" w:rsidR="00035C45" w:rsidRPr="00035C45" w:rsidRDefault="00035C45" w:rsidP="00DE26EB">
            <w:pPr>
              <w:spacing w:line="200" w:lineRule="auto"/>
              <w:rPr>
                <w:sz w:val="20"/>
                <w:szCs w:val="20"/>
              </w:rPr>
            </w:pPr>
            <w:r w:rsidRPr="008D6870">
              <w:rPr>
                <w:sz w:val="20"/>
                <w:szCs w:val="20"/>
              </w:rPr>
              <w:t>25 to 44 years</w:t>
            </w:r>
          </w:p>
        </w:tc>
        <w:tc>
          <w:tcPr>
            <w:tcW w:w="405" w:type="pct"/>
            <w:tcBorders>
              <w:top w:val="single" w:sz="8" w:space="0" w:color="auto"/>
              <w:left w:val="single" w:sz="18" w:space="0" w:color="auto"/>
              <w:bottom w:val="dotted" w:sz="4" w:space="0" w:color="auto"/>
              <w:right w:val="single" w:sz="18" w:space="0" w:color="auto"/>
            </w:tcBorders>
            <w:tcMar>
              <w:top w:w="8" w:type="dxa"/>
              <w:left w:w="28" w:type="dxa"/>
              <w:bottom w:w="8" w:type="dxa"/>
              <w:right w:w="28" w:type="dxa"/>
            </w:tcMar>
            <w:vAlign w:val="center"/>
          </w:tcPr>
          <w:p w14:paraId="1126BDF0" w14:textId="4E2699AB" w:rsidR="00035C45" w:rsidRPr="00035C45" w:rsidRDefault="00035C45" w:rsidP="0065528C">
            <w:pPr>
              <w:tabs>
                <w:tab w:val="decimal" w:pos="360"/>
              </w:tabs>
              <w:spacing w:line="200" w:lineRule="auto"/>
              <w:jc w:val="center"/>
              <w:rPr>
                <w:sz w:val="20"/>
                <w:szCs w:val="20"/>
              </w:rPr>
            </w:pPr>
            <w:r w:rsidRPr="00D324DB">
              <w:rPr>
                <w:sz w:val="20"/>
                <w:szCs w:val="20"/>
              </w:rPr>
              <w:t>0.00</w:t>
            </w:r>
          </w:p>
        </w:tc>
        <w:tc>
          <w:tcPr>
            <w:tcW w:w="405" w:type="pct"/>
            <w:tcBorders>
              <w:top w:val="single" w:sz="8" w:space="0" w:color="auto"/>
              <w:left w:val="single" w:sz="18" w:space="0" w:color="auto"/>
              <w:bottom w:val="dotted" w:sz="4" w:space="0" w:color="auto"/>
              <w:right w:val="single" w:sz="8" w:space="0" w:color="auto"/>
            </w:tcBorders>
            <w:tcMar>
              <w:top w:w="8" w:type="dxa"/>
              <w:left w:w="28" w:type="dxa"/>
              <w:bottom w:w="8" w:type="dxa"/>
              <w:right w:w="28" w:type="dxa"/>
            </w:tcMar>
            <w:vAlign w:val="center"/>
          </w:tcPr>
          <w:p w14:paraId="165168F2" w14:textId="39E2145B" w:rsidR="00035C45" w:rsidRPr="00035C45" w:rsidRDefault="00035C45" w:rsidP="0065528C">
            <w:pPr>
              <w:tabs>
                <w:tab w:val="decimal" w:pos="360"/>
              </w:tabs>
              <w:spacing w:line="200" w:lineRule="auto"/>
              <w:jc w:val="center"/>
              <w:rPr>
                <w:sz w:val="20"/>
                <w:szCs w:val="20"/>
              </w:rPr>
            </w:pPr>
            <w:r w:rsidRPr="00D324DB">
              <w:rPr>
                <w:sz w:val="20"/>
                <w:szCs w:val="20"/>
              </w:rPr>
              <w:t>0.00</w:t>
            </w:r>
          </w:p>
        </w:tc>
        <w:tc>
          <w:tcPr>
            <w:tcW w:w="405" w:type="pct"/>
            <w:tcBorders>
              <w:top w:val="single" w:sz="8" w:space="0" w:color="auto"/>
              <w:left w:val="single" w:sz="8" w:space="0" w:color="auto"/>
              <w:bottom w:val="dotted" w:sz="4" w:space="0" w:color="auto"/>
              <w:right w:val="single" w:sz="18" w:space="0" w:color="auto"/>
            </w:tcBorders>
            <w:tcMar>
              <w:top w:w="8" w:type="dxa"/>
              <w:left w:w="28" w:type="dxa"/>
              <w:bottom w:w="8" w:type="dxa"/>
              <w:right w:w="28" w:type="dxa"/>
            </w:tcMar>
            <w:vAlign w:val="center"/>
          </w:tcPr>
          <w:p w14:paraId="4C33CDB3" w14:textId="3133BBBB" w:rsidR="00035C45" w:rsidRPr="00035C45" w:rsidRDefault="00035C45" w:rsidP="0065528C">
            <w:pPr>
              <w:tabs>
                <w:tab w:val="decimal" w:pos="360"/>
              </w:tabs>
              <w:spacing w:line="200" w:lineRule="auto"/>
              <w:jc w:val="center"/>
              <w:rPr>
                <w:sz w:val="20"/>
                <w:szCs w:val="20"/>
              </w:rPr>
            </w:pPr>
            <w:r w:rsidRPr="00D324DB">
              <w:rPr>
                <w:sz w:val="20"/>
                <w:szCs w:val="20"/>
              </w:rPr>
              <w:t>0.00</w:t>
            </w:r>
          </w:p>
        </w:tc>
        <w:tc>
          <w:tcPr>
            <w:tcW w:w="405" w:type="pct"/>
            <w:tcBorders>
              <w:top w:val="single" w:sz="8" w:space="0" w:color="auto"/>
              <w:left w:val="single" w:sz="18" w:space="0" w:color="auto"/>
              <w:bottom w:val="dotted" w:sz="4" w:space="0" w:color="auto"/>
              <w:right w:val="single" w:sz="8" w:space="0" w:color="auto"/>
            </w:tcBorders>
            <w:tcMar>
              <w:top w:w="8" w:type="dxa"/>
              <w:left w:w="28" w:type="dxa"/>
              <w:bottom w:w="8" w:type="dxa"/>
              <w:right w:w="28" w:type="dxa"/>
            </w:tcMar>
            <w:vAlign w:val="center"/>
          </w:tcPr>
          <w:p w14:paraId="7A67384C" w14:textId="28B5B227" w:rsidR="00035C45" w:rsidRPr="00035C45" w:rsidRDefault="00035C45" w:rsidP="0065528C">
            <w:pPr>
              <w:tabs>
                <w:tab w:val="decimal" w:pos="360"/>
              </w:tabs>
              <w:spacing w:line="200" w:lineRule="auto"/>
              <w:jc w:val="center"/>
              <w:rPr>
                <w:sz w:val="20"/>
                <w:szCs w:val="20"/>
              </w:rPr>
            </w:pPr>
            <w:r w:rsidRPr="00D324DB">
              <w:rPr>
                <w:sz w:val="20"/>
                <w:szCs w:val="20"/>
              </w:rPr>
              <w:t>0.00</w:t>
            </w:r>
          </w:p>
        </w:tc>
        <w:tc>
          <w:tcPr>
            <w:tcW w:w="405" w:type="pct"/>
            <w:tcBorders>
              <w:top w:val="single" w:sz="8" w:space="0" w:color="auto"/>
              <w:left w:val="single" w:sz="8" w:space="0" w:color="auto"/>
              <w:bottom w:val="dotted" w:sz="4" w:space="0" w:color="auto"/>
              <w:right w:val="single" w:sz="18" w:space="0" w:color="auto"/>
            </w:tcBorders>
            <w:tcMar>
              <w:top w:w="8" w:type="dxa"/>
              <w:left w:w="28" w:type="dxa"/>
              <w:bottom w:w="8" w:type="dxa"/>
              <w:right w:w="28" w:type="dxa"/>
            </w:tcMar>
            <w:vAlign w:val="center"/>
          </w:tcPr>
          <w:p w14:paraId="64E7A781" w14:textId="5D804501" w:rsidR="00035C45" w:rsidRPr="00035C45" w:rsidRDefault="00035C45" w:rsidP="0065528C">
            <w:pPr>
              <w:tabs>
                <w:tab w:val="decimal" w:pos="360"/>
              </w:tabs>
              <w:spacing w:line="200" w:lineRule="auto"/>
              <w:jc w:val="center"/>
              <w:rPr>
                <w:sz w:val="20"/>
                <w:szCs w:val="20"/>
              </w:rPr>
            </w:pPr>
            <w:r w:rsidRPr="00D324DB">
              <w:rPr>
                <w:sz w:val="20"/>
                <w:szCs w:val="20"/>
              </w:rPr>
              <w:t>0.00</w:t>
            </w:r>
          </w:p>
        </w:tc>
        <w:tc>
          <w:tcPr>
            <w:tcW w:w="405" w:type="pct"/>
            <w:tcBorders>
              <w:top w:val="single" w:sz="8" w:space="0" w:color="auto"/>
              <w:left w:val="single" w:sz="18" w:space="0" w:color="auto"/>
              <w:bottom w:val="dotted" w:sz="4" w:space="0" w:color="auto"/>
              <w:right w:val="single" w:sz="18" w:space="0" w:color="auto"/>
            </w:tcBorders>
            <w:tcMar>
              <w:top w:w="8" w:type="dxa"/>
              <w:left w:w="28" w:type="dxa"/>
              <w:bottom w:w="8" w:type="dxa"/>
              <w:right w:w="28" w:type="dxa"/>
            </w:tcMar>
            <w:vAlign w:val="center"/>
          </w:tcPr>
          <w:p w14:paraId="2611EF49" w14:textId="1CE4121B" w:rsidR="00035C45" w:rsidRPr="00035C45" w:rsidRDefault="00035C45" w:rsidP="0065528C">
            <w:pPr>
              <w:tabs>
                <w:tab w:val="decimal" w:pos="360"/>
              </w:tabs>
              <w:spacing w:line="200" w:lineRule="auto"/>
              <w:jc w:val="center"/>
              <w:rPr>
                <w:sz w:val="20"/>
                <w:szCs w:val="20"/>
              </w:rPr>
            </w:pPr>
            <w:r w:rsidRPr="00D324DB">
              <w:rPr>
                <w:sz w:val="20"/>
                <w:szCs w:val="20"/>
              </w:rPr>
              <w:t>0.00</w:t>
            </w:r>
          </w:p>
        </w:tc>
        <w:tc>
          <w:tcPr>
            <w:tcW w:w="405" w:type="pct"/>
            <w:tcBorders>
              <w:top w:val="single" w:sz="8" w:space="0" w:color="auto"/>
              <w:left w:val="single" w:sz="18" w:space="0" w:color="auto"/>
              <w:bottom w:val="dotted" w:sz="4" w:space="0" w:color="auto"/>
              <w:right w:val="single" w:sz="8" w:space="0" w:color="auto"/>
            </w:tcBorders>
            <w:tcMar>
              <w:top w:w="8" w:type="dxa"/>
              <w:left w:w="28" w:type="dxa"/>
              <w:bottom w:w="8" w:type="dxa"/>
              <w:right w:w="28" w:type="dxa"/>
            </w:tcMar>
            <w:vAlign w:val="center"/>
          </w:tcPr>
          <w:p w14:paraId="19157AD2" w14:textId="74974802" w:rsidR="00035C45" w:rsidRPr="00035C45" w:rsidRDefault="00035C45" w:rsidP="0065528C">
            <w:pPr>
              <w:tabs>
                <w:tab w:val="decimal" w:pos="360"/>
              </w:tabs>
              <w:spacing w:line="200" w:lineRule="auto"/>
              <w:jc w:val="center"/>
              <w:rPr>
                <w:sz w:val="20"/>
                <w:szCs w:val="20"/>
              </w:rPr>
            </w:pPr>
            <w:r w:rsidRPr="00D324DB">
              <w:rPr>
                <w:sz w:val="20"/>
                <w:szCs w:val="20"/>
              </w:rPr>
              <w:t>0.00</w:t>
            </w:r>
          </w:p>
        </w:tc>
        <w:tc>
          <w:tcPr>
            <w:tcW w:w="389" w:type="pct"/>
            <w:tcBorders>
              <w:top w:val="single" w:sz="8" w:space="0" w:color="auto"/>
              <w:left w:val="single" w:sz="8" w:space="0" w:color="auto"/>
              <w:bottom w:val="dotted" w:sz="4" w:space="0" w:color="auto"/>
            </w:tcBorders>
            <w:tcMar>
              <w:top w:w="8" w:type="dxa"/>
              <w:left w:w="28" w:type="dxa"/>
              <w:bottom w:w="8" w:type="dxa"/>
              <w:right w:w="28" w:type="dxa"/>
            </w:tcMar>
            <w:vAlign w:val="center"/>
          </w:tcPr>
          <w:p w14:paraId="68157FB6" w14:textId="17996970" w:rsidR="00035C45" w:rsidRPr="00035C45" w:rsidRDefault="006C03E9" w:rsidP="0065528C">
            <w:pPr>
              <w:tabs>
                <w:tab w:val="decimal" w:pos="360"/>
              </w:tabs>
              <w:spacing w:line="200" w:lineRule="auto"/>
              <w:jc w:val="center"/>
              <w:rPr>
                <w:sz w:val="20"/>
                <w:szCs w:val="20"/>
              </w:rPr>
            </w:pPr>
            <w:r>
              <w:rPr>
                <w:sz w:val="20"/>
                <w:szCs w:val="20"/>
              </w:rPr>
              <w:t>-</w:t>
            </w:r>
            <w:r w:rsidR="00434082">
              <w:rPr>
                <w:sz w:val="20"/>
                <w:szCs w:val="20"/>
              </w:rPr>
              <w:t>20.58</w:t>
            </w:r>
          </w:p>
        </w:tc>
      </w:tr>
      <w:tr w:rsidR="00035C45" w:rsidRPr="0031252B" w14:paraId="71544947" w14:textId="77777777" w:rsidTr="00313300">
        <w:trPr>
          <w:cantSplit/>
          <w:trHeight w:val="288"/>
        </w:trPr>
        <w:tc>
          <w:tcPr>
            <w:tcW w:w="592" w:type="pct"/>
            <w:vMerge/>
            <w:tcBorders>
              <w:right w:val="single" w:sz="18" w:space="0" w:color="auto"/>
            </w:tcBorders>
            <w:tcMar>
              <w:top w:w="8" w:type="dxa"/>
              <w:left w:w="28" w:type="dxa"/>
              <w:bottom w:w="8" w:type="dxa"/>
              <w:right w:w="28" w:type="dxa"/>
            </w:tcMar>
          </w:tcPr>
          <w:p w14:paraId="0052A0C9" w14:textId="77777777" w:rsidR="00035C45" w:rsidRPr="00035C45" w:rsidRDefault="00035C45" w:rsidP="00035C45">
            <w:pPr>
              <w:spacing w:line="200" w:lineRule="auto"/>
              <w:rPr>
                <w:sz w:val="20"/>
                <w:szCs w:val="20"/>
              </w:rPr>
            </w:pPr>
          </w:p>
        </w:tc>
        <w:tc>
          <w:tcPr>
            <w:tcW w:w="592" w:type="pct"/>
            <w:vMerge/>
            <w:tcBorders>
              <w:right w:val="single" w:sz="18" w:space="0" w:color="auto"/>
            </w:tcBorders>
          </w:tcPr>
          <w:p w14:paraId="7CEEF304" w14:textId="77777777" w:rsidR="00035C45" w:rsidRPr="00035C45" w:rsidRDefault="00035C45" w:rsidP="00035C45">
            <w:pPr>
              <w:spacing w:line="200" w:lineRule="auto"/>
              <w:rPr>
                <w:sz w:val="20"/>
                <w:szCs w:val="20"/>
              </w:rPr>
            </w:pPr>
          </w:p>
        </w:tc>
        <w:tc>
          <w:tcPr>
            <w:tcW w:w="592" w:type="pct"/>
            <w:tcBorders>
              <w:top w:val="dotted" w:sz="4" w:space="0" w:color="auto"/>
              <w:bottom w:val="dotted" w:sz="4" w:space="0" w:color="auto"/>
              <w:right w:val="single" w:sz="18" w:space="0" w:color="auto"/>
            </w:tcBorders>
            <w:vAlign w:val="center"/>
          </w:tcPr>
          <w:p w14:paraId="75EDE2E7" w14:textId="5981F41F" w:rsidR="00035C45" w:rsidRPr="00035C45" w:rsidRDefault="00035C45" w:rsidP="00DE26EB">
            <w:pPr>
              <w:spacing w:line="200" w:lineRule="auto"/>
              <w:rPr>
                <w:sz w:val="20"/>
                <w:szCs w:val="20"/>
              </w:rPr>
            </w:pPr>
            <w:r w:rsidRPr="008D6870">
              <w:rPr>
                <w:sz w:val="20"/>
                <w:szCs w:val="20"/>
              </w:rPr>
              <w:t>45 to 64 years</w:t>
            </w:r>
          </w:p>
        </w:tc>
        <w:tc>
          <w:tcPr>
            <w:tcW w:w="405" w:type="pct"/>
            <w:tcBorders>
              <w:top w:val="dotted" w:sz="4" w:space="0" w:color="auto"/>
              <w:left w:val="single" w:sz="18" w:space="0" w:color="auto"/>
              <w:bottom w:val="dotted" w:sz="4" w:space="0" w:color="auto"/>
              <w:right w:val="single" w:sz="18" w:space="0" w:color="auto"/>
            </w:tcBorders>
            <w:tcMar>
              <w:top w:w="8" w:type="dxa"/>
              <w:left w:w="28" w:type="dxa"/>
              <w:bottom w:w="8" w:type="dxa"/>
              <w:right w:w="28" w:type="dxa"/>
            </w:tcMar>
            <w:vAlign w:val="center"/>
          </w:tcPr>
          <w:p w14:paraId="4226A949" w14:textId="7B31FC18" w:rsidR="00035C45" w:rsidRPr="00035C45" w:rsidRDefault="00434082" w:rsidP="0065528C">
            <w:pPr>
              <w:tabs>
                <w:tab w:val="decimal" w:pos="360"/>
              </w:tabs>
              <w:spacing w:line="200" w:lineRule="auto"/>
              <w:jc w:val="center"/>
              <w:rPr>
                <w:sz w:val="20"/>
                <w:szCs w:val="20"/>
              </w:rPr>
            </w:pPr>
            <w:r>
              <w:rPr>
                <w:sz w:val="20"/>
                <w:szCs w:val="20"/>
              </w:rPr>
              <w:t>72.77</w:t>
            </w:r>
          </w:p>
        </w:tc>
        <w:tc>
          <w:tcPr>
            <w:tcW w:w="405" w:type="pct"/>
            <w:tcBorders>
              <w:top w:val="dotted" w:sz="4" w:space="0" w:color="auto"/>
              <w:left w:val="single" w:sz="18" w:space="0" w:color="auto"/>
              <w:bottom w:val="dotted" w:sz="4" w:space="0" w:color="auto"/>
              <w:right w:val="single" w:sz="8" w:space="0" w:color="auto"/>
            </w:tcBorders>
            <w:tcMar>
              <w:top w:w="8" w:type="dxa"/>
              <w:left w:w="28" w:type="dxa"/>
              <w:bottom w:w="8" w:type="dxa"/>
              <w:right w:w="28" w:type="dxa"/>
            </w:tcMar>
            <w:vAlign w:val="center"/>
          </w:tcPr>
          <w:p w14:paraId="6039289D" w14:textId="0C362023" w:rsidR="00035C45" w:rsidRPr="00035C45" w:rsidRDefault="00035C45" w:rsidP="0065528C">
            <w:pPr>
              <w:tabs>
                <w:tab w:val="decimal" w:pos="360"/>
              </w:tabs>
              <w:spacing w:line="200" w:lineRule="auto"/>
              <w:jc w:val="center"/>
              <w:rPr>
                <w:sz w:val="20"/>
                <w:szCs w:val="20"/>
              </w:rPr>
            </w:pPr>
            <w:r w:rsidRPr="00D324DB">
              <w:rPr>
                <w:sz w:val="20"/>
                <w:szCs w:val="20"/>
              </w:rPr>
              <w:t>0.1</w:t>
            </w:r>
            <w:r w:rsidR="00D00FCA">
              <w:rPr>
                <w:sz w:val="20"/>
                <w:szCs w:val="20"/>
              </w:rPr>
              <w:t>2</w:t>
            </w:r>
          </w:p>
        </w:tc>
        <w:tc>
          <w:tcPr>
            <w:tcW w:w="405" w:type="pct"/>
            <w:tcBorders>
              <w:top w:val="dotted" w:sz="4" w:space="0" w:color="auto"/>
              <w:left w:val="single" w:sz="8" w:space="0" w:color="auto"/>
              <w:bottom w:val="dotted" w:sz="4" w:space="0" w:color="auto"/>
              <w:right w:val="single" w:sz="18" w:space="0" w:color="auto"/>
            </w:tcBorders>
            <w:tcMar>
              <w:top w:w="8" w:type="dxa"/>
              <w:left w:w="28" w:type="dxa"/>
              <w:bottom w:w="8" w:type="dxa"/>
              <w:right w:w="28" w:type="dxa"/>
            </w:tcMar>
            <w:vAlign w:val="center"/>
          </w:tcPr>
          <w:p w14:paraId="0BD7F9BD" w14:textId="416BDF1B" w:rsidR="00035C45" w:rsidRPr="00035C45" w:rsidRDefault="00035C45" w:rsidP="0065528C">
            <w:pPr>
              <w:tabs>
                <w:tab w:val="decimal" w:pos="360"/>
              </w:tabs>
              <w:spacing w:line="200" w:lineRule="auto"/>
              <w:jc w:val="center"/>
              <w:rPr>
                <w:sz w:val="20"/>
                <w:szCs w:val="20"/>
              </w:rPr>
            </w:pPr>
            <w:r w:rsidRPr="00D324DB">
              <w:rPr>
                <w:sz w:val="20"/>
                <w:szCs w:val="20"/>
              </w:rPr>
              <w:t>0.</w:t>
            </w:r>
            <w:r w:rsidR="00D00FCA">
              <w:rPr>
                <w:sz w:val="20"/>
                <w:szCs w:val="20"/>
              </w:rPr>
              <w:t>11</w:t>
            </w:r>
          </w:p>
        </w:tc>
        <w:tc>
          <w:tcPr>
            <w:tcW w:w="405" w:type="pct"/>
            <w:tcBorders>
              <w:top w:val="dotted" w:sz="4" w:space="0" w:color="auto"/>
              <w:left w:val="single" w:sz="18" w:space="0" w:color="auto"/>
              <w:bottom w:val="dotted" w:sz="4" w:space="0" w:color="auto"/>
              <w:right w:val="single" w:sz="8" w:space="0" w:color="auto"/>
            </w:tcBorders>
            <w:tcMar>
              <w:top w:w="8" w:type="dxa"/>
              <w:left w:w="28" w:type="dxa"/>
              <w:bottom w:w="8" w:type="dxa"/>
              <w:right w:w="28" w:type="dxa"/>
            </w:tcMar>
            <w:vAlign w:val="center"/>
          </w:tcPr>
          <w:p w14:paraId="77946DF2" w14:textId="60E804F0" w:rsidR="00035C45" w:rsidRPr="00035C45" w:rsidRDefault="00434082" w:rsidP="0065528C">
            <w:pPr>
              <w:tabs>
                <w:tab w:val="decimal" w:pos="360"/>
              </w:tabs>
              <w:spacing w:line="200" w:lineRule="auto"/>
              <w:jc w:val="center"/>
              <w:rPr>
                <w:sz w:val="20"/>
                <w:szCs w:val="20"/>
              </w:rPr>
            </w:pPr>
            <w:r>
              <w:rPr>
                <w:sz w:val="20"/>
                <w:szCs w:val="20"/>
              </w:rPr>
              <w:t>-10.82</w:t>
            </w:r>
          </w:p>
        </w:tc>
        <w:tc>
          <w:tcPr>
            <w:tcW w:w="405" w:type="pct"/>
            <w:tcBorders>
              <w:top w:val="dotted" w:sz="4" w:space="0" w:color="auto"/>
              <w:left w:val="single" w:sz="8" w:space="0" w:color="auto"/>
              <w:bottom w:val="dotted" w:sz="4" w:space="0" w:color="auto"/>
              <w:right w:val="single" w:sz="18" w:space="0" w:color="auto"/>
            </w:tcBorders>
            <w:tcMar>
              <w:top w:w="8" w:type="dxa"/>
              <w:left w:w="28" w:type="dxa"/>
              <w:bottom w:w="8" w:type="dxa"/>
              <w:right w:w="28" w:type="dxa"/>
            </w:tcMar>
            <w:vAlign w:val="center"/>
          </w:tcPr>
          <w:p w14:paraId="144AD627" w14:textId="01906FFC" w:rsidR="00035C45" w:rsidRPr="00035C45" w:rsidRDefault="00035C45" w:rsidP="0065528C">
            <w:pPr>
              <w:tabs>
                <w:tab w:val="decimal" w:pos="360"/>
              </w:tabs>
              <w:spacing w:line="200" w:lineRule="auto"/>
              <w:jc w:val="center"/>
              <w:rPr>
                <w:sz w:val="20"/>
                <w:szCs w:val="20"/>
              </w:rPr>
            </w:pPr>
            <w:r w:rsidRPr="00D324DB">
              <w:rPr>
                <w:sz w:val="20"/>
                <w:szCs w:val="20"/>
              </w:rPr>
              <w:t>0.0</w:t>
            </w:r>
            <w:r w:rsidR="00D00FCA">
              <w:rPr>
                <w:sz w:val="20"/>
                <w:szCs w:val="20"/>
              </w:rPr>
              <w:t>9</w:t>
            </w:r>
          </w:p>
        </w:tc>
        <w:tc>
          <w:tcPr>
            <w:tcW w:w="405" w:type="pct"/>
            <w:tcBorders>
              <w:top w:val="dotted" w:sz="4" w:space="0" w:color="auto"/>
              <w:left w:val="single" w:sz="18" w:space="0" w:color="auto"/>
              <w:bottom w:val="dotted" w:sz="4" w:space="0" w:color="auto"/>
              <w:right w:val="single" w:sz="18" w:space="0" w:color="auto"/>
            </w:tcBorders>
            <w:tcMar>
              <w:top w:w="8" w:type="dxa"/>
              <w:left w:w="28" w:type="dxa"/>
              <w:bottom w:w="8" w:type="dxa"/>
              <w:right w:w="28" w:type="dxa"/>
            </w:tcMar>
            <w:vAlign w:val="center"/>
          </w:tcPr>
          <w:p w14:paraId="160645C0" w14:textId="2C39EDDF" w:rsidR="00035C45" w:rsidRPr="00035C45" w:rsidRDefault="00035C45" w:rsidP="0065528C">
            <w:pPr>
              <w:tabs>
                <w:tab w:val="decimal" w:pos="360"/>
              </w:tabs>
              <w:spacing w:line="200" w:lineRule="auto"/>
              <w:jc w:val="center"/>
              <w:rPr>
                <w:sz w:val="20"/>
                <w:szCs w:val="20"/>
              </w:rPr>
            </w:pPr>
            <w:r w:rsidRPr="00D324DB">
              <w:rPr>
                <w:sz w:val="20"/>
                <w:szCs w:val="20"/>
              </w:rPr>
              <w:t>0.8</w:t>
            </w:r>
            <w:r w:rsidR="00D00FCA">
              <w:rPr>
                <w:sz w:val="20"/>
                <w:szCs w:val="20"/>
              </w:rPr>
              <w:t>7</w:t>
            </w:r>
          </w:p>
        </w:tc>
        <w:tc>
          <w:tcPr>
            <w:tcW w:w="405" w:type="pct"/>
            <w:tcBorders>
              <w:top w:val="dotted" w:sz="4" w:space="0" w:color="auto"/>
              <w:left w:val="single" w:sz="18" w:space="0" w:color="auto"/>
              <w:bottom w:val="dotted" w:sz="4" w:space="0" w:color="auto"/>
              <w:right w:val="single" w:sz="8" w:space="0" w:color="auto"/>
            </w:tcBorders>
            <w:tcMar>
              <w:top w:w="8" w:type="dxa"/>
              <w:left w:w="28" w:type="dxa"/>
              <w:bottom w:w="8" w:type="dxa"/>
              <w:right w:w="28" w:type="dxa"/>
            </w:tcMar>
            <w:vAlign w:val="center"/>
          </w:tcPr>
          <w:p w14:paraId="09AE9758" w14:textId="718A9C6E" w:rsidR="00035C45" w:rsidRPr="00035C45" w:rsidRDefault="00035C45" w:rsidP="0065528C">
            <w:pPr>
              <w:tabs>
                <w:tab w:val="decimal" w:pos="360"/>
              </w:tabs>
              <w:spacing w:line="200" w:lineRule="auto"/>
              <w:jc w:val="center"/>
              <w:rPr>
                <w:sz w:val="20"/>
                <w:szCs w:val="20"/>
              </w:rPr>
            </w:pPr>
            <w:r w:rsidRPr="00D324DB">
              <w:rPr>
                <w:sz w:val="20"/>
                <w:szCs w:val="20"/>
              </w:rPr>
              <w:t>0.1</w:t>
            </w:r>
            <w:r w:rsidR="00D00FCA">
              <w:rPr>
                <w:sz w:val="20"/>
                <w:szCs w:val="20"/>
              </w:rPr>
              <w:t>2</w:t>
            </w:r>
          </w:p>
        </w:tc>
        <w:tc>
          <w:tcPr>
            <w:tcW w:w="389" w:type="pct"/>
            <w:tcBorders>
              <w:top w:val="dotted" w:sz="4" w:space="0" w:color="auto"/>
              <w:left w:val="single" w:sz="8" w:space="0" w:color="auto"/>
              <w:bottom w:val="dotted" w:sz="4" w:space="0" w:color="auto"/>
            </w:tcBorders>
            <w:tcMar>
              <w:top w:w="8" w:type="dxa"/>
              <w:left w:w="28" w:type="dxa"/>
              <w:bottom w:w="8" w:type="dxa"/>
              <w:right w:w="28" w:type="dxa"/>
            </w:tcMar>
            <w:vAlign w:val="center"/>
          </w:tcPr>
          <w:p w14:paraId="09F0AE1D" w14:textId="3E1B6B26" w:rsidR="00035C45" w:rsidRPr="00035C45" w:rsidRDefault="00434082" w:rsidP="0065528C">
            <w:pPr>
              <w:tabs>
                <w:tab w:val="decimal" w:pos="360"/>
              </w:tabs>
              <w:spacing w:line="200" w:lineRule="auto"/>
              <w:jc w:val="center"/>
              <w:rPr>
                <w:sz w:val="20"/>
                <w:szCs w:val="20"/>
              </w:rPr>
            </w:pPr>
            <w:r>
              <w:rPr>
                <w:sz w:val="20"/>
                <w:szCs w:val="20"/>
              </w:rPr>
              <w:t>-20.58</w:t>
            </w:r>
          </w:p>
        </w:tc>
      </w:tr>
      <w:tr w:rsidR="00035C45" w:rsidRPr="0031252B" w14:paraId="14579DEF" w14:textId="77777777" w:rsidTr="00313300">
        <w:trPr>
          <w:cantSplit/>
          <w:trHeight w:val="288"/>
        </w:trPr>
        <w:tc>
          <w:tcPr>
            <w:tcW w:w="592" w:type="pct"/>
            <w:vMerge/>
            <w:tcBorders>
              <w:right w:val="single" w:sz="18" w:space="0" w:color="auto"/>
            </w:tcBorders>
            <w:tcMar>
              <w:top w:w="8" w:type="dxa"/>
              <w:left w:w="28" w:type="dxa"/>
              <w:bottom w:w="8" w:type="dxa"/>
              <w:right w:w="28" w:type="dxa"/>
            </w:tcMar>
          </w:tcPr>
          <w:p w14:paraId="59DC4E34" w14:textId="77777777" w:rsidR="00035C45" w:rsidRPr="00035C45" w:rsidRDefault="00035C45" w:rsidP="00035C45">
            <w:pPr>
              <w:spacing w:line="200" w:lineRule="auto"/>
              <w:rPr>
                <w:sz w:val="20"/>
                <w:szCs w:val="20"/>
              </w:rPr>
            </w:pPr>
          </w:p>
        </w:tc>
        <w:tc>
          <w:tcPr>
            <w:tcW w:w="592" w:type="pct"/>
            <w:vMerge/>
            <w:tcBorders>
              <w:right w:val="single" w:sz="18" w:space="0" w:color="auto"/>
            </w:tcBorders>
          </w:tcPr>
          <w:p w14:paraId="73B0FEEC" w14:textId="77777777" w:rsidR="00035C45" w:rsidRPr="00035C45" w:rsidRDefault="00035C45" w:rsidP="00035C45">
            <w:pPr>
              <w:spacing w:line="200" w:lineRule="auto"/>
              <w:rPr>
                <w:sz w:val="20"/>
                <w:szCs w:val="20"/>
              </w:rPr>
            </w:pPr>
          </w:p>
        </w:tc>
        <w:tc>
          <w:tcPr>
            <w:tcW w:w="592" w:type="pct"/>
            <w:tcBorders>
              <w:top w:val="dotted" w:sz="4" w:space="0" w:color="auto"/>
              <w:bottom w:val="dotted" w:sz="4" w:space="0" w:color="auto"/>
              <w:right w:val="single" w:sz="18" w:space="0" w:color="auto"/>
            </w:tcBorders>
            <w:vAlign w:val="center"/>
          </w:tcPr>
          <w:p w14:paraId="6830A25C" w14:textId="29BC435B" w:rsidR="00035C45" w:rsidRPr="00035C45" w:rsidRDefault="00035C45" w:rsidP="00DE26EB">
            <w:pPr>
              <w:spacing w:line="200" w:lineRule="auto"/>
              <w:rPr>
                <w:sz w:val="20"/>
                <w:szCs w:val="20"/>
              </w:rPr>
            </w:pPr>
            <w:r w:rsidRPr="008D6870">
              <w:rPr>
                <w:sz w:val="20"/>
                <w:szCs w:val="20"/>
              </w:rPr>
              <w:t>65 to 74 years</w:t>
            </w:r>
          </w:p>
        </w:tc>
        <w:tc>
          <w:tcPr>
            <w:tcW w:w="405" w:type="pct"/>
            <w:tcBorders>
              <w:top w:val="dotted" w:sz="4" w:space="0" w:color="auto"/>
              <w:left w:val="single" w:sz="18" w:space="0" w:color="auto"/>
              <w:bottom w:val="dotted" w:sz="4" w:space="0" w:color="auto"/>
              <w:right w:val="single" w:sz="18" w:space="0" w:color="auto"/>
            </w:tcBorders>
            <w:tcMar>
              <w:top w:w="8" w:type="dxa"/>
              <w:left w:w="28" w:type="dxa"/>
              <w:bottom w:w="8" w:type="dxa"/>
              <w:right w:w="28" w:type="dxa"/>
            </w:tcMar>
            <w:vAlign w:val="center"/>
          </w:tcPr>
          <w:p w14:paraId="2CD1A2BA" w14:textId="38C63317" w:rsidR="00035C45" w:rsidRPr="00035C45" w:rsidRDefault="00711B66" w:rsidP="0065528C">
            <w:pPr>
              <w:tabs>
                <w:tab w:val="decimal" w:pos="360"/>
              </w:tabs>
              <w:spacing w:line="200" w:lineRule="auto"/>
              <w:jc w:val="center"/>
              <w:rPr>
                <w:sz w:val="20"/>
                <w:szCs w:val="20"/>
              </w:rPr>
            </w:pPr>
            <w:r>
              <w:rPr>
                <w:sz w:val="20"/>
                <w:szCs w:val="20"/>
              </w:rPr>
              <w:t>123.11</w:t>
            </w:r>
          </w:p>
        </w:tc>
        <w:tc>
          <w:tcPr>
            <w:tcW w:w="405" w:type="pct"/>
            <w:tcBorders>
              <w:top w:val="dotted" w:sz="4" w:space="0" w:color="auto"/>
              <w:left w:val="single" w:sz="18" w:space="0" w:color="auto"/>
              <w:bottom w:val="dotted" w:sz="4" w:space="0" w:color="auto"/>
              <w:right w:val="single" w:sz="8" w:space="0" w:color="auto"/>
            </w:tcBorders>
            <w:tcMar>
              <w:top w:w="8" w:type="dxa"/>
              <w:left w:w="28" w:type="dxa"/>
              <w:bottom w:w="8" w:type="dxa"/>
              <w:right w:w="28" w:type="dxa"/>
            </w:tcMar>
            <w:vAlign w:val="center"/>
          </w:tcPr>
          <w:p w14:paraId="015C845A" w14:textId="0C7E43FE" w:rsidR="00035C45" w:rsidRPr="00035C45" w:rsidRDefault="00035C45" w:rsidP="0065528C">
            <w:pPr>
              <w:tabs>
                <w:tab w:val="decimal" w:pos="360"/>
              </w:tabs>
              <w:spacing w:line="200" w:lineRule="auto"/>
              <w:jc w:val="center"/>
              <w:rPr>
                <w:sz w:val="20"/>
                <w:szCs w:val="20"/>
              </w:rPr>
            </w:pPr>
            <w:r w:rsidRPr="00D324DB">
              <w:rPr>
                <w:sz w:val="20"/>
                <w:szCs w:val="20"/>
              </w:rPr>
              <w:t>-0.0</w:t>
            </w:r>
            <w:r w:rsidR="00D00FCA">
              <w:rPr>
                <w:sz w:val="20"/>
                <w:szCs w:val="20"/>
              </w:rPr>
              <w:t>6</w:t>
            </w:r>
          </w:p>
        </w:tc>
        <w:tc>
          <w:tcPr>
            <w:tcW w:w="405" w:type="pct"/>
            <w:tcBorders>
              <w:top w:val="dotted" w:sz="4" w:space="0" w:color="auto"/>
              <w:left w:val="single" w:sz="8" w:space="0" w:color="auto"/>
              <w:bottom w:val="dotted" w:sz="4" w:space="0" w:color="auto"/>
              <w:right w:val="single" w:sz="18" w:space="0" w:color="auto"/>
            </w:tcBorders>
            <w:tcMar>
              <w:top w:w="8" w:type="dxa"/>
              <w:left w:w="28" w:type="dxa"/>
              <w:bottom w:w="8" w:type="dxa"/>
              <w:right w:w="28" w:type="dxa"/>
            </w:tcMar>
            <w:vAlign w:val="center"/>
          </w:tcPr>
          <w:p w14:paraId="554E2ECF" w14:textId="12B4B756" w:rsidR="00035C45" w:rsidRPr="00035C45" w:rsidRDefault="00035C45" w:rsidP="0065528C">
            <w:pPr>
              <w:tabs>
                <w:tab w:val="decimal" w:pos="360"/>
              </w:tabs>
              <w:spacing w:line="200" w:lineRule="auto"/>
              <w:jc w:val="center"/>
              <w:rPr>
                <w:sz w:val="20"/>
                <w:szCs w:val="20"/>
              </w:rPr>
            </w:pPr>
            <w:r w:rsidRPr="00D324DB">
              <w:rPr>
                <w:sz w:val="20"/>
                <w:szCs w:val="20"/>
              </w:rPr>
              <w:t>-0.0</w:t>
            </w:r>
            <w:r w:rsidR="00D00FCA">
              <w:rPr>
                <w:sz w:val="20"/>
                <w:szCs w:val="20"/>
              </w:rPr>
              <w:t>2</w:t>
            </w:r>
          </w:p>
        </w:tc>
        <w:tc>
          <w:tcPr>
            <w:tcW w:w="405" w:type="pct"/>
            <w:tcBorders>
              <w:top w:val="dotted" w:sz="4" w:space="0" w:color="auto"/>
              <w:left w:val="single" w:sz="18" w:space="0" w:color="auto"/>
              <w:bottom w:val="dotted" w:sz="4" w:space="0" w:color="auto"/>
              <w:right w:val="single" w:sz="8" w:space="0" w:color="auto"/>
            </w:tcBorders>
            <w:tcMar>
              <w:top w:w="8" w:type="dxa"/>
              <w:left w:w="28" w:type="dxa"/>
              <w:bottom w:w="8" w:type="dxa"/>
              <w:right w:w="28" w:type="dxa"/>
            </w:tcMar>
            <w:vAlign w:val="center"/>
          </w:tcPr>
          <w:p w14:paraId="3366AB4B" w14:textId="25155B26" w:rsidR="00035C45" w:rsidRPr="00035C45" w:rsidRDefault="00035C45" w:rsidP="0065528C">
            <w:pPr>
              <w:tabs>
                <w:tab w:val="decimal" w:pos="360"/>
              </w:tabs>
              <w:spacing w:line="200" w:lineRule="auto"/>
              <w:jc w:val="center"/>
              <w:rPr>
                <w:sz w:val="20"/>
                <w:szCs w:val="20"/>
              </w:rPr>
            </w:pPr>
            <w:r w:rsidRPr="00D324DB">
              <w:rPr>
                <w:sz w:val="20"/>
                <w:szCs w:val="20"/>
              </w:rPr>
              <w:t>-0.22</w:t>
            </w:r>
          </w:p>
        </w:tc>
        <w:tc>
          <w:tcPr>
            <w:tcW w:w="405" w:type="pct"/>
            <w:tcBorders>
              <w:top w:val="dotted" w:sz="4" w:space="0" w:color="auto"/>
              <w:left w:val="single" w:sz="8" w:space="0" w:color="auto"/>
              <w:bottom w:val="dotted" w:sz="4" w:space="0" w:color="auto"/>
              <w:right w:val="single" w:sz="18" w:space="0" w:color="auto"/>
            </w:tcBorders>
            <w:tcMar>
              <w:top w:w="8" w:type="dxa"/>
              <w:left w:w="28" w:type="dxa"/>
              <w:bottom w:w="8" w:type="dxa"/>
              <w:right w:w="28" w:type="dxa"/>
            </w:tcMar>
            <w:vAlign w:val="center"/>
          </w:tcPr>
          <w:p w14:paraId="04C6375D" w14:textId="3DFABBA5" w:rsidR="00035C45" w:rsidRPr="00035C45" w:rsidRDefault="00035C45" w:rsidP="0065528C">
            <w:pPr>
              <w:tabs>
                <w:tab w:val="decimal" w:pos="360"/>
              </w:tabs>
              <w:spacing w:line="200" w:lineRule="auto"/>
              <w:jc w:val="center"/>
              <w:rPr>
                <w:sz w:val="20"/>
                <w:szCs w:val="20"/>
              </w:rPr>
            </w:pPr>
            <w:r w:rsidRPr="00D324DB">
              <w:rPr>
                <w:sz w:val="20"/>
                <w:szCs w:val="20"/>
              </w:rPr>
              <w:t>0.1</w:t>
            </w:r>
            <w:r w:rsidR="004A6E76">
              <w:rPr>
                <w:sz w:val="20"/>
                <w:szCs w:val="20"/>
              </w:rPr>
              <w:t>4</w:t>
            </w:r>
          </w:p>
        </w:tc>
        <w:tc>
          <w:tcPr>
            <w:tcW w:w="405" w:type="pct"/>
            <w:tcBorders>
              <w:top w:val="dotted" w:sz="4" w:space="0" w:color="auto"/>
              <w:left w:val="single" w:sz="18" w:space="0" w:color="auto"/>
              <w:bottom w:val="dotted" w:sz="4" w:space="0" w:color="auto"/>
              <w:right w:val="single" w:sz="18" w:space="0" w:color="auto"/>
            </w:tcBorders>
            <w:tcMar>
              <w:top w:w="8" w:type="dxa"/>
              <w:left w:w="28" w:type="dxa"/>
              <w:bottom w:w="8" w:type="dxa"/>
              <w:right w:w="28" w:type="dxa"/>
            </w:tcMar>
            <w:vAlign w:val="center"/>
          </w:tcPr>
          <w:p w14:paraId="43469977" w14:textId="5F4974DE" w:rsidR="00035C45" w:rsidRPr="00035C45" w:rsidRDefault="00035C45" w:rsidP="0065528C">
            <w:pPr>
              <w:tabs>
                <w:tab w:val="decimal" w:pos="360"/>
              </w:tabs>
              <w:spacing w:line="200" w:lineRule="auto"/>
              <w:jc w:val="center"/>
              <w:rPr>
                <w:sz w:val="20"/>
                <w:szCs w:val="20"/>
              </w:rPr>
            </w:pPr>
            <w:r w:rsidRPr="00D324DB">
              <w:rPr>
                <w:sz w:val="20"/>
                <w:szCs w:val="20"/>
              </w:rPr>
              <w:t>1.2</w:t>
            </w:r>
            <w:r w:rsidR="004A6E76">
              <w:rPr>
                <w:sz w:val="20"/>
                <w:szCs w:val="20"/>
              </w:rPr>
              <w:t>2</w:t>
            </w:r>
          </w:p>
        </w:tc>
        <w:tc>
          <w:tcPr>
            <w:tcW w:w="405" w:type="pct"/>
            <w:tcBorders>
              <w:top w:val="dotted" w:sz="4" w:space="0" w:color="auto"/>
              <w:left w:val="single" w:sz="18" w:space="0" w:color="auto"/>
              <w:bottom w:val="dotted" w:sz="4" w:space="0" w:color="auto"/>
              <w:right w:val="single" w:sz="8" w:space="0" w:color="auto"/>
            </w:tcBorders>
            <w:tcMar>
              <w:top w:w="8" w:type="dxa"/>
              <w:left w:w="28" w:type="dxa"/>
              <w:bottom w:w="8" w:type="dxa"/>
              <w:right w:w="28" w:type="dxa"/>
            </w:tcMar>
            <w:vAlign w:val="center"/>
          </w:tcPr>
          <w:p w14:paraId="067A4A4B" w14:textId="2E6F8321" w:rsidR="00035C45" w:rsidRPr="00035C45" w:rsidRDefault="00035C45" w:rsidP="0065528C">
            <w:pPr>
              <w:tabs>
                <w:tab w:val="decimal" w:pos="360"/>
              </w:tabs>
              <w:spacing w:line="200" w:lineRule="auto"/>
              <w:jc w:val="center"/>
              <w:rPr>
                <w:sz w:val="20"/>
                <w:szCs w:val="20"/>
              </w:rPr>
            </w:pPr>
            <w:r w:rsidRPr="00D324DB">
              <w:rPr>
                <w:sz w:val="20"/>
                <w:szCs w:val="20"/>
              </w:rPr>
              <w:t>-0.0</w:t>
            </w:r>
            <w:r w:rsidR="004A6E76">
              <w:rPr>
                <w:sz w:val="20"/>
                <w:szCs w:val="20"/>
              </w:rPr>
              <w:t>5</w:t>
            </w:r>
          </w:p>
        </w:tc>
        <w:tc>
          <w:tcPr>
            <w:tcW w:w="389" w:type="pct"/>
            <w:tcBorders>
              <w:top w:val="dotted" w:sz="4" w:space="0" w:color="auto"/>
              <w:left w:val="single" w:sz="8" w:space="0" w:color="auto"/>
              <w:bottom w:val="dotted" w:sz="4" w:space="0" w:color="auto"/>
            </w:tcBorders>
            <w:tcMar>
              <w:top w:w="8" w:type="dxa"/>
              <w:left w:w="28" w:type="dxa"/>
              <w:bottom w:w="8" w:type="dxa"/>
              <w:right w:w="28" w:type="dxa"/>
            </w:tcMar>
            <w:vAlign w:val="center"/>
          </w:tcPr>
          <w:p w14:paraId="1C80CD7B" w14:textId="5A76F051" w:rsidR="00035C45" w:rsidRPr="00035C45" w:rsidRDefault="00035C45" w:rsidP="0065528C">
            <w:pPr>
              <w:tabs>
                <w:tab w:val="decimal" w:pos="360"/>
              </w:tabs>
              <w:spacing w:line="200" w:lineRule="auto"/>
              <w:jc w:val="center"/>
              <w:rPr>
                <w:sz w:val="20"/>
                <w:szCs w:val="20"/>
              </w:rPr>
            </w:pPr>
            <w:r w:rsidRPr="00D324DB">
              <w:rPr>
                <w:sz w:val="20"/>
                <w:szCs w:val="20"/>
              </w:rPr>
              <w:t>-0.0</w:t>
            </w:r>
            <w:r w:rsidR="004A6E76">
              <w:rPr>
                <w:sz w:val="20"/>
                <w:szCs w:val="20"/>
              </w:rPr>
              <w:t>7</w:t>
            </w:r>
          </w:p>
        </w:tc>
      </w:tr>
      <w:tr w:rsidR="00035C45" w:rsidRPr="0031252B" w14:paraId="53DCAB51" w14:textId="77777777" w:rsidTr="00313300">
        <w:trPr>
          <w:cantSplit/>
          <w:trHeight w:val="288"/>
        </w:trPr>
        <w:tc>
          <w:tcPr>
            <w:tcW w:w="592" w:type="pct"/>
            <w:vMerge/>
            <w:tcBorders>
              <w:bottom w:val="single" w:sz="8" w:space="0" w:color="auto"/>
              <w:right w:val="single" w:sz="18" w:space="0" w:color="auto"/>
            </w:tcBorders>
            <w:tcMar>
              <w:top w:w="8" w:type="dxa"/>
              <w:left w:w="28" w:type="dxa"/>
              <w:bottom w:w="8" w:type="dxa"/>
              <w:right w:w="28" w:type="dxa"/>
            </w:tcMar>
          </w:tcPr>
          <w:p w14:paraId="2F6ECFCA" w14:textId="77777777" w:rsidR="00035C45" w:rsidRPr="00035C45" w:rsidRDefault="00035C45" w:rsidP="00035C45">
            <w:pPr>
              <w:spacing w:line="200" w:lineRule="auto"/>
              <w:rPr>
                <w:sz w:val="20"/>
                <w:szCs w:val="20"/>
              </w:rPr>
            </w:pPr>
          </w:p>
        </w:tc>
        <w:tc>
          <w:tcPr>
            <w:tcW w:w="592" w:type="pct"/>
            <w:vMerge/>
            <w:tcBorders>
              <w:bottom w:val="single" w:sz="8" w:space="0" w:color="auto"/>
              <w:right w:val="single" w:sz="18" w:space="0" w:color="auto"/>
            </w:tcBorders>
          </w:tcPr>
          <w:p w14:paraId="49263693" w14:textId="77777777" w:rsidR="00035C45" w:rsidRPr="00035C45" w:rsidRDefault="00035C45" w:rsidP="00035C45">
            <w:pPr>
              <w:spacing w:line="200" w:lineRule="auto"/>
              <w:rPr>
                <w:sz w:val="20"/>
                <w:szCs w:val="20"/>
              </w:rPr>
            </w:pPr>
          </w:p>
        </w:tc>
        <w:tc>
          <w:tcPr>
            <w:tcW w:w="592" w:type="pct"/>
            <w:tcBorders>
              <w:top w:val="dotted" w:sz="4" w:space="0" w:color="auto"/>
              <w:bottom w:val="single" w:sz="8" w:space="0" w:color="auto"/>
              <w:right w:val="single" w:sz="18" w:space="0" w:color="auto"/>
            </w:tcBorders>
            <w:vAlign w:val="center"/>
          </w:tcPr>
          <w:p w14:paraId="5A087619" w14:textId="7C8757B7" w:rsidR="00035C45" w:rsidRPr="00035C45" w:rsidRDefault="00035C45" w:rsidP="00DE26EB">
            <w:pPr>
              <w:spacing w:line="200" w:lineRule="auto"/>
              <w:rPr>
                <w:sz w:val="20"/>
                <w:szCs w:val="20"/>
              </w:rPr>
            </w:pPr>
            <w:r w:rsidRPr="008D6870">
              <w:rPr>
                <w:sz w:val="20"/>
                <w:szCs w:val="20"/>
              </w:rPr>
              <w:t>75 years or older</w:t>
            </w:r>
          </w:p>
        </w:tc>
        <w:tc>
          <w:tcPr>
            <w:tcW w:w="405" w:type="pct"/>
            <w:tcBorders>
              <w:top w:val="dotted" w:sz="4" w:space="0" w:color="auto"/>
              <w:left w:val="single" w:sz="18" w:space="0" w:color="auto"/>
              <w:bottom w:val="single" w:sz="8" w:space="0" w:color="auto"/>
              <w:right w:val="single" w:sz="18" w:space="0" w:color="auto"/>
            </w:tcBorders>
            <w:tcMar>
              <w:top w:w="8" w:type="dxa"/>
              <w:left w:w="28" w:type="dxa"/>
              <w:bottom w:w="8" w:type="dxa"/>
              <w:right w:w="28" w:type="dxa"/>
            </w:tcMar>
            <w:vAlign w:val="center"/>
          </w:tcPr>
          <w:p w14:paraId="11A78EFA" w14:textId="5AA33EE5" w:rsidR="00035C45" w:rsidRPr="00035C45" w:rsidRDefault="007552C6" w:rsidP="0065528C">
            <w:pPr>
              <w:tabs>
                <w:tab w:val="decimal" w:pos="360"/>
              </w:tabs>
              <w:spacing w:line="200" w:lineRule="auto"/>
              <w:jc w:val="center"/>
              <w:rPr>
                <w:sz w:val="20"/>
                <w:szCs w:val="20"/>
              </w:rPr>
            </w:pPr>
            <w:r>
              <w:rPr>
                <w:sz w:val="20"/>
                <w:szCs w:val="20"/>
              </w:rPr>
              <w:t>171.49</w:t>
            </w:r>
          </w:p>
        </w:tc>
        <w:tc>
          <w:tcPr>
            <w:tcW w:w="405" w:type="pct"/>
            <w:tcBorders>
              <w:top w:val="dotted" w:sz="4" w:space="0" w:color="auto"/>
              <w:left w:val="single" w:sz="18" w:space="0" w:color="auto"/>
              <w:bottom w:val="single" w:sz="8" w:space="0" w:color="auto"/>
              <w:right w:val="single" w:sz="8" w:space="0" w:color="auto"/>
            </w:tcBorders>
            <w:tcMar>
              <w:top w:w="8" w:type="dxa"/>
              <w:left w:w="28" w:type="dxa"/>
              <w:bottom w:w="8" w:type="dxa"/>
              <w:right w:w="28" w:type="dxa"/>
            </w:tcMar>
            <w:vAlign w:val="center"/>
          </w:tcPr>
          <w:p w14:paraId="6424C3E4" w14:textId="2AD23DD7" w:rsidR="00035C45" w:rsidRPr="00035C45" w:rsidRDefault="00035C45" w:rsidP="0065528C">
            <w:pPr>
              <w:tabs>
                <w:tab w:val="decimal" w:pos="360"/>
              </w:tabs>
              <w:spacing w:line="200" w:lineRule="auto"/>
              <w:jc w:val="center"/>
              <w:rPr>
                <w:sz w:val="20"/>
                <w:szCs w:val="20"/>
              </w:rPr>
            </w:pPr>
            <w:r w:rsidRPr="00D324DB">
              <w:rPr>
                <w:sz w:val="20"/>
                <w:szCs w:val="20"/>
              </w:rPr>
              <w:t>-0.3</w:t>
            </w:r>
            <w:r w:rsidR="004A6E76">
              <w:rPr>
                <w:sz w:val="20"/>
                <w:szCs w:val="20"/>
              </w:rPr>
              <w:t>8</w:t>
            </w:r>
          </w:p>
        </w:tc>
        <w:tc>
          <w:tcPr>
            <w:tcW w:w="405" w:type="pct"/>
            <w:tcBorders>
              <w:top w:val="dotted" w:sz="4" w:space="0" w:color="auto"/>
              <w:left w:val="single" w:sz="8" w:space="0" w:color="auto"/>
              <w:bottom w:val="single" w:sz="8" w:space="0" w:color="auto"/>
              <w:right w:val="single" w:sz="18" w:space="0" w:color="auto"/>
            </w:tcBorders>
            <w:tcMar>
              <w:top w:w="8" w:type="dxa"/>
              <w:left w:w="28" w:type="dxa"/>
              <w:bottom w:w="8" w:type="dxa"/>
              <w:right w:w="28" w:type="dxa"/>
            </w:tcMar>
            <w:vAlign w:val="center"/>
          </w:tcPr>
          <w:p w14:paraId="717BEF12" w14:textId="039A48E3" w:rsidR="00035C45" w:rsidRPr="00035C45" w:rsidRDefault="007552C6" w:rsidP="0065528C">
            <w:pPr>
              <w:tabs>
                <w:tab w:val="decimal" w:pos="360"/>
              </w:tabs>
              <w:spacing w:line="200" w:lineRule="auto"/>
              <w:jc w:val="center"/>
              <w:rPr>
                <w:sz w:val="20"/>
                <w:szCs w:val="20"/>
              </w:rPr>
            </w:pPr>
            <w:r>
              <w:rPr>
                <w:sz w:val="20"/>
                <w:szCs w:val="20"/>
              </w:rPr>
              <w:t>-61.56</w:t>
            </w:r>
          </w:p>
        </w:tc>
        <w:tc>
          <w:tcPr>
            <w:tcW w:w="405" w:type="pct"/>
            <w:tcBorders>
              <w:top w:val="dotted" w:sz="4" w:space="0" w:color="auto"/>
              <w:left w:val="single" w:sz="18" w:space="0" w:color="auto"/>
              <w:bottom w:val="single" w:sz="8" w:space="0" w:color="auto"/>
              <w:right w:val="single" w:sz="8" w:space="0" w:color="auto"/>
            </w:tcBorders>
            <w:tcMar>
              <w:top w:w="8" w:type="dxa"/>
              <w:left w:w="28" w:type="dxa"/>
              <w:bottom w:w="8" w:type="dxa"/>
              <w:right w:w="28" w:type="dxa"/>
            </w:tcMar>
            <w:vAlign w:val="center"/>
          </w:tcPr>
          <w:p w14:paraId="3A8F7F4C" w14:textId="2C690B9F" w:rsidR="00035C45" w:rsidRPr="00035C45" w:rsidRDefault="00035C45" w:rsidP="0065528C">
            <w:pPr>
              <w:tabs>
                <w:tab w:val="decimal" w:pos="360"/>
              </w:tabs>
              <w:spacing w:line="200" w:lineRule="auto"/>
              <w:jc w:val="center"/>
              <w:rPr>
                <w:sz w:val="20"/>
                <w:szCs w:val="20"/>
              </w:rPr>
            </w:pPr>
            <w:r w:rsidRPr="00D324DB">
              <w:rPr>
                <w:sz w:val="20"/>
                <w:szCs w:val="20"/>
              </w:rPr>
              <w:t>-0.5</w:t>
            </w:r>
            <w:r w:rsidR="004A6E76">
              <w:rPr>
                <w:sz w:val="20"/>
                <w:szCs w:val="20"/>
              </w:rPr>
              <w:t>1</w:t>
            </w:r>
          </w:p>
        </w:tc>
        <w:tc>
          <w:tcPr>
            <w:tcW w:w="405" w:type="pct"/>
            <w:tcBorders>
              <w:top w:val="dotted" w:sz="4" w:space="0" w:color="auto"/>
              <w:left w:val="single" w:sz="8" w:space="0" w:color="auto"/>
              <w:bottom w:val="single" w:sz="8" w:space="0" w:color="auto"/>
              <w:right w:val="single" w:sz="18" w:space="0" w:color="auto"/>
            </w:tcBorders>
            <w:tcMar>
              <w:top w:w="8" w:type="dxa"/>
              <w:left w:w="28" w:type="dxa"/>
              <w:bottom w:w="8" w:type="dxa"/>
              <w:right w:w="28" w:type="dxa"/>
            </w:tcMar>
            <w:vAlign w:val="center"/>
          </w:tcPr>
          <w:p w14:paraId="2E1366E5" w14:textId="70A8A439" w:rsidR="00035C45" w:rsidRPr="00035C45" w:rsidRDefault="007552C6" w:rsidP="0065528C">
            <w:pPr>
              <w:tabs>
                <w:tab w:val="decimal" w:pos="360"/>
              </w:tabs>
              <w:spacing w:line="200" w:lineRule="auto"/>
              <w:jc w:val="center"/>
              <w:rPr>
                <w:sz w:val="20"/>
                <w:szCs w:val="20"/>
              </w:rPr>
            </w:pPr>
            <w:r>
              <w:rPr>
                <w:sz w:val="20"/>
                <w:szCs w:val="20"/>
              </w:rPr>
              <w:t>-25.47</w:t>
            </w:r>
          </w:p>
        </w:tc>
        <w:tc>
          <w:tcPr>
            <w:tcW w:w="405" w:type="pct"/>
            <w:tcBorders>
              <w:top w:val="dotted" w:sz="4" w:space="0" w:color="auto"/>
              <w:left w:val="single" w:sz="18" w:space="0" w:color="auto"/>
              <w:bottom w:val="single" w:sz="8" w:space="0" w:color="auto"/>
              <w:right w:val="single" w:sz="18" w:space="0" w:color="auto"/>
            </w:tcBorders>
            <w:tcMar>
              <w:top w:w="8" w:type="dxa"/>
              <w:left w:w="28" w:type="dxa"/>
              <w:bottom w:w="8" w:type="dxa"/>
              <w:right w:w="28" w:type="dxa"/>
            </w:tcMar>
            <w:vAlign w:val="center"/>
          </w:tcPr>
          <w:p w14:paraId="395F2254" w14:textId="2A6A4968" w:rsidR="00035C45" w:rsidRPr="00035C45" w:rsidRDefault="00035C45" w:rsidP="0065528C">
            <w:pPr>
              <w:tabs>
                <w:tab w:val="decimal" w:pos="360"/>
              </w:tabs>
              <w:spacing w:line="200" w:lineRule="auto"/>
              <w:jc w:val="center"/>
              <w:rPr>
                <w:sz w:val="20"/>
                <w:szCs w:val="20"/>
              </w:rPr>
            </w:pPr>
            <w:r w:rsidRPr="00D324DB">
              <w:rPr>
                <w:sz w:val="20"/>
                <w:szCs w:val="20"/>
              </w:rPr>
              <w:t>0.</w:t>
            </w:r>
            <w:r w:rsidR="004A6E76">
              <w:rPr>
                <w:sz w:val="20"/>
                <w:szCs w:val="20"/>
              </w:rPr>
              <w:t>53</w:t>
            </w:r>
          </w:p>
        </w:tc>
        <w:tc>
          <w:tcPr>
            <w:tcW w:w="405" w:type="pct"/>
            <w:tcBorders>
              <w:top w:val="dotted" w:sz="4" w:space="0" w:color="auto"/>
              <w:left w:val="single" w:sz="18" w:space="0" w:color="auto"/>
              <w:bottom w:val="single" w:sz="8" w:space="0" w:color="auto"/>
              <w:right w:val="single" w:sz="8" w:space="0" w:color="auto"/>
            </w:tcBorders>
            <w:tcMar>
              <w:top w:w="8" w:type="dxa"/>
              <w:left w:w="28" w:type="dxa"/>
              <w:bottom w:w="8" w:type="dxa"/>
              <w:right w:w="28" w:type="dxa"/>
            </w:tcMar>
            <w:vAlign w:val="center"/>
          </w:tcPr>
          <w:p w14:paraId="11B4C0C4" w14:textId="4D4B4AFB" w:rsidR="00035C45" w:rsidRPr="00035C45" w:rsidRDefault="00035C45" w:rsidP="0065528C">
            <w:pPr>
              <w:tabs>
                <w:tab w:val="decimal" w:pos="360"/>
              </w:tabs>
              <w:spacing w:line="200" w:lineRule="auto"/>
              <w:jc w:val="center"/>
              <w:rPr>
                <w:sz w:val="20"/>
                <w:szCs w:val="20"/>
              </w:rPr>
            </w:pPr>
            <w:r w:rsidRPr="00D324DB">
              <w:rPr>
                <w:sz w:val="20"/>
                <w:szCs w:val="20"/>
              </w:rPr>
              <w:t>-0.4</w:t>
            </w:r>
            <w:r w:rsidR="004A6E76">
              <w:rPr>
                <w:sz w:val="20"/>
                <w:szCs w:val="20"/>
              </w:rPr>
              <w:t>8</w:t>
            </w:r>
          </w:p>
        </w:tc>
        <w:tc>
          <w:tcPr>
            <w:tcW w:w="389" w:type="pct"/>
            <w:tcBorders>
              <w:top w:val="dotted" w:sz="4" w:space="0" w:color="auto"/>
              <w:left w:val="single" w:sz="8" w:space="0" w:color="auto"/>
              <w:bottom w:val="single" w:sz="8" w:space="0" w:color="auto"/>
            </w:tcBorders>
            <w:tcMar>
              <w:top w:w="8" w:type="dxa"/>
              <w:left w:w="28" w:type="dxa"/>
              <w:bottom w:w="8" w:type="dxa"/>
              <w:right w:w="28" w:type="dxa"/>
            </w:tcMar>
            <w:vAlign w:val="center"/>
          </w:tcPr>
          <w:p w14:paraId="5E53E748" w14:textId="29508121" w:rsidR="00035C45" w:rsidRPr="00035C45" w:rsidRDefault="00035C45" w:rsidP="0065528C">
            <w:pPr>
              <w:tabs>
                <w:tab w:val="decimal" w:pos="360"/>
              </w:tabs>
              <w:spacing w:line="200" w:lineRule="auto"/>
              <w:jc w:val="center"/>
              <w:rPr>
                <w:sz w:val="20"/>
                <w:szCs w:val="20"/>
              </w:rPr>
            </w:pPr>
            <w:r w:rsidRPr="00D324DB">
              <w:rPr>
                <w:sz w:val="20"/>
                <w:szCs w:val="20"/>
              </w:rPr>
              <w:t>-0.35</w:t>
            </w:r>
          </w:p>
        </w:tc>
      </w:tr>
      <w:tr w:rsidR="00035C45" w:rsidRPr="0031252B" w14:paraId="5AF4123A" w14:textId="77777777" w:rsidTr="00313300">
        <w:trPr>
          <w:cantSplit/>
          <w:trHeight w:val="187"/>
        </w:trPr>
        <w:tc>
          <w:tcPr>
            <w:tcW w:w="592" w:type="pct"/>
            <w:tcBorders>
              <w:top w:val="single" w:sz="8" w:space="0" w:color="auto"/>
              <w:bottom w:val="single" w:sz="8" w:space="0" w:color="auto"/>
              <w:right w:val="single" w:sz="18" w:space="0" w:color="auto"/>
            </w:tcBorders>
            <w:tcMar>
              <w:top w:w="8" w:type="dxa"/>
              <w:left w:w="28" w:type="dxa"/>
              <w:bottom w:w="8" w:type="dxa"/>
              <w:right w:w="28" w:type="dxa"/>
            </w:tcMar>
            <w:vAlign w:val="center"/>
          </w:tcPr>
          <w:p w14:paraId="53A52D6C" w14:textId="56934082" w:rsidR="00035C45" w:rsidRPr="00035C45" w:rsidRDefault="00035C45" w:rsidP="007F45E4">
            <w:pPr>
              <w:spacing w:line="200" w:lineRule="auto"/>
              <w:rPr>
                <w:sz w:val="20"/>
                <w:szCs w:val="20"/>
              </w:rPr>
            </w:pPr>
            <w:r w:rsidRPr="00035C45">
              <w:rPr>
                <w:sz w:val="20"/>
                <w:szCs w:val="20"/>
              </w:rPr>
              <w:t>Employment status</w:t>
            </w:r>
          </w:p>
        </w:tc>
        <w:tc>
          <w:tcPr>
            <w:tcW w:w="592" w:type="pct"/>
            <w:tcBorders>
              <w:top w:val="single" w:sz="8" w:space="0" w:color="auto"/>
              <w:bottom w:val="single" w:sz="8" w:space="0" w:color="auto"/>
              <w:right w:val="single" w:sz="18" w:space="0" w:color="auto"/>
            </w:tcBorders>
            <w:vAlign w:val="center"/>
          </w:tcPr>
          <w:p w14:paraId="02CC70C3" w14:textId="6A1EA1F3" w:rsidR="00035C45" w:rsidRPr="00035C45" w:rsidRDefault="00035C45" w:rsidP="007F45E4">
            <w:pPr>
              <w:spacing w:line="200" w:lineRule="auto"/>
              <w:rPr>
                <w:sz w:val="20"/>
                <w:szCs w:val="20"/>
              </w:rPr>
            </w:pPr>
            <w:r w:rsidRPr="00035C45">
              <w:rPr>
                <w:sz w:val="20"/>
                <w:szCs w:val="20"/>
              </w:rPr>
              <w:t>Not employed</w:t>
            </w:r>
          </w:p>
        </w:tc>
        <w:tc>
          <w:tcPr>
            <w:tcW w:w="592" w:type="pct"/>
            <w:tcBorders>
              <w:top w:val="single" w:sz="8" w:space="0" w:color="auto"/>
              <w:bottom w:val="single" w:sz="8" w:space="0" w:color="auto"/>
              <w:right w:val="single" w:sz="18" w:space="0" w:color="auto"/>
            </w:tcBorders>
            <w:vAlign w:val="center"/>
          </w:tcPr>
          <w:p w14:paraId="780EAB39" w14:textId="3437E89B" w:rsidR="00035C45" w:rsidRPr="00035C45" w:rsidRDefault="00035C45" w:rsidP="007F45E4">
            <w:pPr>
              <w:spacing w:line="200" w:lineRule="auto"/>
              <w:rPr>
                <w:sz w:val="20"/>
                <w:szCs w:val="20"/>
              </w:rPr>
            </w:pPr>
            <w:r w:rsidRPr="00035C45">
              <w:rPr>
                <w:sz w:val="20"/>
                <w:szCs w:val="20"/>
              </w:rPr>
              <w:t>Full-time</w:t>
            </w:r>
          </w:p>
        </w:tc>
        <w:tc>
          <w:tcPr>
            <w:tcW w:w="405" w:type="pct"/>
            <w:tcBorders>
              <w:top w:val="single" w:sz="8" w:space="0" w:color="auto"/>
              <w:left w:val="single" w:sz="18" w:space="0" w:color="auto"/>
              <w:bottom w:val="single" w:sz="8" w:space="0" w:color="auto"/>
              <w:right w:val="single" w:sz="18" w:space="0" w:color="auto"/>
            </w:tcBorders>
            <w:tcMar>
              <w:top w:w="8" w:type="dxa"/>
              <w:left w:w="28" w:type="dxa"/>
              <w:bottom w:w="8" w:type="dxa"/>
              <w:right w:w="28" w:type="dxa"/>
            </w:tcMar>
            <w:vAlign w:val="center"/>
          </w:tcPr>
          <w:p w14:paraId="65CBA75D" w14:textId="0891869C" w:rsidR="00035C45" w:rsidRPr="00035C45" w:rsidRDefault="008F2DF6" w:rsidP="0065528C">
            <w:pPr>
              <w:tabs>
                <w:tab w:val="decimal" w:pos="360"/>
              </w:tabs>
              <w:spacing w:line="200" w:lineRule="auto"/>
              <w:jc w:val="center"/>
              <w:rPr>
                <w:sz w:val="20"/>
                <w:szCs w:val="20"/>
              </w:rPr>
            </w:pPr>
            <w:r>
              <w:rPr>
                <w:sz w:val="20"/>
                <w:szCs w:val="20"/>
              </w:rPr>
              <w:t>-34.57</w:t>
            </w:r>
          </w:p>
        </w:tc>
        <w:tc>
          <w:tcPr>
            <w:tcW w:w="405" w:type="pct"/>
            <w:tcBorders>
              <w:top w:val="single" w:sz="8" w:space="0" w:color="auto"/>
              <w:left w:val="single" w:sz="18" w:space="0" w:color="auto"/>
              <w:bottom w:val="single" w:sz="8" w:space="0" w:color="auto"/>
              <w:right w:val="single" w:sz="8" w:space="0" w:color="auto"/>
            </w:tcBorders>
            <w:tcMar>
              <w:top w:w="8" w:type="dxa"/>
              <w:left w:w="28" w:type="dxa"/>
              <w:bottom w:w="8" w:type="dxa"/>
              <w:right w:w="28" w:type="dxa"/>
            </w:tcMar>
            <w:vAlign w:val="center"/>
          </w:tcPr>
          <w:p w14:paraId="50E07CB7" w14:textId="3CF52D43" w:rsidR="00035C45" w:rsidRPr="00035C45" w:rsidRDefault="00035C45" w:rsidP="0065528C">
            <w:pPr>
              <w:tabs>
                <w:tab w:val="decimal" w:pos="360"/>
              </w:tabs>
              <w:spacing w:line="200" w:lineRule="auto"/>
              <w:jc w:val="center"/>
              <w:rPr>
                <w:sz w:val="20"/>
                <w:szCs w:val="20"/>
              </w:rPr>
            </w:pPr>
            <w:r w:rsidRPr="00035C45">
              <w:rPr>
                <w:sz w:val="20"/>
                <w:szCs w:val="20"/>
              </w:rPr>
              <w:t>0.1</w:t>
            </w:r>
            <w:r w:rsidR="004A6E76">
              <w:rPr>
                <w:sz w:val="20"/>
                <w:szCs w:val="20"/>
              </w:rPr>
              <w:t>4</w:t>
            </w:r>
          </w:p>
        </w:tc>
        <w:tc>
          <w:tcPr>
            <w:tcW w:w="405" w:type="pct"/>
            <w:tcBorders>
              <w:top w:val="single" w:sz="8" w:space="0" w:color="auto"/>
              <w:left w:val="single" w:sz="8" w:space="0" w:color="auto"/>
              <w:bottom w:val="single" w:sz="8" w:space="0" w:color="auto"/>
              <w:right w:val="single" w:sz="18" w:space="0" w:color="auto"/>
            </w:tcBorders>
            <w:tcMar>
              <w:top w:w="8" w:type="dxa"/>
              <w:left w:w="28" w:type="dxa"/>
              <w:bottom w:w="8" w:type="dxa"/>
              <w:right w:w="28" w:type="dxa"/>
            </w:tcMar>
            <w:vAlign w:val="center"/>
          </w:tcPr>
          <w:p w14:paraId="4F1D61D4" w14:textId="61BFBB66" w:rsidR="00035C45" w:rsidRPr="00035C45" w:rsidRDefault="00035C45" w:rsidP="0065528C">
            <w:pPr>
              <w:tabs>
                <w:tab w:val="decimal" w:pos="360"/>
              </w:tabs>
              <w:spacing w:line="200" w:lineRule="auto"/>
              <w:jc w:val="center"/>
              <w:rPr>
                <w:sz w:val="20"/>
                <w:szCs w:val="20"/>
              </w:rPr>
            </w:pPr>
            <w:r w:rsidRPr="00035C45">
              <w:rPr>
                <w:sz w:val="20"/>
                <w:szCs w:val="20"/>
              </w:rPr>
              <w:t>0.</w:t>
            </w:r>
            <w:r w:rsidR="005A7FDF">
              <w:rPr>
                <w:sz w:val="20"/>
                <w:szCs w:val="20"/>
              </w:rPr>
              <w:t>10</w:t>
            </w:r>
          </w:p>
        </w:tc>
        <w:tc>
          <w:tcPr>
            <w:tcW w:w="405" w:type="pct"/>
            <w:tcBorders>
              <w:top w:val="single" w:sz="8" w:space="0" w:color="auto"/>
              <w:left w:val="single" w:sz="18" w:space="0" w:color="auto"/>
              <w:bottom w:val="single" w:sz="8" w:space="0" w:color="auto"/>
              <w:right w:val="single" w:sz="8" w:space="0" w:color="auto"/>
            </w:tcBorders>
            <w:tcMar>
              <w:top w:w="8" w:type="dxa"/>
              <w:left w:w="28" w:type="dxa"/>
              <w:bottom w:w="8" w:type="dxa"/>
              <w:right w:w="28" w:type="dxa"/>
            </w:tcMar>
            <w:vAlign w:val="center"/>
          </w:tcPr>
          <w:p w14:paraId="353EEAB1" w14:textId="1D25BF9B" w:rsidR="00035C45" w:rsidRPr="00035C45" w:rsidRDefault="00035C45" w:rsidP="0065528C">
            <w:pPr>
              <w:tabs>
                <w:tab w:val="decimal" w:pos="360"/>
              </w:tabs>
              <w:spacing w:line="200" w:lineRule="auto"/>
              <w:jc w:val="center"/>
              <w:rPr>
                <w:sz w:val="20"/>
                <w:szCs w:val="20"/>
              </w:rPr>
            </w:pPr>
            <w:r w:rsidRPr="00035C45">
              <w:rPr>
                <w:sz w:val="20"/>
                <w:szCs w:val="20"/>
              </w:rPr>
              <w:t>0.2</w:t>
            </w:r>
            <w:r w:rsidR="005A7FDF">
              <w:rPr>
                <w:sz w:val="20"/>
                <w:szCs w:val="20"/>
              </w:rPr>
              <w:t>2</w:t>
            </w:r>
          </w:p>
        </w:tc>
        <w:tc>
          <w:tcPr>
            <w:tcW w:w="405" w:type="pct"/>
            <w:tcBorders>
              <w:top w:val="single" w:sz="8" w:space="0" w:color="auto"/>
              <w:left w:val="single" w:sz="8" w:space="0" w:color="auto"/>
              <w:bottom w:val="single" w:sz="8" w:space="0" w:color="auto"/>
              <w:right w:val="single" w:sz="18" w:space="0" w:color="auto"/>
            </w:tcBorders>
            <w:tcMar>
              <w:top w:w="8" w:type="dxa"/>
              <w:left w:w="28" w:type="dxa"/>
              <w:bottom w:w="8" w:type="dxa"/>
              <w:right w:w="28" w:type="dxa"/>
            </w:tcMar>
            <w:vAlign w:val="center"/>
          </w:tcPr>
          <w:p w14:paraId="49BE58A0" w14:textId="35A199A3" w:rsidR="00035C45" w:rsidRPr="00035C45" w:rsidRDefault="00035C45" w:rsidP="0065528C">
            <w:pPr>
              <w:tabs>
                <w:tab w:val="decimal" w:pos="360"/>
              </w:tabs>
              <w:spacing w:line="200" w:lineRule="auto"/>
              <w:jc w:val="center"/>
              <w:rPr>
                <w:sz w:val="20"/>
                <w:szCs w:val="20"/>
              </w:rPr>
            </w:pPr>
            <w:r w:rsidRPr="00035C45">
              <w:rPr>
                <w:sz w:val="20"/>
                <w:szCs w:val="20"/>
              </w:rPr>
              <w:t>0.0</w:t>
            </w:r>
            <w:r w:rsidR="005A7FDF">
              <w:rPr>
                <w:sz w:val="20"/>
                <w:szCs w:val="20"/>
              </w:rPr>
              <w:t>6</w:t>
            </w:r>
          </w:p>
        </w:tc>
        <w:tc>
          <w:tcPr>
            <w:tcW w:w="405" w:type="pct"/>
            <w:tcBorders>
              <w:top w:val="single" w:sz="8" w:space="0" w:color="auto"/>
              <w:left w:val="single" w:sz="18" w:space="0" w:color="auto"/>
              <w:bottom w:val="single" w:sz="8" w:space="0" w:color="auto"/>
              <w:right w:val="single" w:sz="18" w:space="0" w:color="auto"/>
            </w:tcBorders>
            <w:tcMar>
              <w:top w:w="8" w:type="dxa"/>
              <w:left w:w="28" w:type="dxa"/>
              <w:bottom w:w="8" w:type="dxa"/>
              <w:right w:w="28" w:type="dxa"/>
            </w:tcMar>
            <w:vAlign w:val="center"/>
          </w:tcPr>
          <w:p w14:paraId="265AC12D" w14:textId="470777BF" w:rsidR="00035C45" w:rsidRPr="00035C45" w:rsidRDefault="00B13EB2" w:rsidP="0065528C">
            <w:pPr>
              <w:tabs>
                <w:tab w:val="decimal" w:pos="360"/>
              </w:tabs>
              <w:spacing w:line="200" w:lineRule="auto"/>
              <w:jc w:val="center"/>
              <w:rPr>
                <w:sz w:val="20"/>
                <w:szCs w:val="20"/>
              </w:rPr>
            </w:pPr>
            <w:r>
              <w:rPr>
                <w:sz w:val="20"/>
                <w:szCs w:val="20"/>
              </w:rPr>
              <w:t>-62.10</w:t>
            </w:r>
          </w:p>
        </w:tc>
        <w:tc>
          <w:tcPr>
            <w:tcW w:w="405" w:type="pct"/>
            <w:tcBorders>
              <w:top w:val="single" w:sz="8" w:space="0" w:color="auto"/>
              <w:left w:val="single" w:sz="18" w:space="0" w:color="auto"/>
              <w:bottom w:val="single" w:sz="8" w:space="0" w:color="auto"/>
              <w:right w:val="single" w:sz="8" w:space="0" w:color="auto"/>
            </w:tcBorders>
            <w:tcMar>
              <w:top w:w="8" w:type="dxa"/>
              <w:left w:w="28" w:type="dxa"/>
              <w:bottom w:w="8" w:type="dxa"/>
              <w:right w:w="28" w:type="dxa"/>
            </w:tcMar>
            <w:vAlign w:val="center"/>
          </w:tcPr>
          <w:p w14:paraId="02B1A708" w14:textId="1FBD62AF" w:rsidR="00035C45" w:rsidRPr="00035C45" w:rsidRDefault="00035C45" w:rsidP="0065528C">
            <w:pPr>
              <w:tabs>
                <w:tab w:val="decimal" w:pos="360"/>
              </w:tabs>
              <w:spacing w:line="200" w:lineRule="auto"/>
              <w:jc w:val="center"/>
              <w:rPr>
                <w:sz w:val="20"/>
                <w:szCs w:val="20"/>
              </w:rPr>
            </w:pPr>
            <w:r w:rsidRPr="00035C45">
              <w:rPr>
                <w:sz w:val="20"/>
                <w:szCs w:val="20"/>
              </w:rPr>
              <w:t>0.0</w:t>
            </w:r>
            <w:r w:rsidR="005A7FDF">
              <w:rPr>
                <w:sz w:val="20"/>
                <w:szCs w:val="20"/>
              </w:rPr>
              <w:t>9</w:t>
            </w:r>
          </w:p>
        </w:tc>
        <w:tc>
          <w:tcPr>
            <w:tcW w:w="389" w:type="pct"/>
            <w:tcBorders>
              <w:top w:val="single" w:sz="8" w:space="0" w:color="auto"/>
              <w:left w:val="single" w:sz="8" w:space="0" w:color="auto"/>
              <w:bottom w:val="single" w:sz="8" w:space="0" w:color="auto"/>
            </w:tcBorders>
            <w:tcMar>
              <w:top w:w="8" w:type="dxa"/>
              <w:left w:w="28" w:type="dxa"/>
              <w:bottom w:w="8" w:type="dxa"/>
              <w:right w:w="28" w:type="dxa"/>
            </w:tcMar>
            <w:vAlign w:val="center"/>
          </w:tcPr>
          <w:p w14:paraId="74617C8D" w14:textId="3CB797BF" w:rsidR="00035C45" w:rsidRPr="00035C45" w:rsidRDefault="00035C45" w:rsidP="0065528C">
            <w:pPr>
              <w:tabs>
                <w:tab w:val="decimal" w:pos="360"/>
              </w:tabs>
              <w:spacing w:line="200" w:lineRule="auto"/>
              <w:jc w:val="center"/>
              <w:rPr>
                <w:sz w:val="20"/>
                <w:szCs w:val="20"/>
              </w:rPr>
            </w:pPr>
            <w:r w:rsidRPr="00035C45">
              <w:rPr>
                <w:sz w:val="20"/>
                <w:szCs w:val="20"/>
              </w:rPr>
              <w:t>0.06</w:t>
            </w:r>
          </w:p>
        </w:tc>
      </w:tr>
      <w:tr w:rsidR="00035C45" w:rsidRPr="0031252B" w14:paraId="22EC1ACB" w14:textId="77777777" w:rsidTr="00313300">
        <w:trPr>
          <w:cantSplit/>
          <w:trHeight w:val="187"/>
        </w:trPr>
        <w:tc>
          <w:tcPr>
            <w:tcW w:w="592" w:type="pct"/>
            <w:tcBorders>
              <w:top w:val="single" w:sz="8" w:space="0" w:color="auto"/>
              <w:bottom w:val="single" w:sz="8" w:space="0" w:color="auto"/>
              <w:right w:val="single" w:sz="18" w:space="0" w:color="auto"/>
            </w:tcBorders>
            <w:tcMar>
              <w:top w:w="8" w:type="dxa"/>
              <w:left w:w="28" w:type="dxa"/>
              <w:bottom w:w="8" w:type="dxa"/>
              <w:right w:w="28" w:type="dxa"/>
            </w:tcMar>
          </w:tcPr>
          <w:p w14:paraId="3FE0140B" w14:textId="2D7A1EF9" w:rsidR="00035C45" w:rsidRPr="00035C45" w:rsidRDefault="00035C45" w:rsidP="00035C45">
            <w:pPr>
              <w:spacing w:line="200" w:lineRule="auto"/>
              <w:rPr>
                <w:sz w:val="20"/>
                <w:szCs w:val="20"/>
              </w:rPr>
            </w:pPr>
            <w:r w:rsidRPr="00035C45">
              <w:rPr>
                <w:sz w:val="20"/>
                <w:szCs w:val="20"/>
              </w:rPr>
              <w:t>Educational attainment</w:t>
            </w:r>
          </w:p>
        </w:tc>
        <w:tc>
          <w:tcPr>
            <w:tcW w:w="592" w:type="pct"/>
            <w:tcBorders>
              <w:top w:val="single" w:sz="8" w:space="0" w:color="auto"/>
              <w:bottom w:val="single" w:sz="8" w:space="0" w:color="auto"/>
              <w:right w:val="single" w:sz="18" w:space="0" w:color="auto"/>
            </w:tcBorders>
          </w:tcPr>
          <w:p w14:paraId="126DC304" w14:textId="410305CE" w:rsidR="00035C45" w:rsidRPr="00035C45" w:rsidRDefault="00035C45" w:rsidP="00035C45">
            <w:pPr>
              <w:spacing w:line="200" w:lineRule="auto"/>
              <w:rPr>
                <w:sz w:val="20"/>
                <w:szCs w:val="20"/>
              </w:rPr>
            </w:pPr>
            <w:r w:rsidRPr="00035C45">
              <w:rPr>
                <w:sz w:val="20"/>
                <w:szCs w:val="20"/>
              </w:rPr>
              <w:t>High school or less</w:t>
            </w:r>
          </w:p>
        </w:tc>
        <w:tc>
          <w:tcPr>
            <w:tcW w:w="592" w:type="pct"/>
            <w:tcBorders>
              <w:top w:val="single" w:sz="8" w:space="0" w:color="auto"/>
              <w:bottom w:val="single" w:sz="8" w:space="0" w:color="auto"/>
              <w:right w:val="single" w:sz="18" w:space="0" w:color="auto"/>
            </w:tcBorders>
          </w:tcPr>
          <w:p w14:paraId="17DF1BD7" w14:textId="29F1EA8D" w:rsidR="00035C45" w:rsidRPr="00035C45" w:rsidRDefault="00035C45" w:rsidP="00035C45">
            <w:pPr>
              <w:spacing w:line="200" w:lineRule="auto"/>
              <w:rPr>
                <w:sz w:val="20"/>
                <w:szCs w:val="20"/>
              </w:rPr>
            </w:pPr>
            <w:r w:rsidRPr="00035C45">
              <w:rPr>
                <w:sz w:val="20"/>
                <w:szCs w:val="20"/>
              </w:rPr>
              <w:t>Graduate</w:t>
            </w:r>
            <w:r w:rsidR="007F45E4">
              <w:rPr>
                <w:sz w:val="20"/>
                <w:szCs w:val="20"/>
              </w:rPr>
              <w:t xml:space="preserve"> </w:t>
            </w:r>
            <w:r w:rsidRPr="00035C45">
              <w:rPr>
                <w:sz w:val="20"/>
                <w:szCs w:val="20"/>
              </w:rPr>
              <w:t>degree(s)</w:t>
            </w:r>
          </w:p>
        </w:tc>
        <w:tc>
          <w:tcPr>
            <w:tcW w:w="405" w:type="pct"/>
            <w:tcBorders>
              <w:top w:val="single" w:sz="8" w:space="0" w:color="auto"/>
              <w:left w:val="single" w:sz="18" w:space="0" w:color="auto"/>
              <w:bottom w:val="single" w:sz="8" w:space="0" w:color="auto"/>
              <w:right w:val="single" w:sz="18" w:space="0" w:color="auto"/>
            </w:tcBorders>
            <w:tcMar>
              <w:top w:w="8" w:type="dxa"/>
              <w:left w:w="28" w:type="dxa"/>
              <w:bottom w:w="8" w:type="dxa"/>
              <w:right w:w="28" w:type="dxa"/>
            </w:tcMar>
            <w:vAlign w:val="center"/>
          </w:tcPr>
          <w:p w14:paraId="653BC119" w14:textId="710E19FD" w:rsidR="00035C45" w:rsidRPr="00035C45" w:rsidRDefault="00FD04E4" w:rsidP="0065528C">
            <w:pPr>
              <w:tabs>
                <w:tab w:val="decimal" w:pos="360"/>
              </w:tabs>
              <w:spacing w:line="200" w:lineRule="auto"/>
              <w:jc w:val="center"/>
              <w:rPr>
                <w:sz w:val="20"/>
                <w:szCs w:val="20"/>
              </w:rPr>
            </w:pPr>
            <w:r>
              <w:rPr>
                <w:sz w:val="20"/>
                <w:szCs w:val="20"/>
              </w:rPr>
              <w:t>-32.03</w:t>
            </w:r>
          </w:p>
        </w:tc>
        <w:tc>
          <w:tcPr>
            <w:tcW w:w="405" w:type="pct"/>
            <w:tcBorders>
              <w:top w:val="single" w:sz="8" w:space="0" w:color="auto"/>
              <w:left w:val="single" w:sz="18" w:space="0" w:color="auto"/>
              <w:bottom w:val="single" w:sz="8" w:space="0" w:color="auto"/>
              <w:right w:val="single" w:sz="8" w:space="0" w:color="auto"/>
            </w:tcBorders>
            <w:tcMar>
              <w:top w:w="8" w:type="dxa"/>
              <w:left w:w="28" w:type="dxa"/>
              <w:bottom w:w="8" w:type="dxa"/>
              <w:right w:w="28" w:type="dxa"/>
            </w:tcMar>
            <w:vAlign w:val="center"/>
          </w:tcPr>
          <w:p w14:paraId="406BCC8D" w14:textId="544F1594" w:rsidR="00035C45" w:rsidRPr="00035C45" w:rsidRDefault="00EC0DBD" w:rsidP="0065528C">
            <w:pPr>
              <w:tabs>
                <w:tab w:val="decimal" w:pos="360"/>
              </w:tabs>
              <w:spacing w:line="200" w:lineRule="auto"/>
              <w:jc w:val="center"/>
              <w:rPr>
                <w:sz w:val="20"/>
                <w:szCs w:val="20"/>
              </w:rPr>
            </w:pPr>
            <w:r>
              <w:rPr>
                <w:sz w:val="20"/>
                <w:szCs w:val="20"/>
              </w:rPr>
              <w:t>49.03</w:t>
            </w:r>
          </w:p>
        </w:tc>
        <w:tc>
          <w:tcPr>
            <w:tcW w:w="405" w:type="pct"/>
            <w:tcBorders>
              <w:top w:val="single" w:sz="8" w:space="0" w:color="auto"/>
              <w:left w:val="single" w:sz="8" w:space="0" w:color="auto"/>
              <w:bottom w:val="single" w:sz="8" w:space="0" w:color="auto"/>
              <w:right w:val="single" w:sz="18" w:space="0" w:color="auto"/>
            </w:tcBorders>
            <w:tcMar>
              <w:top w:w="8" w:type="dxa"/>
              <w:left w:w="28" w:type="dxa"/>
              <w:bottom w:w="8" w:type="dxa"/>
              <w:right w:w="28" w:type="dxa"/>
            </w:tcMar>
            <w:vAlign w:val="center"/>
          </w:tcPr>
          <w:p w14:paraId="0293095B" w14:textId="0C31B88C" w:rsidR="00035C45" w:rsidRPr="00035C45" w:rsidRDefault="00035C45" w:rsidP="0065528C">
            <w:pPr>
              <w:tabs>
                <w:tab w:val="decimal" w:pos="360"/>
              </w:tabs>
              <w:spacing w:line="200" w:lineRule="auto"/>
              <w:jc w:val="center"/>
              <w:rPr>
                <w:sz w:val="20"/>
                <w:szCs w:val="20"/>
              </w:rPr>
            </w:pPr>
            <w:r w:rsidRPr="00035C45">
              <w:rPr>
                <w:sz w:val="20"/>
                <w:szCs w:val="20"/>
              </w:rPr>
              <w:t>0.3</w:t>
            </w:r>
            <w:r w:rsidR="005A7FDF">
              <w:rPr>
                <w:sz w:val="20"/>
                <w:szCs w:val="20"/>
              </w:rPr>
              <w:t>9</w:t>
            </w:r>
          </w:p>
        </w:tc>
        <w:tc>
          <w:tcPr>
            <w:tcW w:w="405" w:type="pct"/>
            <w:tcBorders>
              <w:top w:val="single" w:sz="8" w:space="0" w:color="auto"/>
              <w:left w:val="single" w:sz="18" w:space="0" w:color="auto"/>
              <w:bottom w:val="single" w:sz="8" w:space="0" w:color="auto"/>
              <w:right w:val="single" w:sz="8" w:space="0" w:color="auto"/>
            </w:tcBorders>
            <w:tcMar>
              <w:top w:w="8" w:type="dxa"/>
              <w:left w:w="28" w:type="dxa"/>
              <w:bottom w:w="8" w:type="dxa"/>
              <w:right w:w="28" w:type="dxa"/>
            </w:tcMar>
            <w:vAlign w:val="center"/>
          </w:tcPr>
          <w:p w14:paraId="5DDA8A26" w14:textId="3A804810" w:rsidR="00035C45" w:rsidRPr="00035C45" w:rsidRDefault="003F374B" w:rsidP="0065528C">
            <w:pPr>
              <w:tabs>
                <w:tab w:val="decimal" w:pos="360"/>
              </w:tabs>
              <w:spacing w:line="200" w:lineRule="auto"/>
              <w:jc w:val="center"/>
              <w:rPr>
                <w:sz w:val="20"/>
                <w:szCs w:val="20"/>
              </w:rPr>
            </w:pPr>
            <w:r>
              <w:rPr>
                <w:sz w:val="20"/>
                <w:szCs w:val="20"/>
              </w:rPr>
              <w:t>31.47</w:t>
            </w:r>
          </w:p>
        </w:tc>
        <w:tc>
          <w:tcPr>
            <w:tcW w:w="405" w:type="pct"/>
            <w:tcBorders>
              <w:top w:val="single" w:sz="8" w:space="0" w:color="auto"/>
              <w:left w:val="single" w:sz="8" w:space="0" w:color="auto"/>
              <w:bottom w:val="single" w:sz="8" w:space="0" w:color="auto"/>
              <w:right w:val="single" w:sz="18" w:space="0" w:color="auto"/>
            </w:tcBorders>
            <w:tcMar>
              <w:top w:w="8" w:type="dxa"/>
              <w:left w:w="28" w:type="dxa"/>
              <w:bottom w:w="8" w:type="dxa"/>
              <w:right w:w="28" w:type="dxa"/>
            </w:tcMar>
            <w:vAlign w:val="center"/>
          </w:tcPr>
          <w:p w14:paraId="23F2C673" w14:textId="27CC131D" w:rsidR="00035C45" w:rsidRPr="00035C45" w:rsidRDefault="00FD04E4" w:rsidP="0065528C">
            <w:pPr>
              <w:tabs>
                <w:tab w:val="decimal" w:pos="360"/>
              </w:tabs>
              <w:spacing w:line="200" w:lineRule="auto"/>
              <w:jc w:val="center"/>
              <w:rPr>
                <w:sz w:val="20"/>
                <w:szCs w:val="20"/>
              </w:rPr>
            </w:pPr>
            <w:r>
              <w:rPr>
                <w:sz w:val="20"/>
                <w:szCs w:val="20"/>
              </w:rPr>
              <w:t>52.00</w:t>
            </w:r>
          </w:p>
        </w:tc>
        <w:tc>
          <w:tcPr>
            <w:tcW w:w="405" w:type="pct"/>
            <w:tcBorders>
              <w:top w:val="single" w:sz="8" w:space="0" w:color="auto"/>
              <w:left w:val="single" w:sz="18" w:space="0" w:color="auto"/>
              <w:bottom w:val="single" w:sz="8" w:space="0" w:color="auto"/>
              <w:right w:val="single" w:sz="18" w:space="0" w:color="auto"/>
            </w:tcBorders>
            <w:tcMar>
              <w:top w:w="8" w:type="dxa"/>
              <w:left w:w="28" w:type="dxa"/>
              <w:bottom w:w="8" w:type="dxa"/>
              <w:right w:w="28" w:type="dxa"/>
            </w:tcMar>
            <w:vAlign w:val="center"/>
          </w:tcPr>
          <w:p w14:paraId="33B3F0CF" w14:textId="7B91A34E" w:rsidR="00035C45" w:rsidRPr="00035C45" w:rsidRDefault="00035C45" w:rsidP="0065528C">
            <w:pPr>
              <w:tabs>
                <w:tab w:val="decimal" w:pos="360"/>
              </w:tabs>
              <w:spacing w:line="200" w:lineRule="auto"/>
              <w:jc w:val="center"/>
              <w:rPr>
                <w:sz w:val="20"/>
                <w:szCs w:val="20"/>
              </w:rPr>
            </w:pPr>
            <w:r w:rsidRPr="00035C45">
              <w:rPr>
                <w:sz w:val="20"/>
                <w:szCs w:val="20"/>
              </w:rPr>
              <w:t>-0.2</w:t>
            </w:r>
            <w:r w:rsidR="005A7FDF">
              <w:rPr>
                <w:sz w:val="20"/>
                <w:szCs w:val="20"/>
              </w:rPr>
              <w:t>3</w:t>
            </w:r>
          </w:p>
        </w:tc>
        <w:tc>
          <w:tcPr>
            <w:tcW w:w="405" w:type="pct"/>
            <w:tcBorders>
              <w:top w:val="single" w:sz="8" w:space="0" w:color="auto"/>
              <w:left w:val="single" w:sz="18" w:space="0" w:color="auto"/>
              <w:bottom w:val="single" w:sz="8" w:space="0" w:color="auto"/>
              <w:right w:val="single" w:sz="8" w:space="0" w:color="auto"/>
            </w:tcBorders>
            <w:tcMar>
              <w:top w:w="8" w:type="dxa"/>
              <w:left w:w="28" w:type="dxa"/>
              <w:bottom w:w="8" w:type="dxa"/>
              <w:right w:w="28" w:type="dxa"/>
            </w:tcMar>
            <w:vAlign w:val="center"/>
          </w:tcPr>
          <w:p w14:paraId="192A1689" w14:textId="53E3BC8F" w:rsidR="00035C45" w:rsidRPr="00035C45" w:rsidRDefault="00EC0DBD" w:rsidP="0065528C">
            <w:pPr>
              <w:tabs>
                <w:tab w:val="decimal" w:pos="360"/>
              </w:tabs>
              <w:spacing w:line="200" w:lineRule="auto"/>
              <w:jc w:val="center"/>
              <w:rPr>
                <w:sz w:val="20"/>
                <w:szCs w:val="20"/>
              </w:rPr>
            </w:pPr>
            <w:r>
              <w:rPr>
                <w:sz w:val="20"/>
                <w:szCs w:val="20"/>
              </w:rPr>
              <w:t>79.14</w:t>
            </w:r>
          </w:p>
        </w:tc>
        <w:tc>
          <w:tcPr>
            <w:tcW w:w="389" w:type="pct"/>
            <w:tcBorders>
              <w:top w:val="single" w:sz="8" w:space="0" w:color="auto"/>
              <w:left w:val="single" w:sz="8" w:space="0" w:color="auto"/>
              <w:bottom w:val="single" w:sz="8" w:space="0" w:color="auto"/>
            </w:tcBorders>
            <w:tcMar>
              <w:top w:w="8" w:type="dxa"/>
              <w:left w:w="28" w:type="dxa"/>
              <w:bottom w:w="8" w:type="dxa"/>
              <w:right w:w="28" w:type="dxa"/>
            </w:tcMar>
            <w:vAlign w:val="center"/>
          </w:tcPr>
          <w:p w14:paraId="7EAF375E" w14:textId="5D5EFDBB" w:rsidR="00035C45" w:rsidRPr="00035C45" w:rsidRDefault="00EC0DBD" w:rsidP="0065528C">
            <w:pPr>
              <w:tabs>
                <w:tab w:val="decimal" w:pos="360"/>
              </w:tabs>
              <w:spacing w:line="200" w:lineRule="auto"/>
              <w:jc w:val="center"/>
              <w:rPr>
                <w:sz w:val="20"/>
                <w:szCs w:val="20"/>
              </w:rPr>
            </w:pPr>
            <w:r>
              <w:rPr>
                <w:sz w:val="20"/>
                <w:szCs w:val="20"/>
              </w:rPr>
              <w:t>46.20</w:t>
            </w:r>
          </w:p>
        </w:tc>
      </w:tr>
      <w:tr w:rsidR="00035C45" w:rsidRPr="0031252B" w14:paraId="2A7B9A9B" w14:textId="77777777" w:rsidTr="00313300">
        <w:trPr>
          <w:cantSplit/>
          <w:trHeight w:val="288"/>
        </w:trPr>
        <w:tc>
          <w:tcPr>
            <w:tcW w:w="592" w:type="pct"/>
            <w:tcBorders>
              <w:top w:val="single" w:sz="8" w:space="0" w:color="auto"/>
              <w:bottom w:val="single" w:sz="18" w:space="0" w:color="auto"/>
              <w:right w:val="single" w:sz="18" w:space="0" w:color="auto"/>
            </w:tcBorders>
            <w:tcMar>
              <w:top w:w="8" w:type="dxa"/>
              <w:left w:w="28" w:type="dxa"/>
              <w:bottom w:w="8" w:type="dxa"/>
              <w:right w:w="28" w:type="dxa"/>
            </w:tcMar>
            <w:vAlign w:val="center"/>
          </w:tcPr>
          <w:p w14:paraId="56CCAB25" w14:textId="0068714D" w:rsidR="00035C45" w:rsidRPr="00035C45" w:rsidRDefault="00035C45" w:rsidP="0051527E">
            <w:pPr>
              <w:spacing w:line="200" w:lineRule="auto"/>
              <w:rPr>
                <w:sz w:val="20"/>
                <w:szCs w:val="20"/>
              </w:rPr>
            </w:pPr>
            <w:r w:rsidRPr="00035C45">
              <w:rPr>
                <w:sz w:val="20"/>
                <w:szCs w:val="20"/>
              </w:rPr>
              <w:t>Ethnicity</w:t>
            </w:r>
          </w:p>
        </w:tc>
        <w:tc>
          <w:tcPr>
            <w:tcW w:w="592" w:type="pct"/>
            <w:tcBorders>
              <w:top w:val="single" w:sz="8" w:space="0" w:color="auto"/>
              <w:bottom w:val="single" w:sz="18" w:space="0" w:color="auto"/>
              <w:right w:val="single" w:sz="18" w:space="0" w:color="auto"/>
            </w:tcBorders>
            <w:vAlign w:val="center"/>
          </w:tcPr>
          <w:p w14:paraId="04CE9CA3" w14:textId="41CF59BC" w:rsidR="00035C45" w:rsidRPr="00035C45" w:rsidRDefault="00035C45" w:rsidP="0051527E">
            <w:pPr>
              <w:spacing w:line="200" w:lineRule="auto"/>
              <w:rPr>
                <w:sz w:val="20"/>
                <w:szCs w:val="20"/>
              </w:rPr>
            </w:pPr>
            <w:r w:rsidRPr="00035C45">
              <w:rPr>
                <w:sz w:val="20"/>
                <w:szCs w:val="20"/>
              </w:rPr>
              <w:t>Non-Hispanic</w:t>
            </w:r>
          </w:p>
        </w:tc>
        <w:tc>
          <w:tcPr>
            <w:tcW w:w="592" w:type="pct"/>
            <w:tcBorders>
              <w:top w:val="single" w:sz="8" w:space="0" w:color="auto"/>
              <w:bottom w:val="single" w:sz="18" w:space="0" w:color="auto"/>
              <w:right w:val="single" w:sz="18" w:space="0" w:color="auto"/>
            </w:tcBorders>
            <w:vAlign w:val="center"/>
          </w:tcPr>
          <w:p w14:paraId="055BC5CD" w14:textId="4AB25511" w:rsidR="00035C45" w:rsidRPr="00035C45" w:rsidRDefault="00035C45" w:rsidP="0051527E">
            <w:pPr>
              <w:spacing w:line="200" w:lineRule="auto"/>
              <w:rPr>
                <w:sz w:val="20"/>
                <w:szCs w:val="20"/>
              </w:rPr>
            </w:pPr>
            <w:r w:rsidRPr="00035C45">
              <w:rPr>
                <w:sz w:val="20"/>
                <w:szCs w:val="20"/>
              </w:rPr>
              <w:t>Hispanic</w:t>
            </w:r>
          </w:p>
        </w:tc>
        <w:tc>
          <w:tcPr>
            <w:tcW w:w="405" w:type="pct"/>
            <w:tcBorders>
              <w:top w:val="single" w:sz="8" w:space="0" w:color="auto"/>
              <w:left w:val="single" w:sz="18" w:space="0" w:color="auto"/>
              <w:bottom w:val="single" w:sz="18" w:space="0" w:color="auto"/>
              <w:right w:val="single" w:sz="18" w:space="0" w:color="auto"/>
            </w:tcBorders>
            <w:tcMar>
              <w:top w:w="8" w:type="dxa"/>
              <w:left w:w="28" w:type="dxa"/>
              <w:bottom w:w="8" w:type="dxa"/>
              <w:right w:w="28" w:type="dxa"/>
            </w:tcMar>
            <w:vAlign w:val="center"/>
          </w:tcPr>
          <w:p w14:paraId="2CBFFFDF" w14:textId="7C389865" w:rsidR="00035C45" w:rsidRPr="00035C45" w:rsidRDefault="00BA461F" w:rsidP="0051527E">
            <w:pPr>
              <w:tabs>
                <w:tab w:val="decimal" w:pos="360"/>
              </w:tabs>
              <w:spacing w:line="200" w:lineRule="auto"/>
              <w:jc w:val="center"/>
              <w:rPr>
                <w:sz w:val="20"/>
                <w:szCs w:val="20"/>
              </w:rPr>
            </w:pPr>
            <w:r>
              <w:rPr>
                <w:sz w:val="20"/>
                <w:szCs w:val="20"/>
              </w:rPr>
              <w:t>-13.52</w:t>
            </w:r>
          </w:p>
        </w:tc>
        <w:tc>
          <w:tcPr>
            <w:tcW w:w="405" w:type="pct"/>
            <w:tcBorders>
              <w:top w:val="single" w:sz="8" w:space="0" w:color="auto"/>
              <w:left w:val="single" w:sz="18" w:space="0" w:color="auto"/>
              <w:bottom w:val="single" w:sz="18" w:space="0" w:color="auto"/>
              <w:right w:val="single" w:sz="8" w:space="0" w:color="auto"/>
            </w:tcBorders>
            <w:tcMar>
              <w:top w:w="8" w:type="dxa"/>
              <w:left w:w="28" w:type="dxa"/>
              <w:bottom w:w="8" w:type="dxa"/>
              <w:right w:w="28" w:type="dxa"/>
            </w:tcMar>
            <w:vAlign w:val="center"/>
          </w:tcPr>
          <w:p w14:paraId="5CC7E2E7" w14:textId="594F6DC5" w:rsidR="00035C45" w:rsidRPr="00035C45" w:rsidRDefault="00035C45" w:rsidP="0051527E">
            <w:pPr>
              <w:tabs>
                <w:tab w:val="decimal" w:pos="360"/>
              </w:tabs>
              <w:spacing w:line="200" w:lineRule="auto"/>
              <w:jc w:val="center"/>
              <w:rPr>
                <w:sz w:val="20"/>
                <w:szCs w:val="20"/>
              </w:rPr>
            </w:pPr>
            <w:r w:rsidRPr="00035C45">
              <w:rPr>
                <w:sz w:val="20"/>
                <w:szCs w:val="20"/>
              </w:rPr>
              <w:t>-0.0</w:t>
            </w:r>
            <w:r w:rsidR="005A7FDF">
              <w:rPr>
                <w:sz w:val="20"/>
                <w:szCs w:val="20"/>
              </w:rPr>
              <w:t>9</w:t>
            </w:r>
          </w:p>
        </w:tc>
        <w:tc>
          <w:tcPr>
            <w:tcW w:w="405" w:type="pct"/>
            <w:tcBorders>
              <w:top w:val="single" w:sz="8" w:space="0" w:color="auto"/>
              <w:left w:val="single" w:sz="8" w:space="0" w:color="auto"/>
              <w:bottom w:val="single" w:sz="18" w:space="0" w:color="auto"/>
              <w:right w:val="single" w:sz="18" w:space="0" w:color="auto"/>
            </w:tcBorders>
            <w:tcMar>
              <w:top w:w="8" w:type="dxa"/>
              <w:left w:w="28" w:type="dxa"/>
              <w:bottom w:w="8" w:type="dxa"/>
              <w:right w:w="28" w:type="dxa"/>
            </w:tcMar>
            <w:vAlign w:val="center"/>
          </w:tcPr>
          <w:p w14:paraId="7B58B066" w14:textId="3EFE963E" w:rsidR="00035C45" w:rsidRPr="00035C45" w:rsidRDefault="00BA461F" w:rsidP="0051527E">
            <w:pPr>
              <w:tabs>
                <w:tab w:val="decimal" w:pos="360"/>
              </w:tabs>
              <w:spacing w:line="200" w:lineRule="auto"/>
              <w:jc w:val="center"/>
              <w:rPr>
                <w:sz w:val="20"/>
                <w:szCs w:val="20"/>
              </w:rPr>
            </w:pPr>
            <w:r>
              <w:rPr>
                <w:sz w:val="20"/>
                <w:szCs w:val="20"/>
              </w:rPr>
              <w:t>63.17</w:t>
            </w:r>
          </w:p>
        </w:tc>
        <w:tc>
          <w:tcPr>
            <w:tcW w:w="405" w:type="pct"/>
            <w:tcBorders>
              <w:top w:val="single" w:sz="8" w:space="0" w:color="auto"/>
              <w:left w:val="single" w:sz="18" w:space="0" w:color="auto"/>
              <w:bottom w:val="single" w:sz="18" w:space="0" w:color="auto"/>
              <w:right w:val="single" w:sz="8" w:space="0" w:color="auto"/>
            </w:tcBorders>
            <w:tcMar>
              <w:top w:w="8" w:type="dxa"/>
              <w:left w:w="28" w:type="dxa"/>
              <w:bottom w:w="8" w:type="dxa"/>
              <w:right w:w="28" w:type="dxa"/>
            </w:tcMar>
            <w:vAlign w:val="center"/>
          </w:tcPr>
          <w:p w14:paraId="14743C42" w14:textId="30530479" w:rsidR="00035C45" w:rsidRPr="00035C45" w:rsidRDefault="00755499" w:rsidP="0051527E">
            <w:pPr>
              <w:tabs>
                <w:tab w:val="decimal" w:pos="360"/>
              </w:tabs>
              <w:spacing w:line="200" w:lineRule="auto"/>
              <w:jc w:val="center"/>
              <w:rPr>
                <w:sz w:val="20"/>
                <w:szCs w:val="20"/>
              </w:rPr>
            </w:pPr>
            <w:r>
              <w:rPr>
                <w:sz w:val="20"/>
                <w:szCs w:val="20"/>
              </w:rPr>
              <w:t>38.04</w:t>
            </w:r>
          </w:p>
        </w:tc>
        <w:tc>
          <w:tcPr>
            <w:tcW w:w="405" w:type="pct"/>
            <w:tcBorders>
              <w:top w:val="single" w:sz="8" w:space="0" w:color="auto"/>
              <w:left w:val="single" w:sz="8" w:space="0" w:color="auto"/>
              <w:bottom w:val="single" w:sz="18" w:space="0" w:color="auto"/>
              <w:right w:val="single" w:sz="18" w:space="0" w:color="auto"/>
            </w:tcBorders>
            <w:tcMar>
              <w:top w:w="8" w:type="dxa"/>
              <w:left w:w="28" w:type="dxa"/>
              <w:bottom w:w="8" w:type="dxa"/>
              <w:right w:w="28" w:type="dxa"/>
            </w:tcMar>
            <w:vAlign w:val="center"/>
          </w:tcPr>
          <w:p w14:paraId="4A38658D" w14:textId="4EB51463" w:rsidR="00035C45" w:rsidRPr="00035C45" w:rsidRDefault="00755499" w:rsidP="0051527E">
            <w:pPr>
              <w:tabs>
                <w:tab w:val="decimal" w:pos="360"/>
              </w:tabs>
              <w:spacing w:line="200" w:lineRule="auto"/>
              <w:jc w:val="center"/>
              <w:rPr>
                <w:sz w:val="20"/>
                <w:szCs w:val="20"/>
              </w:rPr>
            </w:pPr>
            <w:r>
              <w:rPr>
                <w:sz w:val="20"/>
                <w:szCs w:val="20"/>
              </w:rPr>
              <w:t>23.22</w:t>
            </w:r>
          </w:p>
        </w:tc>
        <w:tc>
          <w:tcPr>
            <w:tcW w:w="405" w:type="pct"/>
            <w:tcBorders>
              <w:top w:val="single" w:sz="8" w:space="0" w:color="auto"/>
              <w:left w:val="single" w:sz="18" w:space="0" w:color="auto"/>
              <w:bottom w:val="single" w:sz="18" w:space="0" w:color="auto"/>
              <w:right w:val="single" w:sz="18" w:space="0" w:color="auto"/>
            </w:tcBorders>
            <w:tcMar>
              <w:top w:w="8" w:type="dxa"/>
              <w:left w:w="28" w:type="dxa"/>
              <w:bottom w:w="8" w:type="dxa"/>
              <w:right w:w="28" w:type="dxa"/>
            </w:tcMar>
            <w:vAlign w:val="center"/>
          </w:tcPr>
          <w:p w14:paraId="709CA730" w14:textId="0838C10B" w:rsidR="00035C45" w:rsidRPr="00035C45" w:rsidRDefault="00755499" w:rsidP="0051527E">
            <w:pPr>
              <w:tabs>
                <w:tab w:val="decimal" w:pos="360"/>
              </w:tabs>
              <w:spacing w:line="200" w:lineRule="auto"/>
              <w:jc w:val="center"/>
              <w:rPr>
                <w:sz w:val="20"/>
                <w:szCs w:val="20"/>
              </w:rPr>
            </w:pPr>
            <w:r>
              <w:rPr>
                <w:sz w:val="20"/>
                <w:szCs w:val="20"/>
              </w:rPr>
              <w:t>62.42</w:t>
            </w:r>
          </w:p>
        </w:tc>
        <w:tc>
          <w:tcPr>
            <w:tcW w:w="405" w:type="pct"/>
            <w:tcBorders>
              <w:top w:val="single" w:sz="8" w:space="0" w:color="auto"/>
              <w:left w:val="single" w:sz="18" w:space="0" w:color="auto"/>
              <w:bottom w:val="single" w:sz="18" w:space="0" w:color="auto"/>
              <w:right w:val="single" w:sz="8" w:space="0" w:color="auto"/>
            </w:tcBorders>
            <w:tcMar>
              <w:top w:w="8" w:type="dxa"/>
              <w:left w:w="28" w:type="dxa"/>
              <w:bottom w:w="8" w:type="dxa"/>
              <w:right w:w="28" w:type="dxa"/>
            </w:tcMar>
            <w:vAlign w:val="center"/>
          </w:tcPr>
          <w:p w14:paraId="44C6DBE4" w14:textId="09064254" w:rsidR="00035C45" w:rsidRPr="00035C45" w:rsidRDefault="00035C45" w:rsidP="0051527E">
            <w:pPr>
              <w:tabs>
                <w:tab w:val="decimal" w:pos="360"/>
              </w:tabs>
              <w:spacing w:line="200" w:lineRule="auto"/>
              <w:jc w:val="center"/>
              <w:rPr>
                <w:sz w:val="20"/>
                <w:szCs w:val="20"/>
              </w:rPr>
            </w:pPr>
            <w:r w:rsidRPr="00035C45">
              <w:rPr>
                <w:sz w:val="20"/>
                <w:szCs w:val="20"/>
              </w:rPr>
              <w:t>0.0</w:t>
            </w:r>
            <w:r w:rsidR="005A7FDF">
              <w:rPr>
                <w:sz w:val="20"/>
                <w:szCs w:val="20"/>
              </w:rPr>
              <w:t>6</w:t>
            </w:r>
          </w:p>
        </w:tc>
        <w:tc>
          <w:tcPr>
            <w:tcW w:w="389" w:type="pct"/>
            <w:tcBorders>
              <w:top w:val="single" w:sz="8" w:space="0" w:color="auto"/>
              <w:left w:val="single" w:sz="8" w:space="0" w:color="auto"/>
              <w:bottom w:val="single" w:sz="18" w:space="0" w:color="auto"/>
            </w:tcBorders>
            <w:tcMar>
              <w:top w:w="8" w:type="dxa"/>
              <w:left w:w="28" w:type="dxa"/>
              <w:bottom w:w="8" w:type="dxa"/>
              <w:right w:w="28" w:type="dxa"/>
            </w:tcMar>
            <w:vAlign w:val="center"/>
          </w:tcPr>
          <w:p w14:paraId="1BEE929F" w14:textId="1425A921" w:rsidR="00035C45" w:rsidRPr="00035C45" w:rsidRDefault="00035C45" w:rsidP="0051527E">
            <w:pPr>
              <w:tabs>
                <w:tab w:val="decimal" w:pos="360"/>
              </w:tabs>
              <w:spacing w:line="200" w:lineRule="auto"/>
              <w:jc w:val="center"/>
              <w:rPr>
                <w:sz w:val="20"/>
                <w:szCs w:val="20"/>
              </w:rPr>
            </w:pPr>
            <w:r w:rsidRPr="00035C45">
              <w:rPr>
                <w:sz w:val="20"/>
                <w:szCs w:val="20"/>
              </w:rPr>
              <w:t>-0.1</w:t>
            </w:r>
            <w:r w:rsidR="005A7FDF">
              <w:rPr>
                <w:sz w:val="20"/>
                <w:szCs w:val="20"/>
              </w:rPr>
              <w:t>1</w:t>
            </w:r>
          </w:p>
        </w:tc>
      </w:tr>
      <w:tr w:rsidR="005C445F" w:rsidRPr="0031252B" w14:paraId="68931499" w14:textId="77777777" w:rsidTr="00313300">
        <w:trPr>
          <w:cantSplit/>
          <w:trHeight w:val="187"/>
        </w:trPr>
        <w:tc>
          <w:tcPr>
            <w:tcW w:w="5000" w:type="pct"/>
            <w:gridSpan w:val="11"/>
            <w:tcBorders>
              <w:top w:val="single" w:sz="18" w:space="0" w:color="auto"/>
              <w:bottom w:val="single" w:sz="8" w:space="0" w:color="auto"/>
            </w:tcBorders>
            <w:tcMar>
              <w:top w:w="8" w:type="dxa"/>
              <w:left w:w="28" w:type="dxa"/>
              <w:bottom w:w="8" w:type="dxa"/>
              <w:right w:w="28" w:type="dxa"/>
            </w:tcMar>
          </w:tcPr>
          <w:p w14:paraId="4958A3DC" w14:textId="51F53FA1" w:rsidR="005C445F" w:rsidRPr="00035C45" w:rsidRDefault="005C445F" w:rsidP="005C445F">
            <w:pPr>
              <w:spacing w:line="200" w:lineRule="auto"/>
              <w:rPr>
                <w:sz w:val="20"/>
                <w:szCs w:val="20"/>
              </w:rPr>
            </w:pPr>
            <w:r w:rsidRPr="005C445F">
              <w:rPr>
                <w:b/>
                <w:bCs/>
                <w:i/>
                <w:iCs/>
                <w:sz w:val="20"/>
                <w:szCs w:val="20"/>
              </w:rPr>
              <w:t>Household-level attributes</w:t>
            </w:r>
          </w:p>
        </w:tc>
      </w:tr>
      <w:tr w:rsidR="005C445F" w:rsidRPr="0031252B" w14:paraId="35A91EB7" w14:textId="77777777" w:rsidTr="00313300">
        <w:trPr>
          <w:cantSplit/>
          <w:trHeight w:val="288"/>
        </w:trPr>
        <w:tc>
          <w:tcPr>
            <w:tcW w:w="592" w:type="pct"/>
            <w:tcBorders>
              <w:top w:val="single" w:sz="8" w:space="0" w:color="auto"/>
              <w:bottom w:val="single" w:sz="8" w:space="0" w:color="auto"/>
              <w:right w:val="single" w:sz="18" w:space="0" w:color="auto"/>
            </w:tcBorders>
            <w:tcMar>
              <w:top w:w="8" w:type="dxa"/>
              <w:left w:w="28" w:type="dxa"/>
              <w:bottom w:w="8" w:type="dxa"/>
              <w:right w:w="28" w:type="dxa"/>
            </w:tcMar>
            <w:vAlign w:val="center"/>
          </w:tcPr>
          <w:p w14:paraId="6D8A1E13" w14:textId="6151A903" w:rsidR="005C445F" w:rsidRPr="005C445F" w:rsidRDefault="005C445F" w:rsidP="00DE26EB">
            <w:pPr>
              <w:spacing w:line="200" w:lineRule="auto"/>
              <w:rPr>
                <w:sz w:val="20"/>
                <w:szCs w:val="20"/>
              </w:rPr>
            </w:pPr>
            <w:r w:rsidRPr="005C445F">
              <w:rPr>
                <w:sz w:val="20"/>
                <w:szCs w:val="20"/>
              </w:rPr>
              <w:t>Homeownership</w:t>
            </w:r>
          </w:p>
        </w:tc>
        <w:tc>
          <w:tcPr>
            <w:tcW w:w="592" w:type="pct"/>
            <w:tcBorders>
              <w:top w:val="single" w:sz="8" w:space="0" w:color="auto"/>
              <w:bottom w:val="single" w:sz="8" w:space="0" w:color="auto"/>
              <w:right w:val="single" w:sz="18" w:space="0" w:color="auto"/>
            </w:tcBorders>
            <w:vAlign w:val="center"/>
          </w:tcPr>
          <w:p w14:paraId="66B0BFB4" w14:textId="14CDBF0C" w:rsidR="005C445F" w:rsidRPr="005C445F" w:rsidRDefault="005C445F" w:rsidP="00DE26EB">
            <w:pPr>
              <w:spacing w:line="200" w:lineRule="auto"/>
              <w:rPr>
                <w:sz w:val="20"/>
                <w:szCs w:val="20"/>
              </w:rPr>
            </w:pPr>
            <w:r w:rsidRPr="005C445F">
              <w:rPr>
                <w:sz w:val="20"/>
                <w:szCs w:val="20"/>
              </w:rPr>
              <w:t>Owner</w:t>
            </w:r>
          </w:p>
        </w:tc>
        <w:tc>
          <w:tcPr>
            <w:tcW w:w="592" w:type="pct"/>
            <w:tcBorders>
              <w:top w:val="single" w:sz="8" w:space="0" w:color="auto"/>
              <w:bottom w:val="single" w:sz="8" w:space="0" w:color="auto"/>
              <w:right w:val="single" w:sz="18" w:space="0" w:color="auto"/>
            </w:tcBorders>
            <w:vAlign w:val="center"/>
          </w:tcPr>
          <w:p w14:paraId="25B73F86" w14:textId="3426E981" w:rsidR="005C445F" w:rsidRPr="005C445F" w:rsidRDefault="005C445F" w:rsidP="00DE26EB">
            <w:pPr>
              <w:spacing w:line="200" w:lineRule="auto"/>
              <w:rPr>
                <w:sz w:val="20"/>
                <w:szCs w:val="20"/>
              </w:rPr>
            </w:pPr>
            <w:r w:rsidRPr="005C445F">
              <w:rPr>
                <w:sz w:val="20"/>
                <w:szCs w:val="20"/>
              </w:rPr>
              <w:t>Renter</w:t>
            </w:r>
          </w:p>
        </w:tc>
        <w:tc>
          <w:tcPr>
            <w:tcW w:w="405" w:type="pct"/>
            <w:tcBorders>
              <w:top w:val="single" w:sz="8" w:space="0" w:color="auto"/>
              <w:left w:val="single" w:sz="18" w:space="0" w:color="auto"/>
              <w:bottom w:val="single" w:sz="8" w:space="0" w:color="auto"/>
              <w:right w:val="single" w:sz="18" w:space="0" w:color="auto"/>
            </w:tcBorders>
            <w:tcMar>
              <w:top w:w="8" w:type="dxa"/>
              <w:left w:w="28" w:type="dxa"/>
              <w:bottom w:w="8" w:type="dxa"/>
              <w:right w:w="28" w:type="dxa"/>
            </w:tcMar>
            <w:vAlign w:val="center"/>
          </w:tcPr>
          <w:p w14:paraId="020CB713" w14:textId="65234045" w:rsidR="005C445F" w:rsidRPr="005C445F" w:rsidRDefault="004C40C9" w:rsidP="0065528C">
            <w:pPr>
              <w:tabs>
                <w:tab w:val="decimal" w:pos="360"/>
              </w:tabs>
              <w:spacing w:line="200" w:lineRule="auto"/>
              <w:jc w:val="center"/>
              <w:rPr>
                <w:sz w:val="20"/>
                <w:szCs w:val="20"/>
              </w:rPr>
            </w:pPr>
            <w:r>
              <w:rPr>
                <w:sz w:val="20"/>
                <w:szCs w:val="20"/>
              </w:rPr>
              <w:t>13.67</w:t>
            </w:r>
          </w:p>
        </w:tc>
        <w:tc>
          <w:tcPr>
            <w:tcW w:w="405" w:type="pct"/>
            <w:tcBorders>
              <w:top w:val="single" w:sz="8" w:space="0" w:color="auto"/>
              <w:left w:val="single" w:sz="18" w:space="0" w:color="auto"/>
              <w:bottom w:val="single" w:sz="8" w:space="0" w:color="auto"/>
              <w:right w:val="single" w:sz="8" w:space="0" w:color="auto"/>
            </w:tcBorders>
            <w:tcMar>
              <w:top w:w="8" w:type="dxa"/>
              <w:left w:w="28" w:type="dxa"/>
              <w:bottom w:w="8" w:type="dxa"/>
              <w:right w:w="28" w:type="dxa"/>
            </w:tcMar>
            <w:vAlign w:val="center"/>
          </w:tcPr>
          <w:p w14:paraId="3CD7FAA4" w14:textId="3EDF1804" w:rsidR="005C445F" w:rsidRPr="005C445F" w:rsidRDefault="006209C8" w:rsidP="0065528C">
            <w:pPr>
              <w:tabs>
                <w:tab w:val="decimal" w:pos="360"/>
              </w:tabs>
              <w:spacing w:line="200" w:lineRule="auto"/>
              <w:jc w:val="center"/>
              <w:rPr>
                <w:sz w:val="20"/>
                <w:szCs w:val="20"/>
              </w:rPr>
            </w:pPr>
            <w:r>
              <w:rPr>
                <w:sz w:val="20"/>
                <w:szCs w:val="20"/>
              </w:rPr>
              <w:t>35.39</w:t>
            </w:r>
          </w:p>
        </w:tc>
        <w:tc>
          <w:tcPr>
            <w:tcW w:w="405" w:type="pct"/>
            <w:tcBorders>
              <w:top w:val="single" w:sz="8" w:space="0" w:color="auto"/>
              <w:left w:val="single" w:sz="8" w:space="0" w:color="auto"/>
              <w:bottom w:val="single" w:sz="8" w:space="0" w:color="auto"/>
              <w:right w:val="single" w:sz="18" w:space="0" w:color="auto"/>
            </w:tcBorders>
            <w:tcMar>
              <w:top w:w="8" w:type="dxa"/>
              <w:left w:w="28" w:type="dxa"/>
              <w:bottom w:w="8" w:type="dxa"/>
              <w:right w:w="28" w:type="dxa"/>
            </w:tcMar>
            <w:vAlign w:val="center"/>
          </w:tcPr>
          <w:p w14:paraId="44B73BE6" w14:textId="07424C26" w:rsidR="005C445F" w:rsidRPr="005C445F" w:rsidRDefault="006209C8" w:rsidP="0065528C">
            <w:pPr>
              <w:tabs>
                <w:tab w:val="decimal" w:pos="360"/>
              </w:tabs>
              <w:spacing w:line="200" w:lineRule="auto"/>
              <w:jc w:val="center"/>
              <w:rPr>
                <w:sz w:val="20"/>
                <w:szCs w:val="20"/>
              </w:rPr>
            </w:pPr>
            <w:r>
              <w:rPr>
                <w:sz w:val="20"/>
                <w:szCs w:val="20"/>
              </w:rPr>
              <w:t>38.91</w:t>
            </w:r>
          </w:p>
        </w:tc>
        <w:tc>
          <w:tcPr>
            <w:tcW w:w="405" w:type="pct"/>
            <w:tcBorders>
              <w:top w:val="single" w:sz="8" w:space="0" w:color="auto"/>
              <w:left w:val="single" w:sz="18" w:space="0" w:color="auto"/>
              <w:bottom w:val="single" w:sz="8" w:space="0" w:color="auto"/>
              <w:right w:val="single" w:sz="8" w:space="0" w:color="auto"/>
            </w:tcBorders>
            <w:tcMar>
              <w:top w:w="8" w:type="dxa"/>
              <w:left w:w="28" w:type="dxa"/>
              <w:bottom w:w="8" w:type="dxa"/>
              <w:right w:w="28" w:type="dxa"/>
            </w:tcMar>
            <w:vAlign w:val="center"/>
          </w:tcPr>
          <w:p w14:paraId="4481BAA0" w14:textId="07B0EF20" w:rsidR="005C445F" w:rsidRPr="005C445F" w:rsidRDefault="005C445F" w:rsidP="0065528C">
            <w:pPr>
              <w:tabs>
                <w:tab w:val="decimal" w:pos="360"/>
              </w:tabs>
              <w:spacing w:line="200" w:lineRule="auto"/>
              <w:jc w:val="center"/>
              <w:rPr>
                <w:sz w:val="20"/>
                <w:szCs w:val="20"/>
              </w:rPr>
            </w:pPr>
            <w:r w:rsidRPr="005C445F">
              <w:rPr>
                <w:sz w:val="20"/>
                <w:szCs w:val="20"/>
              </w:rPr>
              <w:t>-0.1</w:t>
            </w:r>
            <w:r w:rsidR="005A7FDF">
              <w:rPr>
                <w:sz w:val="20"/>
                <w:szCs w:val="20"/>
              </w:rPr>
              <w:t>2</w:t>
            </w:r>
          </w:p>
        </w:tc>
        <w:tc>
          <w:tcPr>
            <w:tcW w:w="405" w:type="pct"/>
            <w:tcBorders>
              <w:top w:val="single" w:sz="8" w:space="0" w:color="auto"/>
              <w:left w:val="single" w:sz="8" w:space="0" w:color="auto"/>
              <w:bottom w:val="single" w:sz="8" w:space="0" w:color="auto"/>
              <w:right w:val="single" w:sz="18" w:space="0" w:color="auto"/>
            </w:tcBorders>
            <w:tcMar>
              <w:top w:w="8" w:type="dxa"/>
              <w:left w:w="28" w:type="dxa"/>
              <w:bottom w:w="8" w:type="dxa"/>
              <w:right w:w="28" w:type="dxa"/>
            </w:tcMar>
            <w:vAlign w:val="center"/>
          </w:tcPr>
          <w:p w14:paraId="3FE15E52" w14:textId="6E28EAED" w:rsidR="005C445F" w:rsidRPr="005C445F" w:rsidRDefault="005C445F" w:rsidP="0065528C">
            <w:pPr>
              <w:tabs>
                <w:tab w:val="decimal" w:pos="360"/>
              </w:tabs>
              <w:spacing w:line="200" w:lineRule="auto"/>
              <w:jc w:val="center"/>
              <w:rPr>
                <w:sz w:val="20"/>
                <w:szCs w:val="20"/>
              </w:rPr>
            </w:pPr>
            <w:r w:rsidRPr="005C445F">
              <w:rPr>
                <w:sz w:val="20"/>
                <w:szCs w:val="20"/>
              </w:rPr>
              <w:t>0.1</w:t>
            </w:r>
            <w:r w:rsidR="005A7FDF">
              <w:rPr>
                <w:sz w:val="20"/>
                <w:szCs w:val="20"/>
              </w:rPr>
              <w:t>6</w:t>
            </w:r>
          </w:p>
        </w:tc>
        <w:tc>
          <w:tcPr>
            <w:tcW w:w="405" w:type="pct"/>
            <w:tcBorders>
              <w:top w:val="single" w:sz="8" w:space="0" w:color="auto"/>
              <w:left w:val="single" w:sz="18" w:space="0" w:color="auto"/>
              <w:bottom w:val="single" w:sz="8" w:space="0" w:color="auto"/>
              <w:right w:val="single" w:sz="18" w:space="0" w:color="auto"/>
            </w:tcBorders>
            <w:tcMar>
              <w:top w:w="8" w:type="dxa"/>
              <w:left w:w="28" w:type="dxa"/>
              <w:bottom w:w="8" w:type="dxa"/>
              <w:right w:w="28" w:type="dxa"/>
            </w:tcMar>
            <w:vAlign w:val="center"/>
          </w:tcPr>
          <w:p w14:paraId="43EC5398" w14:textId="0DAB9C88" w:rsidR="005C445F" w:rsidRPr="005C445F" w:rsidRDefault="006209C8" w:rsidP="0065528C">
            <w:pPr>
              <w:tabs>
                <w:tab w:val="decimal" w:pos="360"/>
              </w:tabs>
              <w:spacing w:line="200" w:lineRule="auto"/>
              <w:jc w:val="center"/>
              <w:rPr>
                <w:sz w:val="20"/>
                <w:szCs w:val="20"/>
              </w:rPr>
            </w:pPr>
            <w:r>
              <w:rPr>
                <w:sz w:val="20"/>
                <w:szCs w:val="20"/>
              </w:rPr>
              <w:t>104.10</w:t>
            </w:r>
          </w:p>
        </w:tc>
        <w:tc>
          <w:tcPr>
            <w:tcW w:w="405" w:type="pct"/>
            <w:tcBorders>
              <w:top w:val="single" w:sz="8" w:space="0" w:color="auto"/>
              <w:left w:val="single" w:sz="18" w:space="0" w:color="auto"/>
              <w:bottom w:val="single" w:sz="8" w:space="0" w:color="auto"/>
              <w:right w:val="single" w:sz="8" w:space="0" w:color="auto"/>
            </w:tcBorders>
            <w:tcMar>
              <w:top w:w="8" w:type="dxa"/>
              <w:left w:w="28" w:type="dxa"/>
              <w:bottom w:w="8" w:type="dxa"/>
              <w:right w:w="28" w:type="dxa"/>
            </w:tcMar>
            <w:vAlign w:val="center"/>
          </w:tcPr>
          <w:p w14:paraId="5C4FC5F5" w14:textId="43271925" w:rsidR="005C445F" w:rsidRPr="005C445F" w:rsidRDefault="006209C8" w:rsidP="0065528C">
            <w:pPr>
              <w:tabs>
                <w:tab w:val="decimal" w:pos="360"/>
              </w:tabs>
              <w:spacing w:line="200" w:lineRule="auto"/>
              <w:jc w:val="center"/>
              <w:rPr>
                <w:sz w:val="20"/>
                <w:szCs w:val="20"/>
              </w:rPr>
            </w:pPr>
            <w:r>
              <w:rPr>
                <w:sz w:val="20"/>
                <w:szCs w:val="20"/>
              </w:rPr>
              <w:t>45.98</w:t>
            </w:r>
          </w:p>
        </w:tc>
        <w:tc>
          <w:tcPr>
            <w:tcW w:w="389" w:type="pct"/>
            <w:tcBorders>
              <w:top w:val="single" w:sz="8" w:space="0" w:color="auto"/>
              <w:left w:val="single" w:sz="8" w:space="0" w:color="auto"/>
              <w:bottom w:val="single" w:sz="8" w:space="0" w:color="auto"/>
            </w:tcBorders>
            <w:tcMar>
              <w:top w:w="8" w:type="dxa"/>
              <w:left w:w="28" w:type="dxa"/>
              <w:bottom w:w="8" w:type="dxa"/>
              <w:right w:w="28" w:type="dxa"/>
            </w:tcMar>
            <w:vAlign w:val="center"/>
          </w:tcPr>
          <w:p w14:paraId="7B6A3CBD" w14:textId="72BF8F7F" w:rsidR="005C445F" w:rsidRPr="005C445F" w:rsidRDefault="005C445F" w:rsidP="0065528C">
            <w:pPr>
              <w:tabs>
                <w:tab w:val="decimal" w:pos="360"/>
              </w:tabs>
              <w:spacing w:line="200" w:lineRule="auto"/>
              <w:jc w:val="center"/>
              <w:rPr>
                <w:sz w:val="20"/>
                <w:szCs w:val="20"/>
              </w:rPr>
            </w:pPr>
            <w:r w:rsidRPr="005C445F">
              <w:rPr>
                <w:sz w:val="20"/>
                <w:szCs w:val="20"/>
              </w:rPr>
              <w:t>-0.1</w:t>
            </w:r>
            <w:r w:rsidR="005A7FDF">
              <w:rPr>
                <w:sz w:val="20"/>
                <w:szCs w:val="20"/>
              </w:rPr>
              <w:t>6</w:t>
            </w:r>
          </w:p>
        </w:tc>
      </w:tr>
      <w:tr w:rsidR="005C445F" w:rsidRPr="0031252B" w14:paraId="7B660E14" w14:textId="77777777" w:rsidTr="00313300">
        <w:trPr>
          <w:cantSplit/>
          <w:trHeight w:val="187"/>
        </w:trPr>
        <w:tc>
          <w:tcPr>
            <w:tcW w:w="592" w:type="pct"/>
            <w:tcBorders>
              <w:top w:val="single" w:sz="8" w:space="0" w:color="auto"/>
              <w:bottom w:val="single" w:sz="18" w:space="0" w:color="auto"/>
              <w:right w:val="single" w:sz="18" w:space="0" w:color="auto"/>
            </w:tcBorders>
            <w:tcMar>
              <w:top w:w="8" w:type="dxa"/>
              <w:left w:w="28" w:type="dxa"/>
              <w:bottom w:w="8" w:type="dxa"/>
              <w:right w:w="28" w:type="dxa"/>
            </w:tcMar>
            <w:vAlign w:val="center"/>
          </w:tcPr>
          <w:p w14:paraId="340C164B" w14:textId="3C328DAF" w:rsidR="005C445F" w:rsidRPr="005C445F" w:rsidRDefault="005C445F" w:rsidP="007F45E4">
            <w:pPr>
              <w:spacing w:line="200" w:lineRule="auto"/>
              <w:rPr>
                <w:sz w:val="20"/>
                <w:szCs w:val="20"/>
              </w:rPr>
            </w:pPr>
            <w:r w:rsidRPr="005C445F">
              <w:rPr>
                <w:sz w:val="20"/>
                <w:szCs w:val="20"/>
              </w:rPr>
              <w:t>Vehicle ownership</w:t>
            </w:r>
          </w:p>
        </w:tc>
        <w:tc>
          <w:tcPr>
            <w:tcW w:w="592" w:type="pct"/>
            <w:tcBorders>
              <w:top w:val="single" w:sz="8" w:space="0" w:color="auto"/>
              <w:bottom w:val="single" w:sz="18" w:space="0" w:color="auto"/>
              <w:right w:val="single" w:sz="18" w:space="0" w:color="auto"/>
            </w:tcBorders>
            <w:vAlign w:val="center"/>
          </w:tcPr>
          <w:p w14:paraId="4EBFFD7B" w14:textId="7A723F86" w:rsidR="005C445F" w:rsidRPr="005C445F" w:rsidRDefault="005C445F" w:rsidP="007F45E4">
            <w:pPr>
              <w:spacing w:line="200" w:lineRule="auto"/>
              <w:rPr>
                <w:sz w:val="20"/>
                <w:szCs w:val="20"/>
              </w:rPr>
            </w:pPr>
            <w:r w:rsidRPr="005C445F">
              <w:rPr>
                <w:sz w:val="20"/>
                <w:szCs w:val="20"/>
              </w:rPr>
              <w:t>Vehicle-sufficient</w:t>
            </w:r>
          </w:p>
        </w:tc>
        <w:tc>
          <w:tcPr>
            <w:tcW w:w="592" w:type="pct"/>
            <w:tcBorders>
              <w:top w:val="single" w:sz="8" w:space="0" w:color="auto"/>
              <w:bottom w:val="single" w:sz="18" w:space="0" w:color="auto"/>
              <w:right w:val="single" w:sz="18" w:space="0" w:color="auto"/>
            </w:tcBorders>
            <w:vAlign w:val="center"/>
          </w:tcPr>
          <w:p w14:paraId="366C4767" w14:textId="0BFBE66D" w:rsidR="005C445F" w:rsidRPr="005C445F" w:rsidRDefault="005C445F" w:rsidP="007F45E4">
            <w:pPr>
              <w:spacing w:line="200" w:lineRule="auto"/>
              <w:rPr>
                <w:sz w:val="20"/>
                <w:szCs w:val="20"/>
              </w:rPr>
            </w:pPr>
            <w:r w:rsidRPr="005C445F">
              <w:rPr>
                <w:sz w:val="20"/>
                <w:szCs w:val="20"/>
              </w:rPr>
              <w:t>Vehicle-deficient</w:t>
            </w:r>
          </w:p>
        </w:tc>
        <w:tc>
          <w:tcPr>
            <w:tcW w:w="405" w:type="pct"/>
            <w:tcBorders>
              <w:top w:val="single" w:sz="8" w:space="0" w:color="auto"/>
              <w:left w:val="single" w:sz="18" w:space="0" w:color="auto"/>
              <w:bottom w:val="single" w:sz="18" w:space="0" w:color="auto"/>
              <w:right w:val="single" w:sz="18" w:space="0" w:color="auto"/>
            </w:tcBorders>
            <w:tcMar>
              <w:top w:w="8" w:type="dxa"/>
              <w:left w:w="28" w:type="dxa"/>
              <w:bottom w:w="8" w:type="dxa"/>
              <w:right w:w="28" w:type="dxa"/>
            </w:tcMar>
            <w:vAlign w:val="center"/>
          </w:tcPr>
          <w:p w14:paraId="72FC0D96" w14:textId="29B1A035" w:rsidR="005C445F" w:rsidRPr="005C445F" w:rsidRDefault="00835757" w:rsidP="0065528C">
            <w:pPr>
              <w:tabs>
                <w:tab w:val="decimal" w:pos="360"/>
              </w:tabs>
              <w:spacing w:line="200" w:lineRule="auto"/>
              <w:jc w:val="center"/>
              <w:rPr>
                <w:sz w:val="20"/>
                <w:szCs w:val="20"/>
              </w:rPr>
            </w:pPr>
            <w:r>
              <w:rPr>
                <w:sz w:val="20"/>
                <w:szCs w:val="20"/>
              </w:rPr>
              <w:t>-</w:t>
            </w:r>
            <w:r w:rsidR="00FB6C76">
              <w:rPr>
                <w:sz w:val="20"/>
                <w:szCs w:val="20"/>
              </w:rPr>
              <w:t>15.76</w:t>
            </w:r>
          </w:p>
        </w:tc>
        <w:tc>
          <w:tcPr>
            <w:tcW w:w="405" w:type="pct"/>
            <w:tcBorders>
              <w:top w:val="single" w:sz="8" w:space="0" w:color="auto"/>
              <w:left w:val="single" w:sz="18" w:space="0" w:color="auto"/>
              <w:bottom w:val="single" w:sz="18" w:space="0" w:color="auto"/>
              <w:right w:val="single" w:sz="8" w:space="0" w:color="auto"/>
            </w:tcBorders>
            <w:tcMar>
              <w:top w:w="8" w:type="dxa"/>
              <w:left w:w="28" w:type="dxa"/>
              <w:bottom w:w="8" w:type="dxa"/>
              <w:right w:w="28" w:type="dxa"/>
            </w:tcMar>
            <w:vAlign w:val="center"/>
          </w:tcPr>
          <w:p w14:paraId="4AA22528" w14:textId="607B300B" w:rsidR="005C445F" w:rsidRPr="005C445F" w:rsidRDefault="005C445F" w:rsidP="0065528C">
            <w:pPr>
              <w:tabs>
                <w:tab w:val="decimal" w:pos="360"/>
              </w:tabs>
              <w:spacing w:line="200" w:lineRule="auto"/>
              <w:jc w:val="center"/>
              <w:rPr>
                <w:sz w:val="20"/>
                <w:szCs w:val="20"/>
              </w:rPr>
            </w:pPr>
            <w:r w:rsidRPr="005C445F">
              <w:rPr>
                <w:sz w:val="20"/>
                <w:szCs w:val="20"/>
              </w:rPr>
              <w:t>0.1</w:t>
            </w:r>
            <w:r w:rsidR="005A7FDF">
              <w:rPr>
                <w:sz w:val="20"/>
                <w:szCs w:val="20"/>
              </w:rPr>
              <w:t>4</w:t>
            </w:r>
          </w:p>
        </w:tc>
        <w:tc>
          <w:tcPr>
            <w:tcW w:w="405" w:type="pct"/>
            <w:tcBorders>
              <w:top w:val="single" w:sz="8" w:space="0" w:color="auto"/>
              <w:left w:val="single" w:sz="8" w:space="0" w:color="auto"/>
              <w:bottom w:val="single" w:sz="18" w:space="0" w:color="auto"/>
              <w:right w:val="single" w:sz="18" w:space="0" w:color="auto"/>
            </w:tcBorders>
            <w:tcMar>
              <w:top w:w="8" w:type="dxa"/>
              <w:left w:w="28" w:type="dxa"/>
              <w:bottom w:w="8" w:type="dxa"/>
              <w:right w:w="28" w:type="dxa"/>
            </w:tcMar>
            <w:vAlign w:val="center"/>
          </w:tcPr>
          <w:p w14:paraId="49785E80" w14:textId="40C8B759" w:rsidR="005C445F" w:rsidRPr="005C445F" w:rsidRDefault="005C445F" w:rsidP="0065528C">
            <w:pPr>
              <w:tabs>
                <w:tab w:val="decimal" w:pos="360"/>
              </w:tabs>
              <w:spacing w:line="200" w:lineRule="auto"/>
              <w:jc w:val="center"/>
              <w:rPr>
                <w:sz w:val="20"/>
                <w:szCs w:val="20"/>
              </w:rPr>
            </w:pPr>
            <w:r w:rsidRPr="005C445F">
              <w:rPr>
                <w:sz w:val="20"/>
                <w:szCs w:val="20"/>
              </w:rPr>
              <w:t>-0.0</w:t>
            </w:r>
            <w:r w:rsidR="005A7FDF">
              <w:rPr>
                <w:sz w:val="20"/>
                <w:szCs w:val="20"/>
              </w:rPr>
              <w:t>6</w:t>
            </w:r>
          </w:p>
        </w:tc>
        <w:tc>
          <w:tcPr>
            <w:tcW w:w="405" w:type="pct"/>
            <w:tcBorders>
              <w:top w:val="single" w:sz="8" w:space="0" w:color="auto"/>
              <w:left w:val="single" w:sz="18" w:space="0" w:color="auto"/>
              <w:bottom w:val="single" w:sz="18" w:space="0" w:color="auto"/>
              <w:right w:val="single" w:sz="8" w:space="0" w:color="auto"/>
            </w:tcBorders>
            <w:tcMar>
              <w:top w:w="8" w:type="dxa"/>
              <w:left w:w="28" w:type="dxa"/>
              <w:bottom w:w="8" w:type="dxa"/>
              <w:right w:w="28" w:type="dxa"/>
            </w:tcMar>
            <w:vAlign w:val="center"/>
          </w:tcPr>
          <w:p w14:paraId="29CE2EB7" w14:textId="653A37A2" w:rsidR="005C445F" w:rsidRPr="005C445F" w:rsidRDefault="005C445F" w:rsidP="0065528C">
            <w:pPr>
              <w:tabs>
                <w:tab w:val="decimal" w:pos="360"/>
              </w:tabs>
              <w:spacing w:line="200" w:lineRule="auto"/>
              <w:jc w:val="center"/>
              <w:rPr>
                <w:sz w:val="20"/>
                <w:szCs w:val="20"/>
              </w:rPr>
            </w:pPr>
            <w:r w:rsidRPr="005C445F">
              <w:rPr>
                <w:sz w:val="20"/>
                <w:szCs w:val="20"/>
              </w:rPr>
              <w:t>0.24</w:t>
            </w:r>
          </w:p>
        </w:tc>
        <w:tc>
          <w:tcPr>
            <w:tcW w:w="405" w:type="pct"/>
            <w:tcBorders>
              <w:top w:val="single" w:sz="8" w:space="0" w:color="auto"/>
              <w:left w:val="single" w:sz="8" w:space="0" w:color="auto"/>
              <w:bottom w:val="single" w:sz="18" w:space="0" w:color="auto"/>
              <w:right w:val="single" w:sz="18" w:space="0" w:color="auto"/>
            </w:tcBorders>
            <w:tcMar>
              <w:top w:w="8" w:type="dxa"/>
              <w:left w:w="28" w:type="dxa"/>
              <w:bottom w:w="8" w:type="dxa"/>
              <w:right w:w="28" w:type="dxa"/>
            </w:tcMar>
            <w:vAlign w:val="center"/>
          </w:tcPr>
          <w:p w14:paraId="65E2F0A1" w14:textId="67F8CFD0" w:rsidR="005C445F" w:rsidRPr="005C445F" w:rsidRDefault="005C445F" w:rsidP="0065528C">
            <w:pPr>
              <w:tabs>
                <w:tab w:val="decimal" w:pos="360"/>
              </w:tabs>
              <w:spacing w:line="200" w:lineRule="auto"/>
              <w:jc w:val="center"/>
              <w:rPr>
                <w:sz w:val="20"/>
                <w:szCs w:val="20"/>
              </w:rPr>
            </w:pPr>
            <w:r w:rsidRPr="005C445F">
              <w:rPr>
                <w:sz w:val="20"/>
                <w:szCs w:val="20"/>
              </w:rPr>
              <w:t>-0.1</w:t>
            </w:r>
            <w:r w:rsidR="005A7FDF">
              <w:rPr>
                <w:sz w:val="20"/>
                <w:szCs w:val="20"/>
              </w:rPr>
              <w:t>7</w:t>
            </w:r>
          </w:p>
        </w:tc>
        <w:tc>
          <w:tcPr>
            <w:tcW w:w="405" w:type="pct"/>
            <w:tcBorders>
              <w:top w:val="single" w:sz="8" w:space="0" w:color="auto"/>
              <w:left w:val="single" w:sz="18" w:space="0" w:color="auto"/>
              <w:bottom w:val="single" w:sz="18" w:space="0" w:color="auto"/>
              <w:right w:val="single" w:sz="18" w:space="0" w:color="auto"/>
            </w:tcBorders>
            <w:tcMar>
              <w:top w:w="8" w:type="dxa"/>
              <w:left w:w="28" w:type="dxa"/>
              <w:bottom w:w="8" w:type="dxa"/>
              <w:right w:w="28" w:type="dxa"/>
            </w:tcMar>
            <w:vAlign w:val="center"/>
          </w:tcPr>
          <w:p w14:paraId="4E363BA3" w14:textId="09CB28AA" w:rsidR="005C445F" w:rsidRPr="005C445F" w:rsidRDefault="005C445F" w:rsidP="0065528C">
            <w:pPr>
              <w:tabs>
                <w:tab w:val="decimal" w:pos="360"/>
              </w:tabs>
              <w:spacing w:line="200" w:lineRule="auto"/>
              <w:jc w:val="center"/>
              <w:rPr>
                <w:sz w:val="20"/>
                <w:szCs w:val="20"/>
              </w:rPr>
            </w:pPr>
            <w:r w:rsidRPr="005C445F">
              <w:rPr>
                <w:sz w:val="20"/>
                <w:szCs w:val="20"/>
              </w:rPr>
              <w:t>-0.2</w:t>
            </w:r>
            <w:r w:rsidR="005A7FDF">
              <w:rPr>
                <w:sz w:val="20"/>
                <w:szCs w:val="20"/>
              </w:rPr>
              <w:t>7</w:t>
            </w:r>
          </w:p>
        </w:tc>
        <w:tc>
          <w:tcPr>
            <w:tcW w:w="405" w:type="pct"/>
            <w:tcBorders>
              <w:top w:val="single" w:sz="8" w:space="0" w:color="auto"/>
              <w:left w:val="single" w:sz="18" w:space="0" w:color="auto"/>
              <w:bottom w:val="single" w:sz="18" w:space="0" w:color="auto"/>
              <w:right w:val="single" w:sz="8" w:space="0" w:color="auto"/>
            </w:tcBorders>
            <w:tcMar>
              <w:top w:w="8" w:type="dxa"/>
              <w:left w:w="28" w:type="dxa"/>
              <w:bottom w:w="8" w:type="dxa"/>
              <w:right w:w="28" w:type="dxa"/>
            </w:tcMar>
            <w:vAlign w:val="center"/>
          </w:tcPr>
          <w:p w14:paraId="119AAC51" w14:textId="25BF2124" w:rsidR="005C445F" w:rsidRPr="005C445F" w:rsidRDefault="00FB6C76" w:rsidP="0065528C">
            <w:pPr>
              <w:tabs>
                <w:tab w:val="decimal" w:pos="360"/>
              </w:tabs>
              <w:spacing w:line="200" w:lineRule="auto"/>
              <w:jc w:val="center"/>
              <w:rPr>
                <w:sz w:val="20"/>
                <w:szCs w:val="20"/>
              </w:rPr>
            </w:pPr>
            <w:r>
              <w:rPr>
                <w:sz w:val="20"/>
                <w:szCs w:val="20"/>
              </w:rPr>
              <w:t>-15.24</w:t>
            </w:r>
          </w:p>
        </w:tc>
        <w:tc>
          <w:tcPr>
            <w:tcW w:w="389" w:type="pct"/>
            <w:tcBorders>
              <w:top w:val="single" w:sz="8" w:space="0" w:color="auto"/>
              <w:left w:val="single" w:sz="8" w:space="0" w:color="auto"/>
              <w:bottom w:val="single" w:sz="8" w:space="0" w:color="auto"/>
            </w:tcBorders>
            <w:tcMar>
              <w:top w:w="8" w:type="dxa"/>
              <w:left w:w="28" w:type="dxa"/>
              <w:bottom w:w="8" w:type="dxa"/>
              <w:right w:w="28" w:type="dxa"/>
            </w:tcMar>
            <w:vAlign w:val="center"/>
          </w:tcPr>
          <w:p w14:paraId="75D15991" w14:textId="3E1C92BC" w:rsidR="005C445F" w:rsidRPr="005C445F" w:rsidRDefault="00FB6C76" w:rsidP="0065528C">
            <w:pPr>
              <w:tabs>
                <w:tab w:val="decimal" w:pos="360"/>
              </w:tabs>
              <w:spacing w:line="200" w:lineRule="auto"/>
              <w:jc w:val="center"/>
              <w:rPr>
                <w:sz w:val="20"/>
                <w:szCs w:val="20"/>
              </w:rPr>
            </w:pPr>
            <w:r>
              <w:rPr>
                <w:sz w:val="20"/>
                <w:szCs w:val="20"/>
              </w:rPr>
              <w:t>-30.94</w:t>
            </w:r>
          </w:p>
        </w:tc>
      </w:tr>
      <w:tr w:rsidR="005C445F" w:rsidRPr="0031252B" w14:paraId="3AE18D70" w14:textId="77777777" w:rsidTr="00313300">
        <w:trPr>
          <w:cantSplit/>
          <w:trHeight w:val="187"/>
        </w:trPr>
        <w:tc>
          <w:tcPr>
            <w:tcW w:w="5000" w:type="pct"/>
            <w:gridSpan w:val="11"/>
            <w:tcBorders>
              <w:top w:val="single" w:sz="18" w:space="0" w:color="auto"/>
              <w:bottom w:val="single" w:sz="8" w:space="0" w:color="auto"/>
            </w:tcBorders>
            <w:tcMar>
              <w:top w:w="8" w:type="dxa"/>
              <w:left w:w="28" w:type="dxa"/>
              <w:bottom w:w="8" w:type="dxa"/>
              <w:right w:w="28" w:type="dxa"/>
            </w:tcMar>
          </w:tcPr>
          <w:p w14:paraId="644B6153" w14:textId="63D7D6FA" w:rsidR="005C445F" w:rsidRPr="00035C45" w:rsidRDefault="005C445F" w:rsidP="005C445F">
            <w:pPr>
              <w:spacing w:line="200" w:lineRule="auto"/>
              <w:rPr>
                <w:sz w:val="20"/>
                <w:szCs w:val="20"/>
              </w:rPr>
            </w:pPr>
            <w:r w:rsidRPr="005C445F">
              <w:rPr>
                <w:b/>
                <w:bCs/>
                <w:i/>
                <w:iCs/>
                <w:sz w:val="20"/>
                <w:szCs w:val="20"/>
              </w:rPr>
              <w:t>Residential built-environment characteristics</w:t>
            </w:r>
          </w:p>
        </w:tc>
      </w:tr>
      <w:tr w:rsidR="005C445F" w:rsidRPr="0031252B" w14:paraId="46136D34" w14:textId="77777777" w:rsidTr="00313300">
        <w:trPr>
          <w:cantSplit/>
          <w:trHeight w:val="187"/>
        </w:trPr>
        <w:tc>
          <w:tcPr>
            <w:tcW w:w="592" w:type="pct"/>
            <w:tcBorders>
              <w:top w:val="single" w:sz="8" w:space="0" w:color="auto"/>
              <w:bottom w:val="single" w:sz="8" w:space="0" w:color="auto"/>
              <w:right w:val="single" w:sz="18" w:space="0" w:color="auto"/>
            </w:tcBorders>
            <w:tcMar>
              <w:top w:w="8" w:type="dxa"/>
              <w:left w:w="28" w:type="dxa"/>
              <w:bottom w:w="8" w:type="dxa"/>
              <w:right w:w="28" w:type="dxa"/>
            </w:tcMar>
            <w:vAlign w:val="center"/>
          </w:tcPr>
          <w:p w14:paraId="606C264B" w14:textId="2A549D2E" w:rsidR="005C445F" w:rsidRPr="00035C45" w:rsidRDefault="005C445F" w:rsidP="005C445F">
            <w:pPr>
              <w:spacing w:line="200" w:lineRule="auto"/>
              <w:rPr>
                <w:sz w:val="20"/>
                <w:szCs w:val="20"/>
              </w:rPr>
            </w:pPr>
            <w:r w:rsidRPr="008D6870">
              <w:rPr>
                <w:sz w:val="20"/>
                <w:szCs w:val="20"/>
              </w:rPr>
              <w:t>Population density</w:t>
            </w:r>
          </w:p>
        </w:tc>
        <w:tc>
          <w:tcPr>
            <w:tcW w:w="592" w:type="pct"/>
            <w:tcBorders>
              <w:top w:val="single" w:sz="8" w:space="0" w:color="auto"/>
              <w:bottom w:val="single" w:sz="8" w:space="0" w:color="auto"/>
              <w:right w:val="single" w:sz="18" w:space="0" w:color="auto"/>
            </w:tcBorders>
            <w:vAlign w:val="center"/>
          </w:tcPr>
          <w:p w14:paraId="3005E250" w14:textId="01AF2112" w:rsidR="005C445F" w:rsidRPr="00035C45" w:rsidRDefault="00BD13B3" w:rsidP="005C445F">
            <w:pPr>
              <w:spacing w:line="200" w:lineRule="auto"/>
              <w:rPr>
                <w:sz w:val="20"/>
                <w:szCs w:val="20"/>
              </w:rPr>
            </w:pPr>
            <w:r>
              <w:rPr>
                <w:sz w:val="20"/>
                <w:szCs w:val="20"/>
              </w:rPr>
              <w:t>Not l</w:t>
            </w:r>
            <w:r w:rsidR="005C445F" w:rsidRPr="008D6870">
              <w:rPr>
                <w:sz w:val="20"/>
                <w:szCs w:val="20"/>
              </w:rPr>
              <w:t xml:space="preserve">ow, </w:t>
            </w:r>
            <w:r w:rsidR="00254DC9" w:rsidRPr="008D6870">
              <w:rPr>
                <w:sz w:val="20"/>
                <w:szCs w:val="20"/>
              </w:rPr>
              <w:t>&gt;</w:t>
            </w:r>
            <w:r w:rsidR="005C445F" w:rsidRPr="008D6870">
              <w:rPr>
                <w:sz w:val="20"/>
                <w:szCs w:val="20"/>
              </w:rPr>
              <w:t xml:space="preserve"> </w:t>
            </w:r>
            <w:r w:rsidR="00254DC9">
              <w:rPr>
                <w:sz w:val="20"/>
                <w:szCs w:val="20"/>
              </w:rPr>
              <w:t xml:space="preserve">10 </w:t>
            </w:r>
            <w:r w:rsidR="005C445F" w:rsidRPr="008D6870">
              <w:rPr>
                <w:sz w:val="20"/>
                <w:szCs w:val="20"/>
              </w:rPr>
              <w:t>persons per acre</w:t>
            </w:r>
          </w:p>
        </w:tc>
        <w:tc>
          <w:tcPr>
            <w:tcW w:w="592" w:type="pct"/>
            <w:tcBorders>
              <w:top w:val="single" w:sz="8" w:space="0" w:color="auto"/>
              <w:bottom w:val="single" w:sz="8" w:space="0" w:color="auto"/>
              <w:right w:val="single" w:sz="18" w:space="0" w:color="auto"/>
            </w:tcBorders>
            <w:vAlign w:val="center"/>
          </w:tcPr>
          <w:p w14:paraId="6CC7F372" w14:textId="325CB9C7" w:rsidR="005C445F" w:rsidRPr="00035C45" w:rsidRDefault="00254DC9" w:rsidP="005C445F">
            <w:pPr>
              <w:spacing w:line="200" w:lineRule="auto"/>
              <w:rPr>
                <w:sz w:val="20"/>
                <w:szCs w:val="20"/>
              </w:rPr>
            </w:pPr>
            <w:r>
              <w:rPr>
                <w:sz w:val="20"/>
                <w:szCs w:val="20"/>
              </w:rPr>
              <w:t>Low</w:t>
            </w:r>
            <w:r w:rsidR="005C445F" w:rsidRPr="008D6870">
              <w:rPr>
                <w:sz w:val="20"/>
                <w:szCs w:val="20"/>
              </w:rPr>
              <w:t xml:space="preserve"> (</w:t>
            </w:r>
            <w:r w:rsidRPr="008D6870">
              <w:rPr>
                <w:sz w:val="20"/>
                <w:szCs w:val="20"/>
              </w:rPr>
              <w:t>≤</w:t>
            </w:r>
            <w:r w:rsidR="005C445F" w:rsidRPr="008D6870">
              <w:rPr>
                <w:sz w:val="20"/>
                <w:szCs w:val="20"/>
              </w:rPr>
              <w:t xml:space="preserve"> </w:t>
            </w:r>
            <w:r>
              <w:rPr>
                <w:sz w:val="20"/>
                <w:szCs w:val="20"/>
              </w:rPr>
              <w:t>10</w:t>
            </w:r>
            <w:r w:rsidR="005C445F" w:rsidRPr="008D6870">
              <w:rPr>
                <w:sz w:val="20"/>
                <w:szCs w:val="20"/>
              </w:rPr>
              <w:t>)</w:t>
            </w:r>
          </w:p>
        </w:tc>
        <w:tc>
          <w:tcPr>
            <w:tcW w:w="405" w:type="pct"/>
            <w:tcBorders>
              <w:top w:val="single" w:sz="8" w:space="0" w:color="auto"/>
              <w:left w:val="single" w:sz="18" w:space="0" w:color="auto"/>
              <w:bottom w:val="single" w:sz="8" w:space="0" w:color="auto"/>
              <w:right w:val="single" w:sz="18" w:space="0" w:color="auto"/>
            </w:tcBorders>
            <w:tcMar>
              <w:top w:w="8" w:type="dxa"/>
              <w:left w:w="28" w:type="dxa"/>
              <w:bottom w:w="8" w:type="dxa"/>
              <w:right w:w="28" w:type="dxa"/>
            </w:tcMar>
            <w:vAlign w:val="center"/>
          </w:tcPr>
          <w:p w14:paraId="4DD35B31" w14:textId="312EDDD5" w:rsidR="005C445F" w:rsidRPr="00035C45" w:rsidRDefault="005C445F" w:rsidP="0065528C">
            <w:pPr>
              <w:tabs>
                <w:tab w:val="decimal" w:pos="360"/>
              </w:tabs>
              <w:spacing w:line="200" w:lineRule="auto"/>
              <w:jc w:val="center"/>
              <w:rPr>
                <w:sz w:val="20"/>
                <w:szCs w:val="20"/>
              </w:rPr>
            </w:pPr>
            <w:r w:rsidRPr="00D324DB">
              <w:rPr>
                <w:sz w:val="20"/>
                <w:szCs w:val="20"/>
              </w:rPr>
              <w:t>0.1</w:t>
            </w:r>
            <w:r w:rsidR="007D5933">
              <w:rPr>
                <w:sz w:val="20"/>
                <w:szCs w:val="20"/>
              </w:rPr>
              <w:t>6</w:t>
            </w:r>
          </w:p>
        </w:tc>
        <w:tc>
          <w:tcPr>
            <w:tcW w:w="405" w:type="pct"/>
            <w:tcBorders>
              <w:top w:val="single" w:sz="8" w:space="0" w:color="auto"/>
              <w:left w:val="single" w:sz="18" w:space="0" w:color="auto"/>
              <w:bottom w:val="single" w:sz="8" w:space="0" w:color="auto"/>
              <w:right w:val="single" w:sz="8" w:space="0" w:color="auto"/>
            </w:tcBorders>
            <w:tcMar>
              <w:top w:w="8" w:type="dxa"/>
              <w:left w:w="28" w:type="dxa"/>
              <w:bottom w:w="8" w:type="dxa"/>
              <w:right w:w="28" w:type="dxa"/>
            </w:tcMar>
            <w:vAlign w:val="center"/>
          </w:tcPr>
          <w:p w14:paraId="405E4D87" w14:textId="35602801" w:rsidR="005C445F" w:rsidRPr="00035C45" w:rsidRDefault="009330FC" w:rsidP="0065528C">
            <w:pPr>
              <w:tabs>
                <w:tab w:val="decimal" w:pos="360"/>
              </w:tabs>
              <w:spacing w:line="200" w:lineRule="auto"/>
              <w:jc w:val="center"/>
              <w:rPr>
                <w:sz w:val="20"/>
                <w:szCs w:val="20"/>
              </w:rPr>
            </w:pPr>
            <w:r>
              <w:rPr>
                <w:sz w:val="20"/>
                <w:szCs w:val="20"/>
              </w:rPr>
              <w:t>41.33</w:t>
            </w:r>
          </w:p>
        </w:tc>
        <w:tc>
          <w:tcPr>
            <w:tcW w:w="405" w:type="pct"/>
            <w:tcBorders>
              <w:top w:val="single" w:sz="8" w:space="0" w:color="auto"/>
              <w:left w:val="single" w:sz="8" w:space="0" w:color="auto"/>
              <w:bottom w:val="single" w:sz="8" w:space="0" w:color="auto"/>
              <w:right w:val="single" w:sz="18" w:space="0" w:color="auto"/>
            </w:tcBorders>
            <w:tcMar>
              <w:top w:w="8" w:type="dxa"/>
              <w:left w:w="28" w:type="dxa"/>
              <w:bottom w:w="8" w:type="dxa"/>
              <w:right w:w="28" w:type="dxa"/>
            </w:tcMar>
            <w:vAlign w:val="center"/>
          </w:tcPr>
          <w:p w14:paraId="7CD10F01" w14:textId="5C964E71" w:rsidR="005C445F" w:rsidRPr="00035C45" w:rsidRDefault="00DD45F4" w:rsidP="0065528C">
            <w:pPr>
              <w:tabs>
                <w:tab w:val="decimal" w:pos="360"/>
              </w:tabs>
              <w:spacing w:line="200" w:lineRule="auto"/>
              <w:jc w:val="center"/>
              <w:rPr>
                <w:sz w:val="20"/>
                <w:szCs w:val="20"/>
              </w:rPr>
            </w:pPr>
            <w:r>
              <w:rPr>
                <w:sz w:val="20"/>
                <w:szCs w:val="20"/>
              </w:rPr>
              <w:t>224.38</w:t>
            </w:r>
          </w:p>
        </w:tc>
        <w:tc>
          <w:tcPr>
            <w:tcW w:w="405" w:type="pct"/>
            <w:tcBorders>
              <w:top w:val="single" w:sz="8" w:space="0" w:color="auto"/>
              <w:left w:val="single" w:sz="18" w:space="0" w:color="auto"/>
              <w:bottom w:val="single" w:sz="8" w:space="0" w:color="auto"/>
              <w:right w:val="single" w:sz="8" w:space="0" w:color="auto"/>
            </w:tcBorders>
            <w:tcMar>
              <w:top w:w="8" w:type="dxa"/>
              <w:left w:w="28" w:type="dxa"/>
              <w:bottom w:w="8" w:type="dxa"/>
              <w:right w:w="28" w:type="dxa"/>
            </w:tcMar>
            <w:vAlign w:val="center"/>
          </w:tcPr>
          <w:p w14:paraId="7B3986D5" w14:textId="2C5E323E" w:rsidR="005C445F" w:rsidRPr="00035C45" w:rsidRDefault="007A3418" w:rsidP="0065528C">
            <w:pPr>
              <w:tabs>
                <w:tab w:val="decimal" w:pos="360"/>
              </w:tabs>
              <w:spacing w:line="200" w:lineRule="auto"/>
              <w:jc w:val="center"/>
              <w:rPr>
                <w:sz w:val="20"/>
                <w:szCs w:val="20"/>
              </w:rPr>
            </w:pPr>
            <w:r>
              <w:rPr>
                <w:sz w:val="20"/>
                <w:szCs w:val="20"/>
              </w:rPr>
              <w:t>-20.</w:t>
            </w:r>
            <w:r w:rsidR="008310FF">
              <w:rPr>
                <w:sz w:val="20"/>
                <w:szCs w:val="20"/>
              </w:rPr>
              <w:t>55</w:t>
            </w:r>
          </w:p>
        </w:tc>
        <w:tc>
          <w:tcPr>
            <w:tcW w:w="405" w:type="pct"/>
            <w:tcBorders>
              <w:top w:val="single" w:sz="8" w:space="0" w:color="auto"/>
              <w:left w:val="single" w:sz="8" w:space="0" w:color="auto"/>
              <w:bottom w:val="single" w:sz="8" w:space="0" w:color="auto"/>
              <w:right w:val="single" w:sz="18" w:space="0" w:color="auto"/>
            </w:tcBorders>
            <w:tcMar>
              <w:top w:w="8" w:type="dxa"/>
              <w:left w:w="28" w:type="dxa"/>
              <w:bottom w:w="8" w:type="dxa"/>
              <w:right w:w="28" w:type="dxa"/>
            </w:tcMar>
            <w:vAlign w:val="center"/>
          </w:tcPr>
          <w:p w14:paraId="68F681C0" w14:textId="600343D4" w:rsidR="005C445F" w:rsidRPr="00035C45" w:rsidRDefault="005C445F" w:rsidP="0065528C">
            <w:pPr>
              <w:tabs>
                <w:tab w:val="decimal" w:pos="360"/>
              </w:tabs>
              <w:spacing w:line="200" w:lineRule="auto"/>
              <w:jc w:val="center"/>
              <w:rPr>
                <w:sz w:val="20"/>
                <w:szCs w:val="20"/>
              </w:rPr>
            </w:pPr>
            <w:r w:rsidRPr="00D324DB">
              <w:rPr>
                <w:sz w:val="20"/>
                <w:szCs w:val="20"/>
              </w:rPr>
              <w:t>0.0</w:t>
            </w:r>
            <w:r w:rsidR="007D5933">
              <w:rPr>
                <w:sz w:val="20"/>
                <w:szCs w:val="20"/>
              </w:rPr>
              <w:t>8</w:t>
            </w:r>
          </w:p>
        </w:tc>
        <w:tc>
          <w:tcPr>
            <w:tcW w:w="405" w:type="pct"/>
            <w:tcBorders>
              <w:top w:val="single" w:sz="8" w:space="0" w:color="auto"/>
              <w:left w:val="single" w:sz="18" w:space="0" w:color="auto"/>
              <w:bottom w:val="single" w:sz="8" w:space="0" w:color="auto"/>
              <w:right w:val="single" w:sz="18" w:space="0" w:color="auto"/>
            </w:tcBorders>
            <w:tcMar>
              <w:top w:w="8" w:type="dxa"/>
              <w:left w:w="28" w:type="dxa"/>
              <w:bottom w:w="8" w:type="dxa"/>
              <w:right w:w="28" w:type="dxa"/>
            </w:tcMar>
            <w:vAlign w:val="center"/>
          </w:tcPr>
          <w:p w14:paraId="53DCA400" w14:textId="50591523" w:rsidR="005C445F" w:rsidRPr="00035C45" w:rsidRDefault="008310FF" w:rsidP="0065528C">
            <w:pPr>
              <w:tabs>
                <w:tab w:val="decimal" w:pos="360"/>
              </w:tabs>
              <w:spacing w:line="200" w:lineRule="auto"/>
              <w:jc w:val="center"/>
              <w:rPr>
                <w:sz w:val="20"/>
                <w:szCs w:val="20"/>
              </w:rPr>
            </w:pPr>
            <w:r>
              <w:rPr>
                <w:sz w:val="20"/>
                <w:szCs w:val="20"/>
              </w:rPr>
              <w:t>-33.65</w:t>
            </w:r>
          </w:p>
        </w:tc>
        <w:tc>
          <w:tcPr>
            <w:tcW w:w="405" w:type="pct"/>
            <w:tcBorders>
              <w:top w:val="single" w:sz="8" w:space="0" w:color="auto"/>
              <w:left w:val="single" w:sz="18" w:space="0" w:color="auto"/>
              <w:bottom w:val="single" w:sz="8" w:space="0" w:color="auto"/>
              <w:right w:val="single" w:sz="8" w:space="0" w:color="auto"/>
            </w:tcBorders>
            <w:tcMar>
              <w:top w:w="8" w:type="dxa"/>
              <w:left w:w="28" w:type="dxa"/>
              <w:bottom w:w="8" w:type="dxa"/>
              <w:right w:w="28" w:type="dxa"/>
            </w:tcMar>
            <w:vAlign w:val="center"/>
          </w:tcPr>
          <w:p w14:paraId="528C7A80" w14:textId="0A2E5BD1" w:rsidR="005C445F" w:rsidRPr="00035C45" w:rsidRDefault="005C445F" w:rsidP="0065528C">
            <w:pPr>
              <w:tabs>
                <w:tab w:val="decimal" w:pos="360"/>
              </w:tabs>
              <w:spacing w:line="200" w:lineRule="auto"/>
              <w:jc w:val="center"/>
              <w:rPr>
                <w:sz w:val="20"/>
                <w:szCs w:val="20"/>
              </w:rPr>
            </w:pPr>
            <w:r w:rsidRPr="00D324DB">
              <w:rPr>
                <w:sz w:val="20"/>
                <w:szCs w:val="20"/>
              </w:rPr>
              <w:t>0.1</w:t>
            </w:r>
            <w:r w:rsidR="007D5933">
              <w:rPr>
                <w:sz w:val="20"/>
                <w:szCs w:val="20"/>
              </w:rPr>
              <w:t>1</w:t>
            </w:r>
          </w:p>
        </w:tc>
        <w:tc>
          <w:tcPr>
            <w:tcW w:w="389" w:type="pct"/>
            <w:tcBorders>
              <w:top w:val="single" w:sz="8" w:space="0" w:color="auto"/>
              <w:left w:val="single" w:sz="8" w:space="0" w:color="auto"/>
              <w:bottom w:val="single" w:sz="8" w:space="0" w:color="auto"/>
            </w:tcBorders>
            <w:tcMar>
              <w:top w:w="8" w:type="dxa"/>
              <w:left w:w="28" w:type="dxa"/>
              <w:bottom w:w="8" w:type="dxa"/>
              <w:right w:w="28" w:type="dxa"/>
            </w:tcMar>
            <w:vAlign w:val="center"/>
          </w:tcPr>
          <w:p w14:paraId="72446CEB" w14:textId="5D676350" w:rsidR="005C445F" w:rsidRPr="00035C45" w:rsidRDefault="007D5933" w:rsidP="0065528C">
            <w:pPr>
              <w:tabs>
                <w:tab w:val="decimal" w:pos="360"/>
              </w:tabs>
              <w:spacing w:line="200" w:lineRule="auto"/>
              <w:jc w:val="center"/>
              <w:rPr>
                <w:sz w:val="20"/>
                <w:szCs w:val="20"/>
              </w:rPr>
            </w:pPr>
            <w:r>
              <w:rPr>
                <w:sz w:val="20"/>
                <w:szCs w:val="20"/>
              </w:rPr>
              <w:t>-</w:t>
            </w:r>
            <w:r w:rsidR="005C445F" w:rsidRPr="00D324DB">
              <w:rPr>
                <w:sz w:val="20"/>
                <w:szCs w:val="20"/>
              </w:rPr>
              <w:t>0.0</w:t>
            </w:r>
            <w:r>
              <w:rPr>
                <w:sz w:val="20"/>
                <w:szCs w:val="20"/>
              </w:rPr>
              <w:t>9</w:t>
            </w:r>
          </w:p>
        </w:tc>
      </w:tr>
      <w:tr w:rsidR="005C445F" w:rsidRPr="0031252B" w14:paraId="500D75D8" w14:textId="77777777" w:rsidTr="00313300">
        <w:trPr>
          <w:cantSplit/>
          <w:trHeight w:val="187"/>
        </w:trPr>
        <w:tc>
          <w:tcPr>
            <w:tcW w:w="592" w:type="pct"/>
            <w:tcBorders>
              <w:top w:val="single" w:sz="8" w:space="0" w:color="auto"/>
              <w:bottom w:val="single" w:sz="8" w:space="0" w:color="auto"/>
              <w:right w:val="single" w:sz="18" w:space="0" w:color="auto"/>
            </w:tcBorders>
            <w:tcMar>
              <w:top w:w="8" w:type="dxa"/>
              <w:left w:w="28" w:type="dxa"/>
              <w:bottom w:w="8" w:type="dxa"/>
              <w:right w:w="28" w:type="dxa"/>
            </w:tcMar>
            <w:vAlign w:val="center"/>
          </w:tcPr>
          <w:p w14:paraId="5C749332" w14:textId="3A2DDC56" w:rsidR="005C445F" w:rsidRPr="00035C45" w:rsidRDefault="005C445F" w:rsidP="005C445F">
            <w:pPr>
              <w:spacing w:line="200" w:lineRule="auto"/>
              <w:rPr>
                <w:sz w:val="20"/>
                <w:szCs w:val="20"/>
              </w:rPr>
            </w:pPr>
            <w:r w:rsidRPr="008D6870">
              <w:rPr>
                <w:sz w:val="20"/>
                <w:szCs w:val="20"/>
              </w:rPr>
              <w:t>Pedestrian network density</w:t>
            </w:r>
          </w:p>
        </w:tc>
        <w:tc>
          <w:tcPr>
            <w:tcW w:w="592" w:type="pct"/>
            <w:tcBorders>
              <w:top w:val="single" w:sz="8" w:space="0" w:color="auto"/>
              <w:bottom w:val="single" w:sz="8" w:space="0" w:color="auto"/>
              <w:right w:val="single" w:sz="18" w:space="0" w:color="auto"/>
            </w:tcBorders>
            <w:vAlign w:val="center"/>
          </w:tcPr>
          <w:p w14:paraId="7F3FBB41" w14:textId="1910DBFF" w:rsidR="005C445F" w:rsidRPr="00035C45" w:rsidRDefault="005C445F" w:rsidP="005C445F">
            <w:pPr>
              <w:spacing w:line="200" w:lineRule="auto"/>
              <w:rPr>
                <w:sz w:val="20"/>
                <w:szCs w:val="20"/>
              </w:rPr>
            </w:pPr>
            <w:r w:rsidRPr="008D6870">
              <w:rPr>
                <w:sz w:val="20"/>
                <w:szCs w:val="20"/>
              </w:rPr>
              <w:t xml:space="preserve">Not low, </w:t>
            </w:r>
            <w:r w:rsidR="00065B53" w:rsidRPr="008D6870">
              <w:rPr>
                <w:sz w:val="20"/>
                <w:szCs w:val="20"/>
              </w:rPr>
              <w:t>&gt;</w:t>
            </w:r>
            <w:r w:rsidRPr="008D6870">
              <w:rPr>
                <w:sz w:val="20"/>
                <w:szCs w:val="20"/>
              </w:rPr>
              <w:t xml:space="preserve"> 5 facility-miles per sq</w:t>
            </w:r>
            <w:r w:rsidR="00FF2DA5">
              <w:rPr>
                <w:sz w:val="20"/>
                <w:szCs w:val="20"/>
              </w:rPr>
              <w:t>-</w:t>
            </w:r>
            <w:r w:rsidRPr="008D6870">
              <w:rPr>
                <w:sz w:val="20"/>
                <w:szCs w:val="20"/>
              </w:rPr>
              <w:t>mi</w:t>
            </w:r>
          </w:p>
        </w:tc>
        <w:tc>
          <w:tcPr>
            <w:tcW w:w="592" w:type="pct"/>
            <w:tcBorders>
              <w:top w:val="single" w:sz="8" w:space="0" w:color="auto"/>
              <w:bottom w:val="single" w:sz="8" w:space="0" w:color="auto"/>
              <w:right w:val="single" w:sz="18" w:space="0" w:color="auto"/>
            </w:tcBorders>
            <w:vAlign w:val="center"/>
          </w:tcPr>
          <w:p w14:paraId="4AFFA180" w14:textId="41D10B50" w:rsidR="005C445F" w:rsidRPr="00035C45" w:rsidRDefault="005C445F" w:rsidP="005C445F">
            <w:pPr>
              <w:spacing w:line="200" w:lineRule="auto"/>
              <w:rPr>
                <w:sz w:val="20"/>
                <w:szCs w:val="20"/>
              </w:rPr>
            </w:pPr>
            <w:r w:rsidRPr="008D6870">
              <w:rPr>
                <w:sz w:val="20"/>
                <w:szCs w:val="20"/>
              </w:rPr>
              <w:t>Low (</w:t>
            </w:r>
            <w:r w:rsidR="00065B53" w:rsidRPr="008D6870">
              <w:rPr>
                <w:sz w:val="20"/>
                <w:szCs w:val="20"/>
              </w:rPr>
              <w:t>≤</w:t>
            </w:r>
            <w:r w:rsidRPr="008D6870">
              <w:rPr>
                <w:sz w:val="20"/>
                <w:szCs w:val="20"/>
              </w:rPr>
              <w:t xml:space="preserve"> 5)</w:t>
            </w:r>
          </w:p>
        </w:tc>
        <w:tc>
          <w:tcPr>
            <w:tcW w:w="405" w:type="pct"/>
            <w:tcBorders>
              <w:top w:val="single" w:sz="8" w:space="0" w:color="auto"/>
              <w:left w:val="single" w:sz="18" w:space="0" w:color="auto"/>
              <w:bottom w:val="single" w:sz="8" w:space="0" w:color="auto"/>
              <w:right w:val="single" w:sz="18" w:space="0" w:color="auto"/>
            </w:tcBorders>
            <w:tcMar>
              <w:top w:w="8" w:type="dxa"/>
              <w:left w:w="28" w:type="dxa"/>
              <w:bottom w:w="8" w:type="dxa"/>
              <w:right w:w="28" w:type="dxa"/>
            </w:tcMar>
            <w:vAlign w:val="center"/>
          </w:tcPr>
          <w:p w14:paraId="4BE39320" w14:textId="4EC42A05" w:rsidR="005C445F" w:rsidRPr="00035C45" w:rsidRDefault="005C445F" w:rsidP="0065528C">
            <w:pPr>
              <w:tabs>
                <w:tab w:val="decimal" w:pos="360"/>
              </w:tabs>
              <w:spacing w:line="200" w:lineRule="auto"/>
              <w:jc w:val="center"/>
              <w:rPr>
                <w:sz w:val="20"/>
                <w:szCs w:val="20"/>
              </w:rPr>
            </w:pPr>
            <w:r w:rsidRPr="00D324DB">
              <w:rPr>
                <w:sz w:val="20"/>
                <w:szCs w:val="20"/>
              </w:rPr>
              <w:t>0.</w:t>
            </w:r>
            <w:r w:rsidR="00D15411">
              <w:rPr>
                <w:sz w:val="20"/>
                <w:szCs w:val="20"/>
              </w:rPr>
              <w:t>28</w:t>
            </w:r>
          </w:p>
        </w:tc>
        <w:tc>
          <w:tcPr>
            <w:tcW w:w="405" w:type="pct"/>
            <w:tcBorders>
              <w:top w:val="single" w:sz="8" w:space="0" w:color="auto"/>
              <w:left w:val="single" w:sz="18" w:space="0" w:color="auto"/>
              <w:bottom w:val="single" w:sz="8" w:space="0" w:color="auto"/>
              <w:right w:val="single" w:sz="8" w:space="0" w:color="auto"/>
            </w:tcBorders>
            <w:tcMar>
              <w:top w:w="8" w:type="dxa"/>
              <w:left w:w="28" w:type="dxa"/>
              <w:bottom w:w="8" w:type="dxa"/>
              <w:right w:w="28" w:type="dxa"/>
            </w:tcMar>
            <w:vAlign w:val="center"/>
          </w:tcPr>
          <w:p w14:paraId="7490147A" w14:textId="5555A887" w:rsidR="005C445F" w:rsidRPr="00035C45" w:rsidRDefault="001D43CF" w:rsidP="0065528C">
            <w:pPr>
              <w:tabs>
                <w:tab w:val="decimal" w:pos="360"/>
              </w:tabs>
              <w:spacing w:line="200" w:lineRule="auto"/>
              <w:jc w:val="center"/>
              <w:rPr>
                <w:sz w:val="20"/>
                <w:szCs w:val="20"/>
              </w:rPr>
            </w:pPr>
            <w:r>
              <w:rPr>
                <w:sz w:val="20"/>
                <w:szCs w:val="20"/>
              </w:rPr>
              <w:t>11.62</w:t>
            </w:r>
          </w:p>
        </w:tc>
        <w:tc>
          <w:tcPr>
            <w:tcW w:w="405" w:type="pct"/>
            <w:tcBorders>
              <w:top w:val="single" w:sz="8" w:space="0" w:color="auto"/>
              <w:left w:val="single" w:sz="8" w:space="0" w:color="auto"/>
              <w:bottom w:val="single" w:sz="8" w:space="0" w:color="auto"/>
              <w:right w:val="single" w:sz="18" w:space="0" w:color="auto"/>
            </w:tcBorders>
            <w:tcMar>
              <w:top w:w="8" w:type="dxa"/>
              <w:left w:w="28" w:type="dxa"/>
              <w:bottom w:w="8" w:type="dxa"/>
              <w:right w:w="28" w:type="dxa"/>
            </w:tcMar>
            <w:vAlign w:val="center"/>
          </w:tcPr>
          <w:p w14:paraId="566E9510" w14:textId="4C3EB3B4" w:rsidR="005C445F" w:rsidRPr="00035C45" w:rsidRDefault="00377A0A" w:rsidP="0065528C">
            <w:pPr>
              <w:tabs>
                <w:tab w:val="decimal" w:pos="360"/>
              </w:tabs>
              <w:spacing w:line="200" w:lineRule="auto"/>
              <w:jc w:val="center"/>
              <w:rPr>
                <w:sz w:val="20"/>
                <w:szCs w:val="20"/>
              </w:rPr>
            </w:pPr>
            <w:r>
              <w:rPr>
                <w:sz w:val="20"/>
                <w:szCs w:val="20"/>
              </w:rPr>
              <w:t>46.93</w:t>
            </w:r>
          </w:p>
        </w:tc>
        <w:tc>
          <w:tcPr>
            <w:tcW w:w="405" w:type="pct"/>
            <w:tcBorders>
              <w:top w:val="single" w:sz="8" w:space="0" w:color="auto"/>
              <w:left w:val="single" w:sz="18" w:space="0" w:color="auto"/>
              <w:bottom w:val="single" w:sz="8" w:space="0" w:color="auto"/>
              <w:right w:val="single" w:sz="8" w:space="0" w:color="auto"/>
            </w:tcBorders>
            <w:tcMar>
              <w:top w:w="8" w:type="dxa"/>
              <w:left w:w="28" w:type="dxa"/>
              <w:bottom w:w="8" w:type="dxa"/>
              <w:right w:w="28" w:type="dxa"/>
            </w:tcMar>
            <w:vAlign w:val="center"/>
          </w:tcPr>
          <w:p w14:paraId="6B5973AE" w14:textId="3D458025" w:rsidR="005C445F" w:rsidRPr="00035C45" w:rsidRDefault="005C445F" w:rsidP="0065528C">
            <w:pPr>
              <w:tabs>
                <w:tab w:val="decimal" w:pos="360"/>
              </w:tabs>
              <w:spacing w:line="200" w:lineRule="auto"/>
              <w:jc w:val="center"/>
              <w:rPr>
                <w:sz w:val="20"/>
                <w:szCs w:val="20"/>
              </w:rPr>
            </w:pPr>
            <w:r w:rsidRPr="00D324DB">
              <w:rPr>
                <w:sz w:val="20"/>
                <w:szCs w:val="20"/>
              </w:rPr>
              <w:t>-0.0</w:t>
            </w:r>
            <w:r w:rsidR="00D15411">
              <w:rPr>
                <w:sz w:val="20"/>
                <w:szCs w:val="20"/>
              </w:rPr>
              <w:t>6</w:t>
            </w:r>
          </w:p>
        </w:tc>
        <w:tc>
          <w:tcPr>
            <w:tcW w:w="405" w:type="pct"/>
            <w:tcBorders>
              <w:top w:val="single" w:sz="8" w:space="0" w:color="auto"/>
              <w:left w:val="single" w:sz="8" w:space="0" w:color="auto"/>
              <w:bottom w:val="single" w:sz="8" w:space="0" w:color="auto"/>
              <w:right w:val="single" w:sz="18" w:space="0" w:color="auto"/>
            </w:tcBorders>
            <w:tcMar>
              <w:top w:w="8" w:type="dxa"/>
              <w:left w:w="28" w:type="dxa"/>
              <w:bottom w:w="8" w:type="dxa"/>
              <w:right w:w="28" w:type="dxa"/>
            </w:tcMar>
            <w:vAlign w:val="center"/>
          </w:tcPr>
          <w:p w14:paraId="61B7D77D" w14:textId="7110F6C0" w:rsidR="005C445F" w:rsidRPr="00035C45" w:rsidRDefault="005C445F" w:rsidP="0065528C">
            <w:pPr>
              <w:tabs>
                <w:tab w:val="decimal" w:pos="360"/>
              </w:tabs>
              <w:spacing w:line="200" w:lineRule="auto"/>
              <w:jc w:val="center"/>
              <w:rPr>
                <w:sz w:val="20"/>
                <w:szCs w:val="20"/>
              </w:rPr>
            </w:pPr>
            <w:r w:rsidRPr="00D324DB">
              <w:rPr>
                <w:sz w:val="20"/>
                <w:szCs w:val="20"/>
              </w:rPr>
              <w:t>0.0</w:t>
            </w:r>
            <w:r w:rsidR="00D15411">
              <w:rPr>
                <w:sz w:val="20"/>
                <w:szCs w:val="20"/>
              </w:rPr>
              <w:t>8</w:t>
            </w:r>
          </w:p>
        </w:tc>
        <w:tc>
          <w:tcPr>
            <w:tcW w:w="405" w:type="pct"/>
            <w:tcBorders>
              <w:top w:val="single" w:sz="8" w:space="0" w:color="auto"/>
              <w:left w:val="single" w:sz="18" w:space="0" w:color="auto"/>
              <w:bottom w:val="single" w:sz="8" w:space="0" w:color="auto"/>
              <w:right w:val="single" w:sz="18" w:space="0" w:color="auto"/>
            </w:tcBorders>
            <w:tcMar>
              <w:top w:w="8" w:type="dxa"/>
              <w:left w:w="28" w:type="dxa"/>
              <w:bottom w:w="8" w:type="dxa"/>
              <w:right w:w="28" w:type="dxa"/>
            </w:tcMar>
            <w:vAlign w:val="center"/>
          </w:tcPr>
          <w:p w14:paraId="64D2CB39" w14:textId="79663A1E" w:rsidR="005C445F" w:rsidRPr="00035C45" w:rsidRDefault="00377A0A" w:rsidP="0065528C">
            <w:pPr>
              <w:tabs>
                <w:tab w:val="decimal" w:pos="360"/>
              </w:tabs>
              <w:spacing w:line="200" w:lineRule="auto"/>
              <w:jc w:val="center"/>
              <w:rPr>
                <w:sz w:val="20"/>
                <w:szCs w:val="20"/>
              </w:rPr>
            </w:pPr>
            <w:r>
              <w:rPr>
                <w:sz w:val="20"/>
                <w:szCs w:val="20"/>
              </w:rPr>
              <w:t>278.82</w:t>
            </w:r>
          </w:p>
        </w:tc>
        <w:tc>
          <w:tcPr>
            <w:tcW w:w="405" w:type="pct"/>
            <w:tcBorders>
              <w:top w:val="single" w:sz="8" w:space="0" w:color="auto"/>
              <w:left w:val="single" w:sz="18" w:space="0" w:color="auto"/>
              <w:bottom w:val="single" w:sz="8" w:space="0" w:color="auto"/>
              <w:right w:val="single" w:sz="8" w:space="0" w:color="auto"/>
            </w:tcBorders>
            <w:tcMar>
              <w:top w:w="8" w:type="dxa"/>
              <w:left w:w="28" w:type="dxa"/>
              <w:bottom w:w="8" w:type="dxa"/>
              <w:right w:w="28" w:type="dxa"/>
            </w:tcMar>
            <w:vAlign w:val="center"/>
          </w:tcPr>
          <w:p w14:paraId="05CB2A5E" w14:textId="6B7FD374" w:rsidR="005C445F" w:rsidRPr="00035C45" w:rsidRDefault="00A64ECB" w:rsidP="0065528C">
            <w:pPr>
              <w:tabs>
                <w:tab w:val="decimal" w:pos="360"/>
              </w:tabs>
              <w:spacing w:line="200" w:lineRule="auto"/>
              <w:jc w:val="center"/>
              <w:rPr>
                <w:sz w:val="20"/>
                <w:szCs w:val="20"/>
              </w:rPr>
            </w:pPr>
            <w:r>
              <w:rPr>
                <w:sz w:val="20"/>
                <w:szCs w:val="20"/>
              </w:rPr>
              <w:t>31.48</w:t>
            </w:r>
          </w:p>
        </w:tc>
        <w:tc>
          <w:tcPr>
            <w:tcW w:w="389" w:type="pct"/>
            <w:tcBorders>
              <w:top w:val="single" w:sz="8" w:space="0" w:color="auto"/>
              <w:left w:val="single" w:sz="8" w:space="0" w:color="auto"/>
              <w:bottom w:val="single" w:sz="8" w:space="0" w:color="auto"/>
            </w:tcBorders>
            <w:tcMar>
              <w:top w:w="8" w:type="dxa"/>
              <w:left w:w="28" w:type="dxa"/>
              <w:bottom w:w="8" w:type="dxa"/>
              <w:right w:w="28" w:type="dxa"/>
            </w:tcMar>
            <w:vAlign w:val="center"/>
          </w:tcPr>
          <w:p w14:paraId="5E2517C3" w14:textId="639278B8" w:rsidR="005C445F" w:rsidRPr="00035C45" w:rsidRDefault="005C445F" w:rsidP="0065528C">
            <w:pPr>
              <w:tabs>
                <w:tab w:val="decimal" w:pos="360"/>
              </w:tabs>
              <w:spacing w:line="200" w:lineRule="auto"/>
              <w:jc w:val="center"/>
              <w:rPr>
                <w:sz w:val="20"/>
                <w:szCs w:val="20"/>
              </w:rPr>
            </w:pPr>
            <w:r w:rsidRPr="00D324DB">
              <w:rPr>
                <w:sz w:val="20"/>
                <w:szCs w:val="20"/>
              </w:rPr>
              <w:t>-0.</w:t>
            </w:r>
            <w:r w:rsidR="00D15411">
              <w:rPr>
                <w:sz w:val="20"/>
                <w:szCs w:val="20"/>
              </w:rPr>
              <w:t>10</w:t>
            </w:r>
          </w:p>
        </w:tc>
      </w:tr>
      <w:tr w:rsidR="005C445F" w:rsidRPr="0031252B" w14:paraId="161DC9C0" w14:textId="77777777" w:rsidTr="00313300">
        <w:trPr>
          <w:cantSplit/>
          <w:trHeight w:val="187"/>
        </w:trPr>
        <w:tc>
          <w:tcPr>
            <w:tcW w:w="592" w:type="pct"/>
            <w:vMerge w:val="restart"/>
            <w:tcBorders>
              <w:top w:val="single" w:sz="8" w:space="0" w:color="auto"/>
              <w:right w:val="single" w:sz="18" w:space="0" w:color="auto"/>
            </w:tcBorders>
            <w:tcMar>
              <w:top w:w="8" w:type="dxa"/>
              <w:left w:w="28" w:type="dxa"/>
              <w:bottom w:w="8" w:type="dxa"/>
              <w:right w:w="28" w:type="dxa"/>
            </w:tcMar>
            <w:vAlign w:val="center"/>
          </w:tcPr>
          <w:p w14:paraId="3F87F689" w14:textId="3941F39A" w:rsidR="005C445F" w:rsidRPr="00035C45" w:rsidRDefault="005C445F" w:rsidP="005C445F">
            <w:pPr>
              <w:spacing w:line="200" w:lineRule="auto"/>
              <w:rPr>
                <w:sz w:val="20"/>
                <w:szCs w:val="20"/>
              </w:rPr>
            </w:pPr>
            <w:r w:rsidRPr="008D6870">
              <w:rPr>
                <w:sz w:val="20"/>
                <w:szCs w:val="20"/>
              </w:rPr>
              <w:t>National Walkability Index</w:t>
            </w:r>
          </w:p>
        </w:tc>
        <w:tc>
          <w:tcPr>
            <w:tcW w:w="592" w:type="pct"/>
            <w:vMerge w:val="restart"/>
            <w:tcBorders>
              <w:top w:val="single" w:sz="8" w:space="0" w:color="auto"/>
              <w:right w:val="single" w:sz="18" w:space="0" w:color="auto"/>
            </w:tcBorders>
            <w:vAlign w:val="center"/>
          </w:tcPr>
          <w:p w14:paraId="089630E3" w14:textId="77777777" w:rsidR="00622AA9" w:rsidRDefault="005C445F" w:rsidP="005C445F">
            <w:pPr>
              <w:spacing w:line="200" w:lineRule="auto"/>
              <w:rPr>
                <w:sz w:val="20"/>
                <w:szCs w:val="20"/>
              </w:rPr>
            </w:pPr>
            <w:r w:rsidRPr="008D6870">
              <w:rPr>
                <w:sz w:val="20"/>
                <w:szCs w:val="20"/>
              </w:rPr>
              <w:t xml:space="preserve">Least walkable, </w:t>
            </w:r>
          </w:p>
          <w:p w14:paraId="5E09A8FB" w14:textId="4075F71F" w:rsidR="005C445F" w:rsidRPr="00035C45" w:rsidRDefault="005C445F" w:rsidP="005C445F">
            <w:pPr>
              <w:spacing w:line="200" w:lineRule="auto"/>
              <w:rPr>
                <w:sz w:val="20"/>
                <w:szCs w:val="20"/>
              </w:rPr>
            </w:pPr>
            <w:r w:rsidRPr="008D6870">
              <w:rPr>
                <w:sz w:val="20"/>
                <w:szCs w:val="20"/>
              </w:rPr>
              <w:t>≤ 5.75</w:t>
            </w:r>
          </w:p>
        </w:tc>
        <w:tc>
          <w:tcPr>
            <w:tcW w:w="592" w:type="pct"/>
            <w:tcBorders>
              <w:top w:val="single" w:sz="8" w:space="0" w:color="auto"/>
              <w:bottom w:val="dotted" w:sz="4" w:space="0" w:color="auto"/>
              <w:right w:val="single" w:sz="18" w:space="0" w:color="auto"/>
            </w:tcBorders>
            <w:vAlign w:val="center"/>
          </w:tcPr>
          <w:p w14:paraId="33A47C67" w14:textId="25C1D693" w:rsidR="005C445F" w:rsidRPr="00035C45" w:rsidRDefault="005C445F" w:rsidP="005C445F">
            <w:pPr>
              <w:spacing w:line="200" w:lineRule="auto"/>
              <w:rPr>
                <w:sz w:val="20"/>
                <w:szCs w:val="20"/>
              </w:rPr>
            </w:pPr>
            <w:r w:rsidRPr="008D6870">
              <w:rPr>
                <w:sz w:val="20"/>
                <w:szCs w:val="20"/>
              </w:rPr>
              <w:t>Below average (5.76-10.50)</w:t>
            </w:r>
          </w:p>
        </w:tc>
        <w:tc>
          <w:tcPr>
            <w:tcW w:w="405" w:type="pct"/>
            <w:tcBorders>
              <w:top w:val="single" w:sz="8" w:space="0" w:color="auto"/>
              <w:left w:val="single" w:sz="18" w:space="0" w:color="auto"/>
              <w:bottom w:val="dotted" w:sz="4" w:space="0" w:color="auto"/>
              <w:right w:val="single" w:sz="18" w:space="0" w:color="auto"/>
            </w:tcBorders>
            <w:tcMar>
              <w:top w:w="8" w:type="dxa"/>
              <w:left w:w="28" w:type="dxa"/>
              <w:bottom w:w="8" w:type="dxa"/>
              <w:right w:w="28" w:type="dxa"/>
            </w:tcMar>
            <w:vAlign w:val="center"/>
          </w:tcPr>
          <w:p w14:paraId="48453F61" w14:textId="6708E8AE" w:rsidR="005C445F" w:rsidRPr="00035C45" w:rsidRDefault="000F0214" w:rsidP="0065528C">
            <w:pPr>
              <w:tabs>
                <w:tab w:val="decimal" w:pos="360"/>
              </w:tabs>
              <w:spacing w:line="200" w:lineRule="auto"/>
              <w:jc w:val="center"/>
              <w:rPr>
                <w:sz w:val="20"/>
                <w:szCs w:val="20"/>
              </w:rPr>
            </w:pPr>
            <w:r>
              <w:rPr>
                <w:sz w:val="20"/>
                <w:szCs w:val="20"/>
              </w:rPr>
              <w:t>-17.02</w:t>
            </w:r>
          </w:p>
        </w:tc>
        <w:tc>
          <w:tcPr>
            <w:tcW w:w="405" w:type="pct"/>
            <w:tcBorders>
              <w:top w:val="single" w:sz="8" w:space="0" w:color="auto"/>
              <w:left w:val="single" w:sz="18" w:space="0" w:color="auto"/>
              <w:bottom w:val="dotted" w:sz="4" w:space="0" w:color="auto"/>
              <w:right w:val="single" w:sz="8" w:space="0" w:color="auto"/>
            </w:tcBorders>
            <w:tcMar>
              <w:top w:w="8" w:type="dxa"/>
              <w:left w:w="28" w:type="dxa"/>
              <w:bottom w:w="8" w:type="dxa"/>
              <w:right w:w="28" w:type="dxa"/>
            </w:tcMar>
            <w:vAlign w:val="center"/>
          </w:tcPr>
          <w:p w14:paraId="239D3C6A" w14:textId="0C8AF3E4" w:rsidR="005C445F" w:rsidRPr="00035C45" w:rsidRDefault="005C445F" w:rsidP="0065528C">
            <w:pPr>
              <w:tabs>
                <w:tab w:val="decimal" w:pos="360"/>
              </w:tabs>
              <w:spacing w:line="200" w:lineRule="auto"/>
              <w:jc w:val="center"/>
              <w:rPr>
                <w:sz w:val="20"/>
                <w:szCs w:val="20"/>
              </w:rPr>
            </w:pPr>
            <w:r w:rsidRPr="00D324DB">
              <w:rPr>
                <w:sz w:val="20"/>
                <w:szCs w:val="20"/>
              </w:rPr>
              <w:t>0.00</w:t>
            </w:r>
          </w:p>
        </w:tc>
        <w:tc>
          <w:tcPr>
            <w:tcW w:w="405" w:type="pct"/>
            <w:tcBorders>
              <w:top w:val="single" w:sz="8" w:space="0" w:color="auto"/>
              <w:left w:val="single" w:sz="8" w:space="0" w:color="auto"/>
              <w:bottom w:val="dotted" w:sz="4" w:space="0" w:color="auto"/>
              <w:right w:val="single" w:sz="18" w:space="0" w:color="auto"/>
            </w:tcBorders>
            <w:tcMar>
              <w:top w:w="8" w:type="dxa"/>
              <w:left w:w="28" w:type="dxa"/>
              <w:bottom w:w="8" w:type="dxa"/>
              <w:right w:w="28" w:type="dxa"/>
            </w:tcMar>
            <w:vAlign w:val="center"/>
          </w:tcPr>
          <w:p w14:paraId="62236F9E" w14:textId="1B7CA7C7" w:rsidR="005C445F" w:rsidRPr="00035C45" w:rsidRDefault="008B19B0" w:rsidP="0065528C">
            <w:pPr>
              <w:tabs>
                <w:tab w:val="decimal" w:pos="360"/>
              </w:tabs>
              <w:spacing w:line="200" w:lineRule="auto"/>
              <w:jc w:val="center"/>
              <w:rPr>
                <w:sz w:val="20"/>
                <w:szCs w:val="20"/>
              </w:rPr>
            </w:pPr>
            <w:r>
              <w:rPr>
                <w:sz w:val="20"/>
                <w:szCs w:val="20"/>
              </w:rPr>
              <w:t>79.37</w:t>
            </w:r>
          </w:p>
        </w:tc>
        <w:tc>
          <w:tcPr>
            <w:tcW w:w="405" w:type="pct"/>
            <w:tcBorders>
              <w:top w:val="single" w:sz="8" w:space="0" w:color="auto"/>
              <w:left w:val="single" w:sz="18" w:space="0" w:color="auto"/>
              <w:bottom w:val="dotted" w:sz="4" w:space="0" w:color="auto"/>
              <w:right w:val="single" w:sz="8" w:space="0" w:color="auto"/>
            </w:tcBorders>
            <w:tcMar>
              <w:top w:w="8" w:type="dxa"/>
              <w:left w:w="28" w:type="dxa"/>
              <w:bottom w:w="8" w:type="dxa"/>
              <w:right w:w="28" w:type="dxa"/>
            </w:tcMar>
            <w:vAlign w:val="center"/>
          </w:tcPr>
          <w:p w14:paraId="047DFAAF" w14:textId="4DBC580C" w:rsidR="005C445F" w:rsidRPr="00035C45" w:rsidRDefault="005C445F" w:rsidP="0065528C">
            <w:pPr>
              <w:tabs>
                <w:tab w:val="decimal" w:pos="360"/>
              </w:tabs>
              <w:spacing w:line="200" w:lineRule="auto"/>
              <w:jc w:val="center"/>
              <w:rPr>
                <w:sz w:val="20"/>
                <w:szCs w:val="20"/>
              </w:rPr>
            </w:pPr>
            <w:r w:rsidRPr="00D324DB">
              <w:rPr>
                <w:sz w:val="20"/>
                <w:szCs w:val="20"/>
              </w:rPr>
              <w:t>0.0</w:t>
            </w:r>
            <w:r w:rsidR="00D15411">
              <w:rPr>
                <w:sz w:val="20"/>
                <w:szCs w:val="20"/>
              </w:rPr>
              <w:t>5</w:t>
            </w:r>
          </w:p>
        </w:tc>
        <w:tc>
          <w:tcPr>
            <w:tcW w:w="405" w:type="pct"/>
            <w:tcBorders>
              <w:top w:val="single" w:sz="8" w:space="0" w:color="auto"/>
              <w:left w:val="single" w:sz="8" w:space="0" w:color="auto"/>
              <w:bottom w:val="dotted" w:sz="4" w:space="0" w:color="auto"/>
              <w:right w:val="single" w:sz="18" w:space="0" w:color="auto"/>
            </w:tcBorders>
            <w:tcMar>
              <w:top w:w="8" w:type="dxa"/>
              <w:left w:w="28" w:type="dxa"/>
              <w:bottom w:w="8" w:type="dxa"/>
              <w:right w:w="28" w:type="dxa"/>
            </w:tcMar>
            <w:vAlign w:val="center"/>
          </w:tcPr>
          <w:p w14:paraId="7006CFD5" w14:textId="7D761B9B" w:rsidR="005C445F" w:rsidRPr="00035C45" w:rsidRDefault="005C445F" w:rsidP="0065528C">
            <w:pPr>
              <w:tabs>
                <w:tab w:val="decimal" w:pos="360"/>
              </w:tabs>
              <w:spacing w:line="200" w:lineRule="auto"/>
              <w:jc w:val="center"/>
              <w:rPr>
                <w:sz w:val="20"/>
                <w:szCs w:val="20"/>
              </w:rPr>
            </w:pPr>
            <w:r w:rsidRPr="00D324DB">
              <w:rPr>
                <w:sz w:val="20"/>
                <w:szCs w:val="20"/>
              </w:rPr>
              <w:t>-0.0</w:t>
            </w:r>
            <w:r w:rsidR="00D15411">
              <w:rPr>
                <w:sz w:val="20"/>
                <w:szCs w:val="20"/>
              </w:rPr>
              <w:t>6</w:t>
            </w:r>
          </w:p>
        </w:tc>
        <w:tc>
          <w:tcPr>
            <w:tcW w:w="405" w:type="pct"/>
            <w:tcBorders>
              <w:top w:val="single" w:sz="8" w:space="0" w:color="auto"/>
              <w:left w:val="single" w:sz="18" w:space="0" w:color="auto"/>
              <w:bottom w:val="dotted" w:sz="4" w:space="0" w:color="auto"/>
              <w:right w:val="single" w:sz="18" w:space="0" w:color="auto"/>
            </w:tcBorders>
            <w:tcMar>
              <w:top w:w="8" w:type="dxa"/>
              <w:left w:w="28" w:type="dxa"/>
              <w:bottom w:w="8" w:type="dxa"/>
              <w:right w:w="28" w:type="dxa"/>
            </w:tcMar>
            <w:vAlign w:val="center"/>
          </w:tcPr>
          <w:p w14:paraId="50600A6D" w14:textId="22FCB87B" w:rsidR="005C445F" w:rsidRPr="00035C45" w:rsidRDefault="005C445F" w:rsidP="0065528C">
            <w:pPr>
              <w:tabs>
                <w:tab w:val="decimal" w:pos="360"/>
              </w:tabs>
              <w:spacing w:line="200" w:lineRule="auto"/>
              <w:jc w:val="center"/>
              <w:rPr>
                <w:sz w:val="20"/>
                <w:szCs w:val="20"/>
              </w:rPr>
            </w:pPr>
            <w:r w:rsidRPr="00D324DB">
              <w:rPr>
                <w:sz w:val="20"/>
                <w:szCs w:val="20"/>
              </w:rPr>
              <w:t>-0.2</w:t>
            </w:r>
            <w:r w:rsidR="00D15411">
              <w:rPr>
                <w:sz w:val="20"/>
                <w:szCs w:val="20"/>
              </w:rPr>
              <w:t>8</w:t>
            </w:r>
          </w:p>
        </w:tc>
        <w:tc>
          <w:tcPr>
            <w:tcW w:w="405" w:type="pct"/>
            <w:tcBorders>
              <w:top w:val="single" w:sz="8" w:space="0" w:color="auto"/>
              <w:left w:val="single" w:sz="18" w:space="0" w:color="auto"/>
              <w:bottom w:val="dotted" w:sz="4" w:space="0" w:color="auto"/>
              <w:right w:val="single" w:sz="8" w:space="0" w:color="auto"/>
            </w:tcBorders>
            <w:tcMar>
              <w:top w:w="8" w:type="dxa"/>
              <w:left w:w="28" w:type="dxa"/>
              <w:bottom w:w="8" w:type="dxa"/>
              <w:right w:w="28" w:type="dxa"/>
            </w:tcMar>
            <w:vAlign w:val="center"/>
          </w:tcPr>
          <w:p w14:paraId="0F7CCEBE" w14:textId="136BDC97" w:rsidR="005C445F" w:rsidRPr="00035C45" w:rsidRDefault="005C445F" w:rsidP="0065528C">
            <w:pPr>
              <w:tabs>
                <w:tab w:val="decimal" w:pos="360"/>
              </w:tabs>
              <w:spacing w:line="200" w:lineRule="auto"/>
              <w:jc w:val="center"/>
              <w:rPr>
                <w:sz w:val="20"/>
                <w:szCs w:val="20"/>
              </w:rPr>
            </w:pPr>
            <w:r w:rsidRPr="00D324DB">
              <w:rPr>
                <w:sz w:val="20"/>
                <w:szCs w:val="20"/>
              </w:rPr>
              <w:t>-0.01</w:t>
            </w:r>
          </w:p>
        </w:tc>
        <w:tc>
          <w:tcPr>
            <w:tcW w:w="389" w:type="pct"/>
            <w:tcBorders>
              <w:top w:val="single" w:sz="8" w:space="0" w:color="auto"/>
              <w:left w:val="single" w:sz="8" w:space="0" w:color="auto"/>
              <w:bottom w:val="dotted" w:sz="4" w:space="0" w:color="auto"/>
            </w:tcBorders>
            <w:tcMar>
              <w:top w:w="8" w:type="dxa"/>
              <w:left w:w="28" w:type="dxa"/>
              <w:bottom w:w="8" w:type="dxa"/>
              <w:right w:w="28" w:type="dxa"/>
            </w:tcMar>
            <w:vAlign w:val="center"/>
          </w:tcPr>
          <w:p w14:paraId="42140C04" w14:textId="2BFA4BCC" w:rsidR="005C445F" w:rsidRPr="00035C45" w:rsidRDefault="005C445F" w:rsidP="0065528C">
            <w:pPr>
              <w:tabs>
                <w:tab w:val="decimal" w:pos="360"/>
              </w:tabs>
              <w:spacing w:line="200" w:lineRule="auto"/>
              <w:jc w:val="center"/>
              <w:rPr>
                <w:sz w:val="20"/>
                <w:szCs w:val="20"/>
              </w:rPr>
            </w:pPr>
            <w:r w:rsidRPr="00D324DB">
              <w:rPr>
                <w:sz w:val="20"/>
                <w:szCs w:val="20"/>
              </w:rPr>
              <w:t>0.00</w:t>
            </w:r>
          </w:p>
        </w:tc>
      </w:tr>
      <w:tr w:rsidR="008B19B0" w:rsidRPr="0031252B" w14:paraId="4E917126" w14:textId="77777777" w:rsidTr="00313300">
        <w:trPr>
          <w:cantSplit/>
          <w:trHeight w:val="187"/>
        </w:trPr>
        <w:tc>
          <w:tcPr>
            <w:tcW w:w="592" w:type="pct"/>
            <w:vMerge/>
            <w:tcBorders>
              <w:right w:val="single" w:sz="18" w:space="0" w:color="auto"/>
            </w:tcBorders>
            <w:tcMar>
              <w:top w:w="8" w:type="dxa"/>
              <w:left w:w="28" w:type="dxa"/>
              <w:bottom w:w="8" w:type="dxa"/>
              <w:right w:w="28" w:type="dxa"/>
            </w:tcMar>
          </w:tcPr>
          <w:p w14:paraId="0FD18B7E" w14:textId="77777777" w:rsidR="008B19B0" w:rsidRPr="00035C45" w:rsidRDefault="008B19B0" w:rsidP="008B19B0">
            <w:pPr>
              <w:spacing w:line="200" w:lineRule="auto"/>
              <w:rPr>
                <w:sz w:val="20"/>
                <w:szCs w:val="20"/>
              </w:rPr>
            </w:pPr>
          </w:p>
        </w:tc>
        <w:tc>
          <w:tcPr>
            <w:tcW w:w="592" w:type="pct"/>
            <w:vMerge/>
            <w:tcBorders>
              <w:right w:val="single" w:sz="18" w:space="0" w:color="auto"/>
            </w:tcBorders>
          </w:tcPr>
          <w:p w14:paraId="74E111D9" w14:textId="77777777" w:rsidR="008B19B0" w:rsidRPr="00035C45" w:rsidRDefault="008B19B0" w:rsidP="008B19B0">
            <w:pPr>
              <w:spacing w:line="200" w:lineRule="auto"/>
              <w:rPr>
                <w:sz w:val="20"/>
                <w:szCs w:val="20"/>
              </w:rPr>
            </w:pPr>
          </w:p>
        </w:tc>
        <w:tc>
          <w:tcPr>
            <w:tcW w:w="592" w:type="pct"/>
            <w:tcBorders>
              <w:top w:val="dotted" w:sz="4" w:space="0" w:color="auto"/>
              <w:bottom w:val="dotted" w:sz="4" w:space="0" w:color="auto"/>
              <w:right w:val="single" w:sz="18" w:space="0" w:color="auto"/>
            </w:tcBorders>
            <w:vAlign w:val="center"/>
          </w:tcPr>
          <w:p w14:paraId="7976B10F" w14:textId="3C3A9AC4" w:rsidR="008B19B0" w:rsidRPr="00035C45" w:rsidRDefault="008B19B0" w:rsidP="008B19B0">
            <w:pPr>
              <w:spacing w:line="200" w:lineRule="auto"/>
              <w:rPr>
                <w:sz w:val="20"/>
                <w:szCs w:val="20"/>
              </w:rPr>
            </w:pPr>
            <w:r w:rsidRPr="008D6870">
              <w:rPr>
                <w:sz w:val="20"/>
                <w:szCs w:val="20"/>
              </w:rPr>
              <w:t>Above average (10.51-15.25)</w:t>
            </w:r>
          </w:p>
        </w:tc>
        <w:tc>
          <w:tcPr>
            <w:tcW w:w="405" w:type="pct"/>
            <w:tcBorders>
              <w:top w:val="dotted" w:sz="4" w:space="0" w:color="auto"/>
              <w:left w:val="single" w:sz="18" w:space="0" w:color="auto"/>
              <w:bottom w:val="dotted" w:sz="4" w:space="0" w:color="auto"/>
              <w:right w:val="single" w:sz="18" w:space="0" w:color="auto"/>
            </w:tcBorders>
            <w:tcMar>
              <w:top w:w="8" w:type="dxa"/>
              <w:left w:w="28" w:type="dxa"/>
              <w:bottom w:w="8" w:type="dxa"/>
              <w:right w:w="28" w:type="dxa"/>
            </w:tcMar>
            <w:vAlign w:val="center"/>
          </w:tcPr>
          <w:p w14:paraId="597376C5" w14:textId="102F345B" w:rsidR="008B19B0" w:rsidRPr="00035C45" w:rsidRDefault="008B19B0" w:rsidP="008B19B0">
            <w:pPr>
              <w:tabs>
                <w:tab w:val="decimal" w:pos="360"/>
              </w:tabs>
              <w:spacing w:line="200" w:lineRule="auto"/>
              <w:jc w:val="center"/>
              <w:rPr>
                <w:sz w:val="20"/>
                <w:szCs w:val="20"/>
              </w:rPr>
            </w:pPr>
            <w:r>
              <w:rPr>
                <w:sz w:val="20"/>
                <w:szCs w:val="20"/>
              </w:rPr>
              <w:t>-31.20</w:t>
            </w:r>
          </w:p>
        </w:tc>
        <w:tc>
          <w:tcPr>
            <w:tcW w:w="405" w:type="pct"/>
            <w:tcBorders>
              <w:top w:val="dotted" w:sz="4" w:space="0" w:color="auto"/>
              <w:left w:val="single" w:sz="18" w:space="0" w:color="auto"/>
              <w:bottom w:val="dotted" w:sz="4" w:space="0" w:color="auto"/>
              <w:right w:val="single" w:sz="8" w:space="0" w:color="auto"/>
            </w:tcBorders>
            <w:tcMar>
              <w:top w:w="8" w:type="dxa"/>
              <w:left w:w="28" w:type="dxa"/>
              <w:bottom w:w="8" w:type="dxa"/>
              <w:right w:w="28" w:type="dxa"/>
            </w:tcMar>
            <w:vAlign w:val="center"/>
          </w:tcPr>
          <w:p w14:paraId="3DA05A2E" w14:textId="34ACC0CE" w:rsidR="008B19B0" w:rsidRPr="00035C45" w:rsidRDefault="008B19B0" w:rsidP="008B19B0">
            <w:pPr>
              <w:tabs>
                <w:tab w:val="decimal" w:pos="360"/>
              </w:tabs>
              <w:spacing w:line="200" w:lineRule="auto"/>
              <w:jc w:val="center"/>
              <w:rPr>
                <w:sz w:val="20"/>
                <w:szCs w:val="20"/>
              </w:rPr>
            </w:pPr>
            <w:r>
              <w:rPr>
                <w:sz w:val="20"/>
                <w:szCs w:val="20"/>
              </w:rPr>
              <w:t>-14.73</w:t>
            </w:r>
          </w:p>
        </w:tc>
        <w:tc>
          <w:tcPr>
            <w:tcW w:w="405" w:type="pct"/>
            <w:tcBorders>
              <w:top w:val="dotted" w:sz="4" w:space="0" w:color="auto"/>
              <w:left w:val="single" w:sz="8" w:space="0" w:color="auto"/>
              <w:bottom w:val="dotted" w:sz="4" w:space="0" w:color="auto"/>
              <w:right w:val="single" w:sz="18" w:space="0" w:color="auto"/>
            </w:tcBorders>
            <w:tcMar>
              <w:top w:w="8" w:type="dxa"/>
              <w:left w:w="28" w:type="dxa"/>
              <w:bottom w:w="8" w:type="dxa"/>
              <w:right w:w="28" w:type="dxa"/>
            </w:tcMar>
            <w:vAlign w:val="center"/>
          </w:tcPr>
          <w:p w14:paraId="4BB05ECB" w14:textId="54B9A70B" w:rsidR="008B19B0" w:rsidRPr="00035C45" w:rsidRDefault="008B19B0" w:rsidP="008B19B0">
            <w:pPr>
              <w:tabs>
                <w:tab w:val="decimal" w:pos="360"/>
              </w:tabs>
              <w:spacing w:line="200" w:lineRule="auto"/>
              <w:jc w:val="center"/>
              <w:rPr>
                <w:sz w:val="20"/>
                <w:szCs w:val="20"/>
              </w:rPr>
            </w:pPr>
            <w:r w:rsidRPr="00433718">
              <w:rPr>
                <w:sz w:val="20"/>
                <w:szCs w:val="20"/>
              </w:rPr>
              <w:t>79.37</w:t>
            </w:r>
          </w:p>
        </w:tc>
        <w:tc>
          <w:tcPr>
            <w:tcW w:w="405" w:type="pct"/>
            <w:tcBorders>
              <w:top w:val="dotted" w:sz="4" w:space="0" w:color="auto"/>
              <w:left w:val="single" w:sz="18" w:space="0" w:color="auto"/>
              <w:bottom w:val="dotted" w:sz="4" w:space="0" w:color="auto"/>
              <w:right w:val="single" w:sz="8" w:space="0" w:color="auto"/>
            </w:tcBorders>
            <w:tcMar>
              <w:top w:w="8" w:type="dxa"/>
              <w:left w:w="28" w:type="dxa"/>
              <w:bottom w:w="8" w:type="dxa"/>
              <w:right w:w="28" w:type="dxa"/>
            </w:tcMar>
            <w:vAlign w:val="center"/>
          </w:tcPr>
          <w:p w14:paraId="4831618B" w14:textId="1BE21C3D" w:rsidR="008B19B0" w:rsidRPr="00035C45" w:rsidRDefault="008B19B0" w:rsidP="008B19B0">
            <w:pPr>
              <w:tabs>
                <w:tab w:val="decimal" w:pos="360"/>
              </w:tabs>
              <w:spacing w:line="200" w:lineRule="auto"/>
              <w:jc w:val="center"/>
              <w:rPr>
                <w:sz w:val="20"/>
                <w:szCs w:val="20"/>
              </w:rPr>
            </w:pPr>
            <w:r w:rsidRPr="00D324DB">
              <w:rPr>
                <w:sz w:val="20"/>
                <w:szCs w:val="20"/>
              </w:rPr>
              <w:t>0.0</w:t>
            </w:r>
            <w:r w:rsidR="00C55D4F">
              <w:rPr>
                <w:sz w:val="20"/>
                <w:szCs w:val="20"/>
              </w:rPr>
              <w:t>8</w:t>
            </w:r>
          </w:p>
        </w:tc>
        <w:tc>
          <w:tcPr>
            <w:tcW w:w="405" w:type="pct"/>
            <w:tcBorders>
              <w:top w:val="dotted" w:sz="4" w:space="0" w:color="auto"/>
              <w:left w:val="single" w:sz="8" w:space="0" w:color="auto"/>
              <w:bottom w:val="dotted" w:sz="4" w:space="0" w:color="auto"/>
              <w:right w:val="single" w:sz="18" w:space="0" w:color="auto"/>
            </w:tcBorders>
            <w:tcMar>
              <w:top w:w="8" w:type="dxa"/>
              <w:left w:w="28" w:type="dxa"/>
              <w:bottom w:w="8" w:type="dxa"/>
              <w:right w:w="28" w:type="dxa"/>
            </w:tcMar>
            <w:vAlign w:val="center"/>
          </w:tcPr>
          <w:p w14:paraId="2977FC7F" w14:textId="039E08B2" w:rsidR="008B19B0" w:rsidRPr="00035C45" w:rsidRDefault="008B19B0" w:rsidP="008B19B0">
            <w:pPr>
              <w:tabs>
                <w:tab w:val="decimal" w:pos="360"/>
              </w:tabs>
              <w:spacing w:line="200" w:lineRule="auto"/>
              <w:jc w:val="center"/>
              <w:rPr>
                <w:sz w:val="20"/>
                <w:szCs w:val="20"/>
              </w:rPr>
            </w:pPr>
            <w:r w:rsidRPr="00D324DB">
              <w:rPr>
                <w:sz w:val="20"/>
                <w:szCs w:val="20"/>
              </w:rPr>
              <w:t>-0.0</w:t>
            </w:r>
            <w:r w:rsidR="00C55D4F">
              <w:rPr>
                <w:sz w:val="20"/>
                <w:szCs w:val="20"/>
              </w:rPr>
              <w:t>8</w:t>
            </w:r>
          </w:p>
        </w:tc>
        <w:tc>
          <w:tcPr>
            <w:tcW w:w="405" w:type="pct"/>
            <w:tcBorders>
              <w:top w:val="dotted" w:sz="4" w:space="0" w:color="auto"/>
              <w:left w:val="single" w:sz="18" w:space="0" w:color="auto"/>
              <w:bottom w:val="dotted" w:sz="4" w:space="0" w:color="auto"/>
              <w:right w:val="single" w:sz="18" w:space="0" w:color="auto"/>
            </w:tcBorders>
            <w:tcMar>
              <w:top w:w="8" w:type="dxa"/>
              <w:left w:w="28" w:type="dxa"/>
              <w:bottom w:w="8" w:type="dxa"/>
              <w:right w:w="28" w:type="dxa"/>
            </w:tcMar>
            <w:vAlign w:val="center"/>
          </w:tcPr>
          <w:p w14:paraId="7B1E564C" w14:textId="330ED5DC" w:rsidR="008B19B0" w:rsidRPr="00035C45" w:rsidRDefault="008B19B0" w:rsidP="008B19B0">
            <w:pPr>
              <w:tabs>
                <w:tab w:val="decimal" w:pos="360"/>
              </w:tabs>
              <w:spacing w:line="200" w:lineRule="auto"/>
              <w:jc w:val="center"/>
              <w:rPr>
                <w:sz w:val="20"/>
                <w:szCs w:val="20"/>
              </w:rPr>
            </w:pPr>
            <w:r w:rsidRPr="00D324DB">
              <w:rPr>
                <w:sz w:val="20"/>
                <w:szCs w:val="20"/>
              </w:rPr>
              <w:t>-0.5</w:t>
            </w:r>
            <w:r w:rsidR="00C55D4F">
              <w:rPr>
                <w:sz w:val="20"/>
                <w:szCs w:val="20"/>
              </w:rPr>
              <w:t>5</w:t>
            </w:r>
          </w:p>
        </w:tc>
        <w:tc>
          <w:tcPr>
            <w:tcW w:w="405" w:type="pct"/>
            <w:tcBorders>
              <w:top w:val="dotted" w:sz="4" w:space="0" w:color="auto"/>
              <w:left w:val="single" w:sz="18" w:space="0" w:color="auto"/>
              <w:bottom w:val="dotted" w:sz="4" w:space="0" w:color="auto"/>
              <w:right w:val="single" w:sz="8" w:space="0" w:color="auto"/>
            </w:tcBorders>
            <w:tcMar>
              <w:top w:w="8" w:type="dxa"/>
              <w:left w:w="28" w:type="dxa"/>
              <w:bottom w:w="8" w:type="dxa"/>
              <w:right w:w="28" w:type="dxa"/>
            </w:tcMar>
            <w:vAlign w:val="center"/>
          </w:tcPr>
          <w:p w14:paraId="55E18A5C" w14:textId="74CD08B1" w:rsidR="008B19B0" w:rsidRPr="00035C45" w:rsidRDefault="008B19B0" w:rsidP="008B19B0">
            <w:pPr>
              <w:tabs>
                <w:tab w:val="decimal" w:pos="360"/>
              </w:tabs>
              <w:spacing w:line="200" w:lineRule="auto"/>
              <w:jc w:val="center"/>
              <w:rPr>
                <w:sz w:val="20"/>
                <w:szCs w:val="20"/>
              </w:rPr>
            </w:pPr>
            <w:r w:rsidRPr="00D324DB">
              <w:rPr>
                <w:sz w:val="20"/>
                <w:szCs w:val="20"/>
              </w:rPr>
              <w:t>0.00</w:t>
            </w:r>
          </w:p>
        </w:tc>
        <w:tc>
          <w:tcPr>
            <w:tcW w:w="389" w:type="pct"/>
            <w:tcBorders>
              <w:top w:val="dotted" w:sz="4" w:space="0" w:color="auto"/>
              <w:left w:val="single" w:sz="8" w:space="0" w:color="auto"/>
              <w:bottom w:val="dotted" w:sz="4" w:space="0" w:color="auto"/>
            </w:tcBorders>
            <w:tcMar>
              <w:top w:w="8" w:type="dxa"/>
              <w:left w:w="28" w:type="dxa"/>
              <w:bottom w:w="8" w:type="dxa"/>
              <w:right w:w="28" w:type="dxa"/>
            </w:tcMar>
            <w:vAlign w:val="center"/>
          </w:tcPr>
          <w:p w14:paraId="4885C2DD" w14:textId="40E06910" w:rsidR="008B19B0" w:rsidRPr="00035C45" w:rsidRDefault="008B19B0" w:rsidP="008B19B0">
            <w:pPr>
              <w:tabs>
                <w:tab w:val="decimal" w:pos="360"/>
              </w:tabs>
              <w:spacing w:line="200" w:lineRule="auto"/>
              <w:jc w:val="center"/>
              <w:rPr>
                <w:sz w:val="20"/>
                <w:szCs w:val="20"/>
              </w:rPr>
            </w:pPr>
            <w:r>
              <w:rPr>
                <w:sz w:val="20"/>
                <w:szCs w:val="20"/>
              </w:rPr>
              <w:t>-18.64</w:t>
            </w:r>
          </w:p>
        </w:tc>
      </w:tr>
      <w:tr w:rsidR="008B19B0" w:rsidRPr="0031252B" w14:paraId="45E8915D" w14:textId="77777777" w:rsidTr="00313300">
        <w:trPr>
          <w:cantSplit/>
          <w:trHeight w:val="187"/>
        </w:trPr>
        <w:tc>
          <w:tcPr>
            <w:tcW w:w="592" w:type="pct"/>
            <w:vMerge/>
            <w:tcBorders>
              <w:bottom w:val="single" w:sz="18" w:space="0" w:color="auto"/>
              <w:right w:val="single" w:sz="18" w:space="0" w:color="auto"/>
            </w:tcBorders>
            <w:tcMar>
              <w:top w:w="8" w:type="dxa"/>
              <w:left w:w="28" w:type="dxa"/>
              <w:bottom w:w="8" w:type="dxa"/>
              <w:right w:w="28" w:type="dxa"/>
            </w:tcMar>
          </w:tcPr>
          <w:p w14:paraId="3CAEA8FB" w14:textId="77777777" w:rsidR="008B19B0" w:rsidRPr="00035C45" w:rsidRDefault="008B19B0" w:rsidP="008B19B0">
            <w:pPr>
              <w:spacing w:line="200" w:lineRule="auto"/>
              <w:rPr>
                <w:sz w:val="20"/>
                <w:szCs w:val="20"/>
              </w:rPr>
            </w:pPr>
          </w:p>
        </w:tc>
        <w:tc>
          <w:tcPr>
            <w:tcW w:w="592" w:type="pct"/>
            <w:vMerge/>
            <w:tcBorders>
              <w:bottom w:val="single" w:sz="18" w:space="0" w:color="auto"/>
              <w:right w:val="single" w:sz="18" w:space="0" w:color="auto"/>
            </w:tcBorders>
          </w:tcPr>
          <w:p w14:paraId="1395676C" w14:textId="77777777" w:rsidR="008B19B0" w:rsidRPr="00035C45" w:rsidRDefault="008B19B0" w:rsidP="008B19B0">
            <w:pPr>
              <w:spacing w:line="200" w:lineRule="auto"/>
              <w:rPr>
                <w:sz w:val="20"/>
                <w:szCs w:val="20"/>
              </w:rPr>
            </w:pPr>
          </w:p>
        </w:tc>
        <w:tc>
          <w:tcPr>
            <w:tcW w:w="592" w:type="pct"/>
            <w:tcBorders>
              <w:top w:val="dotted" w:sz="4" w:space="0" w:color="auto"/>
              <w:bottom w:val="single" w:sz="18" w:space="0" w:color="auto"/>
              <w:right w:val="single" w:sz="18" w:space="0" w:color="auto"/>
            </w:tcBorders>
            <w:vAlign w:val="center"/>
          </w:tcPr>
          <w:p w14:paraId="584FEC35" w14:textId="77777777" w:rsidR="00622AA9" w:rsidRDefault="008B19B0" w:rsidP="008B19B0">
            <w:pPr>
              <w:spacing w:line="200" w:lineRule="auto"/>
              <w:rPr>
                <w:sz w:val="20"/>
                <w:szCs w:val="20"/>
              </w:rPr>
            </w:pPr>
            <w:r w:rsidRPr="008D6870">
              <w:rPr>
                <w:sz w:val="20"/>
                <w:szCs w:val="20"/>
              </w:rPr>
              <w:t xml:space="preserve">Most walkable </w:t>
            </w:r>
          </w:p>
          <w:p w14:paraId="65AD6396" w14:textId="4154410A" w:rsidR="008B19B0" w:rsidRPr="00035C45" w:rsidRDefault="008B19B0" w:rsidP="008B19B0">
            <w:pPr>
              <w:spacing w:line="200" w:lineRule="auto"/>
              <w:rPr>
                <w:sz w:val="20"/>
                <w:szCs w:val="20"/>
              </w:rPr>
            </w:pPr>
            <w:r w:rsidRPr="008D6870">
              <w:rPr>
                <w:sz w:val="20"/>
                <w:szCs w:val="20"/>
              </w:rPr>
              <w:t>(&gt; 15.25)</w:t>
            </w:r>
          </w:p>
        </w:tc>
        <w:tc>
          <w:tcPr>
            <w:tcW w:w="405" w:type="pct"/>
            <w:tcBorders>
              <w:top w:val="dotted" w:sz="4" w:space="0" w:color="auto"/>
              <w:left w:val="single" w:sz="18" w:space="0" w:color="auto"/>
              <w:bottom w:val="single" w:sz="18" w:space="0" w:color="auto"/>
              <w:right w:val="single" w:sz="18" w:space="0" w:color="auto"/>
            </w:tcBorders>
            <w:tcMar>
              <w:top w:w="8" w:type="dxa"/>
              <w:left w:w="28" w:type="dxa"/>
              <w:bottom w:w="8" w:type="dxa"/>
              <w:right w:w="28" w:type="dxa"/>
            </w:tcMar>
            <w:vAlign w:val="center"/>
          </w:tcPr>
          <w:p w14:paraId="47D26B07" w14:textId="0E594877" w:rsidR="008B19B0" w:rsidRPr="00035C45" w:rsidRDefault="008B19B0" w:rsidP="008B19B0">
            <w:pPr>
              <w:tabs>
                <w:tab w:val="decimal" w:pos="360"/>
              </w:tabs>
              <w:spacing w:line="200" w:lineRule="auto"/>
              <w:jc w:val="center"/>
              <w:rPr>
                <w:sz w:val="20"/>
                <w:szCs w:val="20"/>
              </w:rPr>
            </w:pPr>
            <w:r>
              <w:rPr>
                <w:sz w:val="20"/>
                <w:szCs w:val="20"/>
              </w:rPr>
              <w:t>-40.28</w:t>
            </w:r>
          </w:p>
        </w:tc>
        <w:tc>
          <w:tcPr>
            <w:tcW w:w="405" w:type="pct"/>
            <w:tcBorders>
              <w:top w:val="dotted" w:sz="4" w:space="0" w:color="auto"/>
              <w:left w:val="single" w:sz="18" w:space="0" w:color="auto"/>
              <w:bottom w:val="single" w:sz="18" w:space="0" w:color="auto"/>
              <w:right w:val="single" w:sz="8" w:space="0" w:color="auto"/>
            </w:tcBorders>
            <w:tcMar>
              <w:top w:w="8" w:type="dxa"/>
              <w:left w:w="28" w:type="dxa"/>
              <w:bottom w:w="8" w:type="dxa"/>
              <w:right w:w="28" w:type="dxa"/>
            </w:tcMar>
            <w:vAlign w:val="center"/>
          </w:tcPr>
          <w:p w14:paraId="6E60B6D8" w14:textId="29CC651C" w:rsidR="008B19B0" w:rsidRPr="00035C45" w:rsidRDefault="008B19B0" w:rsidP="008B19B0">
            <w:pPr>
              <w:tabs>
                <w:tab w:val="decimal" w:pos="360"/>
              </w:tabs>
              <w:spacing w:line="200" w:lineRule="auto"/>
              <w:jc w:val="center"/>
              <w:rPr>
                <w:sz w:val="20"/>
                <w:szCs w:val="20"/>
              </w:rPr>
            </w:pPr>
            <w:r>
              <w:rPr>
                <w:sz w:val="20"/>
                <w:szCs w:val="20"/>
              </w:rPr>
              <w:t>-14.73</w:t>
            </w:r>
          </w:p>
        </w:tc>
        <w:tc>
          <w:tcPr>
            <w:tcW w:w="405" w:type="pct"/>
            <w:tcBorders>
              <w:top w:val="dotted" w:sz="4" w:space="0" w:color="auto"/>
              <w:left w:val="single" w:sz="8" w:space="0" w:color="auto"/>
              <w:bottom w:val="single" w:sz="18" w:space="0" w:color="auto"/>
              <w:right w:val="single" w:sz="18" w:space="0" w:color="auto"/>
            </w:tcBorders>
            <w:tcMar>
              <w:top w:w="8" w:type="dxa"/>
              <w:left w:w="28" w:type="dxa"/>
              <w:bottom w:w="8" w:type="dxa"/>
              <w:right w:w="28" w:type="dxa"/>
            </w:tcMar>
            <w:vAlign w:val="center"/>
          </w:tcPr>
          <w:p w14:paraId="0F536B5E" w14:textId="464B9A8D" w:rsidR="008B19B0" w:rsidRPr="00035C45" w:rsidRDefault="008B19B0" w:rsidP="008B19B0">
            <w:pPr>
              <w:tabs>
                <w:tab w:val="decimal" w:pos="360"/>
              </w:tabs>
              <w:spacing w:line="200" w:lineRule="auto"/>
              <w:jc w:val="center"/>
              <w:rPr>
                <w:sz w:val="20"/>
                <w:szCs w:val="20"/>
              </w:rPr>
            </w:pPr>
            <w:r w:rsidRPr="00433718">
              <w:rPr>
                <w:sz w:val="20"/>
                <w:szCs w:val="20"/>
              </w:rPr>
              <w:t>79.37</w:t>
            </w:r>
          </w:p>
        </w:tc>
        <w:tc>
          <w:tcPr>
            <w:tcW w:w="405" w:type="pct"/>
            <w:tcBorders>
              <w:top w:val="dotted" w:sz="4" w:space="0" w:color="auto"/>
              <w:left w:val="single" w:sz="18" w:space="0" w:color="auto"/>
              <w:bottom w:val="single" w:sz="18" w:space="0" w:color="auto"/>
              <w:right w:val="single" w:sz="8" w:space="0" w:color="auto"/>
            </w:tcBorders>
            <w:tcMar>
              <w:top w:w="8" w:type="dxa"/>
              <w:left w:w="28" w:type="dxa"/>
              <w:bottom w:w="8" w:type="dxa"/>
              <w:right w:w="28" w:type="dxa"/>
            </w:tcMar>
            <w:vAlign w:val="center"/>
          </w:tcPr>
          <w:p w14:paraId="0E4AA209" w14:textId="54C876EB" w:rsidR="008B19B0" w:rsidRPr="00035C45" w:rsidRDefault="008B19B0" w:rsidP="008B19B0">
            <w:pPr>
              <w:tabs>
                <w:tab w:val="decimal" w:pos="360"/>
              </w:tabs>
              <w:spacing w:line="200" w:lineRule="auto"/>
              <w:jc w:val="center"/>
              <w:rPr>
                <w:sz w:val="20"/>
                <w:szCs w:val="20"/>
              </w:rPr>
            </w:pPr>
            <w:r w:rsidRPr="00D324DB">
              <w:rPr>
                <w:sz w:val="20"/>
                <w:szCs w:val="20"/>
              </w:rPr>
              <w:t>1.1</w:t>
            </w:r>
            <w:r w:rsidR="00C55D4F">
              <w:rPr>
                <w:sz w:val="20"/>
                <w:szCs w:val="20"/>
              </w:rPr>
              <w:t>6</w:t>
            </w:r>
          </w:p>
        </w:tc>
        <w:tc>
          <w:tcPr>
            <w:tcW w:w="405" w:type="pct"/>
            <w:tcBorders>
              <w:top w:val="dotted" w:sz="4" w:space="0" w:color="auto"/>
              <w:left w:val="single" w:sz="8" w:space="0" w:color="auto"/>
              <w:bottom w:val="single" w:sz="18" w:space="0" w:color="auto"/>
              <w:right w:val="single" w:sz="18" w:space="0" w:color="auto"/>
            </w:tcBorders>
            <w:tcMar>
              <w:top w:w="8" w:type="dxa"/>
              <w:left w:w="28" w:type="dxa"/>
              <w:bottom w:w="8" w:type="dxa"/>
              <w:right w:w="28" w:type="dxa"/>
            </w:tcMar>
            <w:vAlign w:val="center"/>
          </w:tcPr>
          <w:p w14:paraId="6036DF2D" w14:textId="5C4CAC63" w:rsidR="008B19B0" w:rsidRPr="00035C45" w:rsidRDefault="008B19B0" w:rsidP="008B19B0">
            <w:pPr>
              <w:tabs>
                <w:tab w:val="decimal" w:pos="360"/>
              </w:tabs>
              <w:spacing w:line="200" w:lineRule="auto"/>
              <w:jc w:val="center"/>
              <w:rPr>
                <w:sz w:val="20"/>
                <w:szCs w:val="20"/>
              </w:rPr>
            </w:pPr>
            <w:r>
              <w:rPr>
                <w:sz w:val="20"/>
                <w:szCs w:val="20"/>
              </w:rPr>
              <w:t>90.91</w:t>
            </w:r>
          </w:p>
        </w:tc>
        <w:tc>
          <w:tcPr>
            <w:tcW w:w="405" w:type="pct"/>
            <w:tcBorders>
              <w:top w:val="dotted" w:sz="4" w:space="0" w:color="auto"/>
              <w:left w:val="single" w:sz="18" w:space="0" w:color="auto"/>
              <w:bottom w:val="single" w:sz="18" w:space="0" w:color="auto"/>
              <w:right w:val="single" w:sz="18" w:space="0" w:color="auto"/>
            </w:tcBorders>
            <w:tcMar>
              <w:top w:w="8" w:type="dxa"/>
              <w:left w:w="28" w:type="dxa"/>
              <w:bottom w:w="8" w:type="dxa"/>
              <w:right w:w="28" w:type="dxa"/>
            </w:tcMar>
            <w:vAlign w:val="center"/>
          </w:tcPr>
          <w:p w14:paraId="341CAC1F" w14:textId="2703BA59" w:rsidR="008B19B0" w:rsidRPr="00035C45" w:rsidRDefault="008B19B0" w:rsidP="008B19B0">
            <w:pPr>
              <w:tabs>
                <w:tab w:val="decimal" w:pos="360"/>
              </w:tabs>
              <w:spacing w:line="200" w:lineRule="auto"/>
              <w:jc w:val="center"/>
              <w:rPr>
                <w:sz w:val="20"/>
                <w:szCs w:val="20"/>
              </w:rPr>
            </w:pPr>
            <w:r w:rsidRPr="00D324DB">
              <w:rPr>
                <w:sz w:val="20"/>
                <w:szCs w:val="20"/>
              </w:rPr>
              <w:t>-1.20</w:t>
            </w:r>
          </w:p>
        </w:tc>
        <w:tc>
          <w:tcPr>
            <w:tcW w:w="405" w:type="pct"/>
            <w:tcBorders>
              <w:top w:val="dotted" w:sz="4" w:space="0" w:color="auto"/>
              <w:left w:val="single" w:sz="18" w:space="0" w:color="auto"/>
              <w:bottom w:val="single" w:sz="18" w:space="0" w:color="auto"/>
              <w:right w:val="single" w:sz="8" w:space="0" w:color="auto"/>
            </w:tcBorders>
            <w:tcMar>
              <w:top w:w="8" w:type="dxa"/>
              <w:left w:w="28" w:type="dxa"/>
              <w:bottom w:w="8" w:type="dxa"/>
              <w:right w:w="28" w:type="dxa"/>
            </w:tcMar>
            <w:vAlign w:val="center"/>
          </w:tcPr>
          <w:p w14:paraId="4B03F4E2" w14:textId="5510BCA0" w:rsidR="008B19B0" w:rsidRPr="00035C45" w:rsidRDefault="008B19B0" w:rsidP="008B19B0">
            <w:pPr>
              <w:tabs>
                <w:tab w:val="decimal" w:pos="360"/>
              </w:tabs>
              <w:spacing w:line="200" w:lineRule="auto"/>
              <w:jc w:val="center"/>
              <w:rPr>
                <w:sz w:val="20"/>
                <w:szCs w:val="20"/>
              </w:rPr>
            </w:pPr>
            <w:r w:rsidRPr="00D324DB">
              <w:rPr>
                <w:sz w:val="20"/>
                <w:szCs w:val="20"/>
              </w:rPr>
              <w:t>0.97</w:t>
            </w:r>
          </w:p>
        </w:tc>
        <w:tc>
          <w:tcPr>
            <w:tcW w:w="389" w:type="pct"/>
            <w:tcBorders>
              <w:top w:val="dotted" w:sz="4" w:space="0" w:color="auto"/>
              <w:left w:val="single" w:sz="8" w:space="0" w:color="auto"/>
              <w:bottom w:val="single" w:sz="18" w:space="0" w:color="auto"/>
            </w:tcBorders>
            <w:tcMar>
              <w:top w:w="8" w:type="dxa"/>
              <w:left w:w="28" w:type="dxa"/>
              <w:bottom w:w="8" w:type="dxa"/>
              <w:right w:w="28" w:type="dxa"/>
            </w:tcMar>
            <w:vAlign w:val="center"/>
          </w:tcPr>
          <w:p w14:paraId="71D650D9" w14:textId="53840DF6" w:rsidR="008B19B0" w:rsidRPr="00035C45" w:rsidRDefault="008B19B0" w:rsidP="008B19B0">
            <w:pPr>
              <w:tabs>
                <w:tab w:val="decimal" w:pos="360"/>
              </w:tabs>
              <w:spacing w:line="200" w:lineRule="auto"/>
              <w:jc w:val="center"/>
              <w:rPr>
                <w:sz w:val="20"/>
                <w:szCs w:val="20"/>
              </w:rPr>
            </w:pPr>
            <w:r>
              <w:rPr>
                <w:sz w:val="20"/>
                <w:szCs w:val="20"/>
              </w:rPr>
              <w:t>-18.64</w:t>
            </w:r>
          </w:p>
        </w:tc>
      </w:tr>
    </w:tbl>
    <w:p w14:paraId="23AA3F15" w14:textId="77777777" w:rsidR="0035349D" w:rsidRPr="00824BDE" w:rsidRDefault="0035349D" w:rsidP="00704A82">
      <w:pPr>
        <w:pStyle w:val="FootnoteText"/>
        <w:rPr>
          <w:b/>
          <w:bCs/>
          <w:sz w:val="24"/>
          <w:szCs w:val="24"/>
        </w:rPr>
      </w:pPr>
    </w:p>
    <w:p w14:paraId="01B61138" w14:textId="77777777" w:rsidR="004F30F0" w:rsidRDefault="004F30F0" w:rsidP="005D53A5">
      <w:pPr>
        <w:rPr>
          <w:sz w:val="24"/>
          <w:szCs w:val="24"/>
        </w:rPr>
        <w:sectPr w:rsidR="004F30F0" w:rsidSect="00B9201B">
          <w:pgSz w:w="15840" w:h="12240" w:orient="landscape" w:code="1"/>
          <w:pgMar w:top="1440" w:right="1440" w:bottom="1440" w:left="1440" w:header="720" w:footer="720" w:gutter="0"/>
          <w:cols w:space="720"/>
          <w:docGrid w:linePitch="360"/>
        </w:sectPr>
      </w:pPr>
    </w:p>
    <w:p w14:paraId="31E970B5" w14:textId="77777777" w:rsidR="00324812" w:rsidRDefault="00324812" w:rsidP="00B9201B">
      <w:pPr>
        <w:pStyle w:val="NormalWeb"/>
        <w:spacing w:before="0" w:beforeAutospacing="0" w:after="0" w:afterAutospacing="0"/>
        <w:ind w:firstLine="720"/>
        <w:jc w:val="both"/>
        <w:rPr>
          <w:color w:val="000000"/>
        </w:rPr>
      </w:pPr>
      <w:r w:rsidRPr="00E42411">
        <w:rPr>
          <w:color w:val="000000"/>
        </w:rPr>
        <w:lastRenderedPageBreak/>
        <w:t xml:space="preserve">For compactness, Table 5 reports ATEs only for the variables with the largest substantive effects. For most categorical exogenous variables, the treatment corresponds to the highest category relative to the lowest, with intermediate categories also shown for age and walkability. </w:t>
      </w:r>
      <w:r w:rsidRPr="00F527B3">
        <w:rPr>
          <w:color w:val="000000"/>
        </w:rPr>
        <w:t>For population density and pedestrian network density, the base is instead the not-low (higher-supply) category and the treatment is the low category, so that these built-environment measures are expressed in the same direction as the other supply variables</w:t>
      </w:r>
      <w:r w:rsidRPr="00E42411">
        <w:rPr>
          <w:color w:val="000000"/>
        </w:rPr>
        <w:t>. For example, the ATE of 31.89 for gender indicates that women are 31.89% more likely to be NRATs compared to men.</w:t>
      </w:r>
      <w:r>
        <w:rPr>
          <w:rStyle w:val="FootnoteReference"/>
          <w:color w:val="000000"/>
        </w:rPr>
        <w:footnoteReference w:id="6"/>
      </w:r>
      <w:r w:rsidRPr="00E42411">
        <w:rPr>
          <w:color w:val="000000"/>
        </w:rPr>
        <w:t xml:space="preserve"> The corresponding gender-related ATE of 11.81 for sidewalk and bicycle lane deficiencies indicates that women (regardless of whether they are NRATs or not) are 11.81% more likely than men to identify this as a barrier. The remaining entries may be similarly interpreted.</w:t>
      </w:r>
      <w:r>
        <w:rPr>
          <w:rStyle w:val="FootnoteReference"/>
          <w:color w:val="000000"/>
        </w:rPr>
        <w:footnoteReference w:id="7"/>
      </w:r>
      <w:r>
        <w:rPr>
          <w:color w:val="000000"/>
        </w:rPr>
        <w:t xml:space="preserve"> </w:t>
      </w:r>
    </w:p>
    <w:p w14:paraId="4D0FBAD0" w14:textId="02702BBC" w:rsidR="00324812" w:rsidRDefault="00324812" w:rsidP="00B9201B">
      <w:pPr>
        <w:pStyle w:val="NormalWeb"/>
        <w:spacing w:before="0" w:beforeAutospacing="0" w:after="0" w:afterAutospacing="0"/>
        <w:ind w:firstLine="720"/>
        <w:jc w:val="both"/>
        <w:rPr>
          <w:color w:val="000000"/>
        </w:rPr>
      </w:pPr>
      <w:r w:rsidRPr="00AC2231">
        <w:rPr>
          <w:color w:val="000000"/>
        </w:rPr>
        <w:t>In the following section, the ATEs in Table 5 are discussed in more detail in the context of specific implications and policy interventions that may be used to increase active travel uptak</w:t>
      </w:r>
      <w:r>
        <w:rPr>
          <w:color w:val="000000"/>
        </w:rPr>
        <w:t>e.</w:t>
      </w:r>
    </w:p>
    <w:p w14:paraId="244A7449" w14:textId="77777777" w:rsidR="00B9201B" w:rsidRDefault="00B9201B" w:rsidP="00B9201B">
      <w:pPr>
        <w:pStyle w:val="NormalWeb"/>
        <w:spacing w:before="0" w:beforeAutospacing="0" w:after="0" w:afterAutospacing="0"/>
        <w:ind w:firstLine="720"/>
        <w:jc w:val="both"/>
        <w:rPr>
          <w:color w:val="000000"/>
        </w:rPr>
      </w:pPr>
    </w:p>
    <w:p w14:paraId="3D8B5707" w14:textId="4F246F42" w:rsidR="008C5FFB" w:rsidRDefault="002E4C62" w:rsidP="00B9201B">
      <w:pPr>
        <w:rPr>
          <w:b/>
          <w:bCs/>
          <w:sz w:val="24"/>
          <w:szCs w:val="24"/>
        </w:rPr>
      </w:pPr>
      <w:r>
        <w:rPr>
          <w:b/>
          <w:bCs/>
          <w:sz w:val="24"/>
          <w:szCs w:val="24"/>
        </w:rPr>
        <w:t xml:space="preserve">5. </w:t>
      </w:r>
      <w:r w:rsidR="00390142">
        <w:rPr>
          <w:b/>
          <w:bCs/>
          <w:sz w:val="24"/>
          <w:szCs w:val="24"/>
        </w:rPr>
        <w:t>POLICY IMPLICATIONS</w:t>
      </w:r>
    </w:p>
    <w:p w14:paraId="7FB8A662" w14:textId="575BD5B5" w:rsidR="004820E9" w:rsidRDefault="00337883" w:rsidP="00B9201B">
      <w:pPr>
        <w:jc w:val="both"/>
        <w:rPr>
          <w:color w:val="000000"/>
          <w:sz w:val="24"/>
          <w:szCs w:val="24"/>
        </w:rPr>
      </w:pPr>
      <w:r w:rsidRPr="00337883">
        <w:rPr>
          <w:color w:val="000000"/>
          <w:sz w:val="24"/>
          <w:szCs w:val="24"/>
        </w:rPr>
        <w:t xml:space="preserve">The policy implications are organized into five sections. Section 5.1 focuses primarily on the ATEs related to perceived infrastructural </w:t>
      </w:r>
      <w:r w:rsidRPr="00E156DE">
        <w:rPr>
          <w:color w:val="000000"/>
          <w:sz w:val="24"/>
          <w:szCs w:val="24"/>
        </w:rPr>
        <w:t>deficiencies in active travel networks (</w:t>
      </w:r>
      <w:r w:rsidR="00E156DE" w:rsidRPr="00E156DE">
        <w:rPr>
          <w:color w:val="000000"/>
          <w:sz w:val="24"/>
          <w:szCs w:val="24"/>
        </w:rPr>
        <w:t>this corresponds to the first group of barriers as identified in Section 1</w:t>
      </w:r>
      <w:r w:rsidRPr="00E156DE">
        <w:rPr>
          <w:color w:val="000000"/>
          <w:sz w:val="24"/>
          <w:szCs w:val="24"/>
        </w:rPr>
        <w:t>), with particular emphasis on the role of the residential built environment. Section 5.</w:t>
      </w:r>
      <w:r w:rsidRPr="00337883">
        <w:rPr>
          <w:color w:val="000000"/>
          <w:sz w:val="24"/>
          <w:szCs w:val="24"/>
        </w:rPr>
        <w:t>2 discusses the implications of perceived traffic-safety concerns (the second barrier group), and Section 5.3 turns to perceived personal-security concerns (the third barrier group). Section 5.4 considers the practical and situational constraints that discourage active travel (the fourth barrier group). Finally, Section 5.5 focuses specifically on older adults, particularly those aged 65 years and above. We devote a separate section to this group for two reasons. First, the share of older adults in the U.S., as in many other countries, has increased substantially in recent years</w:t>
      </w:r>
      <w:r>
        <w:rPr>
          <w:color w:val="000000"/>
          <w:sz w:val="24"/>
          <w:szCs w:val="24"/>
        </w:rPr>
        <w:t xml:space="preserve"> </w:t>
      </w:r>
      <w:sdt>
        <w:sdtPr>
          <w:rPr>
            <w:color w:val="000000"/>
            <w:sz w:val="24"/>
            <w:szCs w:val="24"/>
          </w:rPr>
          <w:tag w:val="MENDELEY_CITATION_v3_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"/>
          <w:id w:val="1890908308"/>
          <w:placeholder>
            <w:docPart w:val="DefaultPlaceholder_-1854013440"/>
          </w:placeholder>
        </w:sdtPr>
        <w:sdtEndPr/>
        <w:sdtContent>
          <w:r w:rsidR="000C5DDA" w:rsidRPr="000C5DDA">
            <w:rPr>
              <w:color w:val="000000"/>
              <w:sz w:val="24"/>
              <w:szCs w:val="24"/>
            </w:rPr>
            <w:t>(World Health Organization, 2015; Vespa et al., 2020)</w:t>
          </w:r>
        </w:sdtContent>
      </w:sdt>
      <w:r w:rsidR="000B0459" w:rsidRPr="002537DA">
        <w:rPr>
          <w:color w:val="000000"/>
          <w:sz w:val="24"/>
          <w:szCs w:val="24"/>
        </w:rPr>
        <w:t xml:space="preserve">. Second, active living has been widely recognized as an important contributor to maintaining physical and mental health and quality of life in later life </w:t>
      </w:r>
      <w:sdt>
        <w:sdtPr>
          <w:rPr>
            <w:color w:val="000000"/>
            <w:sz w:val="24"/>
            <w:szCs w:val="24"/>
          </w:rPr>
          <w:tag w:val="MENDELEY_CITATION_v3_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"/>
          <w:id w:val="-1587759709"/>
          <w:placeholder>
            <w:docPart w:val="DefaultPlaceholder_-1854013440"/>
          </w:placeholder>
        </w:sdtPr>
        <w:sdtEndPr/>
        <w:sdtContent>
          <w:r w:rsidR="000C5DDA" w:rsidRPr="000C5DDA">
            <w:rPr>
              <w:color w:val="000000"/>
              <w:sz w:val="24"/>
              <w:szCs w:val="24"/>
            </w:rPr>
            <w:t>(Bauman et al., 2016; World Health Organization, 2020)</w:t>
          </w:r>
        </w:sdtContent>
      </w:sdt>
      <w:r w:rsidR="000B0459" w:rsidRPr="002537DA">
        <w:rPr>
          <w:color w:val="000000"/>
          <w:sz w:val="24"/>
          <w:szCs w:val="24"/>
        </w:rPr>
        <w:t>.</w:t>
      </w:r>
    </w:p>
    <w:p w14:paraId="792272A4" w14:textId="77777777" w:rsidR="00B9201B" w:rsidRPr="008C5FFB" w:rsidRDefault="00B9201B" w:rsidP="00B9201B">
      <w:pPr>
        <w:jc w:val="both"/>
        <w:rPr>
          <w:color w:val="000000"/>
          <w:sz w:val="24"/>
          <w:szCs w:val="24"/>
        </w:rPr>
      </w:pPr>
    </w:p>
    <w:p w14:paraId="7594AA65" w14:textId="6878E473" w:rsidR="002E4C62" w:rsidRDefault="002E4C62" w:rsidP="00B9201B">
      <w:r>
        <w:rPr>
          <w:b/>
          <w:bCs/>
          <w:sz w:val="24"/>
          <w:szCs w:val="24"/>
        </w:rPr>
        <w:t>5.1 Connected Pedestrian and Bicycling Networks</w:t>
      </w:r>
    </w:p>
    <w:p w14:paraId="31C8CCD1" w14:textId="74BD8C27" w:rsidR="00BF4367" w:rsidRPr="002C1992" w:rsidRDefault="002C1992" w:rsidP="00B9201B">
      <w:pPr>
        <w:jc w:val="both"/>
        <w:rPr>
          <w:color w:val="000000"/>
          <w:sz w:val="24"/>
          <w:szCs w:val="24"/>
        </w:rPr>
      </w:pPr>
      <w:r w:rsidRPr="002C1992">
        <w:rPr>
          <w:color w:val="000000"/>
          <w:sz w:val="24"/>
          <w:szCs w:val="24"/>
        </w:rPr>
        <w:t xml:space="preserve">A critical policy lever that emerges from the ATEs corresponding to the objective residential BE characteristics relates to the population density and pedestrian network density ATEs. While the NRAT ATEs corresponding to these two neighborhood BE characteristics show little variation </w:t>
      </w:r>
      <w:r w:rsidRPr="002C1992">
        <w:rPr>
          <w:color w:val="000000"/>
          <w:sz w:val="24"/>
          <w:szCs w:val="24"/>
        </w:rPr>
        <w:lastRenderedPageBreak/>
        <w:t xml:space="preserve">based on </w:t>
      </w:r>
      <w:r w:rsidR="00FD0605">
        <w:rPr>
          <w:color w:val="000000"/>
          <w:sz w:val="24"/>
          <w:szCs w:val="24"/>
        </w:rPr>
        <w:t xml:space="preserve">these </w:t>
      </w:r>
      <w:r w:rsidRPr="002C1992">
        <w:rPr>
          <w:color w:val="000000"/>
          <w:sz w:val="24"/>
          <w:szCs w:val="24"/>
        </w:rPr>
        <w:t>density</w:t>
      </w:r>
      <w:r w:rsidR="00FD0605">
        <w:rPr>
          <w:color w:val="000000"/>
          <w:sz w:val="24"/>
          <w:szCs w:val="24"/>
        </w:rPr>
        <w:t xml:space="preserve"> measures</w:t>
      </w:r>
      <w:r w:rsidRPr="002C1992">
        <w:rPr>
          <w:color w:val="000000"/>
          <w:sz w:val="24"/>
          <w:szCs w:val="24"/>
        </w:rPr>
        <w:t xml:space="preserve">, there are clear ATE differences for the barriers. As may be noticed, residents of low-density neighborhoods (both in terms of population density and pedestrian network density) report the lack of sidewalks/bicycle lanes and insufficient lighting more often than residents of </w:t>
      </w:r>
      <w:r w:rsidR="00AC6471">
        <w:rPr>
          <w:color w:val="000000"/>
          <w:sz w:val="24"/>
          <w:szCs w:val="24"/>
        </w:rPr>
        <w:t>“</w:t>
      </w:r>
      <w:r w:rsidRPr="002C1992">
        <w:rPr>
          <w:color w:val="000000"/>
          <w:sz w:val="24"/>
          <w:szCs w:val="24"/>
        </w:rPr>
        <w:t>not</w:t>
      </w:r>
      <w:r w:rsidR="006A66E8">
        <w:rPr>
          <w:color w:val="000000"/>
          <w:sz w:val="24"/>
          <w:szCs w:val="24"/>
        </w:rPr>
        <w:t xml:space="preserve"> </w:t>
      </w:r>
      <w:r w:rsidRPr="002C1992">
        <w:rPr>
          <w:color w:val="000000"/>
          <w:sz w:val="24"/>
          <w:szCs w:val="24"/>
        </w:rPr>
        <w:t>low</w:t>
      </w:r>
      <w:r w:rsidR="00AC6471">
        <w:rPr>
          <w:color w:val="000000"/>
          <w:sz w:val="24"/>
          <w:szCs w:val="24"/>
        </w:rPr>
        <w:t>”</w:t>
      </w:r>
      <w:r w:rsidRPr="002C1992">
        <w:rPr>
          <w:color w:val="000000"/>
          <w:sz w:val="24"/>
          <w:szCs w:val="24"/>
        </w:rPr>
        <w:t xml:space="preserve"> density neighborhoods, with the contrast especially </w:t>
      </w:r>
      <w:r w:rsidR="00B57C29">
        <w:rPr>
          <w:color w:val="000000"/>
          <w:sz w:val="24"/>
          <w:szCs w:val="24"/>
        </w:rPr>
        <w:t>observed</w:t>
      </w:r>
      <w:r w:rsidRPr="002C1992">
        <w:rPr>
          <w:color w:val="000000"/>
          <w:sz w:val="24"/>
          <w:szCs w:val="24"/>
        </w:rPr>
        <w:t xml:space="preserve"> for insufficient lighting (see Table 5). These perceptions align with the objectively thinner supply of pedestrian and bicycling infrastructure in such neighborhoods, suggesting that the two perceived infrastructural-deficiency barriers point to a concrete, buildable policy target.</w:t>
      </w:r>
      <w:r w:rsidR="002A73DE">
        <w:rPr>
          <w:color w:val="000000"/>
          <w:sz w:val="24"/>
          <w:szCs w:val="24"/>
        </w:rPr>
        <w:t xml:space="preserve"> </w:t>
      </w:r>
      <w:r w:rsidR="009C320F" w:rsidRPr="009C320F">
        <w:rPr>
          <w:color w:val="000000"/>
          <w:sz w:val="24"/>
          <w:szCs w:val="24"/>
        </w:rPr>
        <w:t>Walkability follows the same pattern for sidewalks and bicycle lanes, with residents of more walkable neighborhoods reporting fewer such deficiencies. For insufficient lighting, however, they report more concerns. This is likely because the heavier foot traffic of walkable areas, especially after dark, makes poor lighting more noticeable</w:t>
      </w:r>
      <w:r w:rsidR="00464634">
        <w:rPr>
          <w:color w:val="000000"/>
          <w:sz w:val="24"/>
          <w:szCs w:val="24"/>
        </w:rPr>
        <w:t>.</w:t>
      </w:r>
      <w:r w:rsidRPr="002C1992">
        <w:rPr>
          <w:color w:val="000000"/>
          <w:sz w:val="24"/>
          <w:szCs w:val="24"/>
        </w:rPr>
        <w:t xml:space="preserve"> </w:t>
      </w:r>
      <w:r w:rsidR="00CA1A5A" w:rsidRPr="00CA1A5A">
        <w:rPr>
          <w:color w:val="000000"/>
          <w:sz w:val="24"/>
          <w:szCs w:val="24"/>
        </w:rPr>
        <w:t>The same two barriers also vary considerably across population groups, though for different reasons. Respondents with graduate degrees report the lack of sidewalks/bicycle lanes markedly more often than those with a high school education or less, a pattern that likely reflects higher expectations regarding the quality of the active travel environment (see Section 4.2) rather than objectively worse conditions. Renters, by contrast, report both the lack of sidewalks/bicycle lanes and insufficient lighting notably more often than homeowners, and Hispanic respondents report insufficient lighting far more often than non-Hispanic respondents. The concentration of these concerns among renters and Hispanic respondents adds an equity dimension to infrastructure investment decisions.</w:t>
      </w:r>
    </w:p>
    <w:p w14:paraId="35661EB0" w14:textId="33CF09FF" w:rsidR="002C1992" w:rsidRDefault="002C1992" w:rsidP="00B9201B">
      <w:pPr>
        <w:ind w:firstLine="720"/>
        <w:jc w:val="both"/>
        <w:rPr>
          <w:color w:val="000000"/>
          <w:sz w:val="24"/>
          <w:szCs w:val="24"/>
        </w:rPr>
      </w:pPr>
      <w:r w:rsidRPr="002C1992">
        <w:rPr>
          <w:color w:val="000000"/>
          <w:sz w:val="24"/>
          <w:szCs w:val="24"/>
        </w:rPr>
        <w:t xml:space="preserve">In terms of interventions, a caveat is in order before translating these findings into action. The </w:t>
      </w:r>
      <w:r w:rsidR="00FD0605">
        <w:rPr>
          <w:color w:val="000000"/>
          <w:sz w:val="24"/>
          <w:szCs w:val="24"/>
        </w:rPr>
        <w:t xml:space="preserve">results only indicate </w:t>
      </w:r>
      <w:r w:rsidRPr="002C1992">
        <w:rPr>
          <w:color w:val="000000"/>
          <w:sz w:val="24"/>
          <w:szCs w:val="24"/>
        </w:rPr>
        <w:t>that respondents perceive a lack of sidewalks</w:t>
      </w:r>
      <w:r w:rsidR="00520D6F">
        <w:rPr>
          <w:color w:val="000000"/>
          <w:sz w:val="24"/>
          <w:szCs w:val="24"/>
        </w:rPr>
        <w:t xml:space="preserve"> or </w:t>
      </w:r>
      <w:r w:rsidRPr="002C1992">
        <w:rPr>
          <w:color w:val="000000"/>
          <w:sz w:val="24"/>
          <w:szCs w:val="24"/>
        </w:rPr>
        <w:t>bicycle lanes, but do not reveal the specific form of</w:t>
      </w:r>
      <w:r w:rsidR="003160DD">
        <w:rPr>
          <w:color w:val="000000"/>
          <w:sz w:val="24"/>
          <w:szCs w:val="24"/>
        </w:rPr>
        <w:t xml:space="preserve"> </w:t>
      </w:r>
      <w:r w:rsidRPr="002C1992">
        <w:rPr>
          <w:color w:val="000000"/>
          <w:sz w:val="24"/>
          <w:szCs w:val="24"/>
        </w:rPr>
        <w:t>deficiency each respondent has in mind, which may range from missing segments along otherwise served routes to the absence of any facilities at all. What the results do establish is that this perception, along with several other barriers, is more prevalent where the pedestrian network is sparse. Because pedestrian network density is measured as pedestrian-oriented facility-miles per square mile (see Section 3.1.2), raising this density amounts to progressively adding facility-miles</w:t>
      </w:r>
      <w:r w:rsidR="00FD0605">
        <w:rPr>
          <w:color w:val="000000"/>
          <w:sz w:val="24"/>
          <w:szCs w:val="24"/>
        </w:rPr>
        <w:t>. An effective approach to doing</w:t>
      </w:r>
      <w:r w:rsidR="008408C3">
        <w:rPr>
          <w:color w:val="000000"/>
          <w:sz w:val="24"/>
          <w:szCs w:val="24"/>
        </w:rPr>
        <w:t xml:space="preserve"> so</w:t>
      </w:r>
      <w:r w:rsidR="00FD0605">
        <w:rPr>
          <w:color w:val="000000"/>
          <w:sz w:val="24"/>
          <w:szCs w:val="24"/>
        </w:rPr>
        <w:t xml:space="preserve"> would be to </w:t>
      </w:r>
      <w:r w:rsidRPr="002C1992">
        <w:rPr>
          <w:color w:val="000000"/>
          <w:sz w:val="24"/>
          <w:szCs w:val="24"/>
        </w:rPr>
        <w:t>join existing fragments into a continuous network</w:t>
      </w:r>
      <w:r w:rsidR="001136CF">
        <w:rPr>
          <w:color w:val="000000"/>
          <w:sz w:val="24"/>
          <w:szCs w:val="24"/>
        </w:rPr>
        <w:t>,</w:t>
      </w:r>
      <w:r w:rsidRPr="002C1992">
        <w:rPr>
          <w:color w:val="000000"/>
          <w:sz w:val="24"/>
          <w:szCs w:val="24"/>
        </w:rPr>
        <w:t xml:space="preserve"> </w:t>
      </w:r>
      <w:r w:rsidR="001136CF">
        <w:rPr>
          <w:color w:val="000000"/>
          <w:sz w:val="24"/>
          <w:szCs w:val="24"/>
        </w:rPr>
        <w:t>a</w:t>
      </w:r>
      <w:r w:rsidRPr="002C1992">
        <w:rPr>
          <w:color w:val="000000"/>
          <w:sz w:val="24"/>
          <w:szCs w:val="24"/>
        </w:rPr>
        <w:t xml:space="preserve"> process</w:t>
      </w:r>
      <w:r w:rsidR="001136CF">
        <w:rPr>
          <w:color w:val="000000"/>
          <w:sz w:val="24"/>
          <w:szCs w:val="24"/>
        </w:rPr>
        <w:t xml:space="preserve"> that</w:t>
      </w:r>
      <w:r w:rsidR="00D35DB2">
        <w:rPr>
          <w:color w:val="000000"/>
          <w:sz w:val="24"/>
          <w:szCs w:val="24"/>
        </w:rPr>
        <w:t xml:space="preserve"> </w:t>
      </w:r>
      <w:r w:rsidR="00B02A5C">
        <w:rPr>
          <w:color w:val="000000"/>
          <w:sz w:val="24"/>
          <w:szCs w:val="24"/>
        </w:rPr>
        <w:t>we</w:t>
      </w:r>
      <w:r w:rsidR="00D35DB2">
        <w:rPr>
          <w:color w:val="000000"/>
          <w:sz w:val="24"/>
          <w:szCs w:val="24"/>
        </w:rPr>
        <w:t xml:space="preserve"> refer to</w:t>
      </w:r>
      <w:r w:rsidRPr="002C1992">
        <w:rPr>
          <w:color w:val="000000"/>
          <w:sz w:val="24"/>
          <w:szCs w:val="24"/>
        </w:rPr>
        <w:t xml:space="preserve"> as network completion.</w:t>
      </w:r>
      <w:r w:rsidR="005948F8">
        <w:rPr>
          <w:color w:val="000000"/>
          <w:sz w:val="24"/>
          <w:szCs w:val="24"/>
        </w:rPr>
        <w:t xml:space="preserve"> </w:t>
      </w:r>
      <w:r w:rsidR="005948F8" w:rsidRPr="005948F8">
        <w:rPr>
          <w:color w:val="000000"/>
          <w:sz w:val="24"/>
          <w:szCs w:val="24"/>
        </w:rPr>
        <w:t xml:space="preserve">Expanding the extent of pedestrian and bicycle networks is associated with substantially higher rates of walking and </w:t>
      </w:r>
      <w:r w:rsidR="000B5DF3">
        <w:rPr>
          <w:color w:val="000000"/>
          <w:sz w:val="24"/>
          <w:szCs w:val="24"/>
        </w:rPr>
        <w:t>bi</w:t>
      </w:r>
      <w:r w:rsidR="005948F8" w:rsidRPr="005948F8">
        <w:rPr>
          <w:color w:val="000000"/>
          <w:sz w:val="24"/>
          <w:szCs w:val="24"/>
        </w:rPr>
        <w:t>cycling across cities worldwide, along with sizable emissions and health co-benefits</w:t>
      </w:r>
      <w:r w:rsidR="005948F8">
        <w:rPr>
          <w:color w:val="000000"/>
          <w:sz w:val="24"/>
          <w:szCs w:val="24"/>
        </w:rPr>
        <w:t xml:space="preserve"> </w:t>
      </w:r>
      <w:sdt>
        <w:sdtPr>
          <w:rPr>
            <w:color w:val="000000"/>
            <w:sz w:val="24"/>
            <w:szCs w:val="24"/>
          </w:rPr>
          <w:tag w:val="MENDELEY_CITATION_v3_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"/>
          <w:id w:val="413214035"/>
          <w:placeholder>
            <w:docPart w:val="F99CC8F426B64329BCC9861014896E03"/>
          </w:placeholder>
        </w:sdtPr>
        <w:sdtEndPr/>
        <w:sdtContent>
          <w:r w:rsidR="000C5DDA" w:rsidRPr="000C5DDA">
            <w:rPr>
              <w:color w:val="000000"/>
              <w:sz w:val="24"/>
              <w:szCs w:val="24"/>
            </w:rPr>
            <w:t>(Millard-Ball et al., 2025)</w:t>
          </w:r>
        </w:sdtContent>
      </w:sdt>
      <w:r w:rsidR="005948F8">
        <w:rPr>
          <w:color w:val="000000"/>
          <w:sz w:val="24"/>
          <w:szCs w:val="24"/>
        </w:rPr>
        <w:t>.</w:t>
      </w:r>
      <w:r w:rsidRPr="002C1992">
        <w:rPr>
          <w:color w:val="000000"/>
          <w:sz w:val="24"/>
          <w:szCs w:val="24"/>
        </w:rPr>
        <w:t xml:space="preserve"> </w:t>
      </w:r>
      <w:r w:rsidR="005948F8">
        <w:rPr>
          <w:color w:val="000000"/>
          <w:sz w:val="24"/>
          <w:szCs w:val="24"/>
        </w:rPr>
        <w:t>Building on this evidence, j</w:t>
      </w:r>
      <w:r w:rsidRPr="002C1992">
        <w:rPr>
          <w:color w:val="000000"/>
          <w:sz w:val="24"/>
          <w:szCs w:val="24"/>
        </w:rPr>
        <w:t xml:space="preserve">urisdictions can pursue completion by maintaining an inventory of sidewalk and bicycle lane gaps and prioritizing gap segments for construction based on their contribution to overall network connectivity rather than on construction cost alone, with particular weight on links that connect residential areas to transit stops, schools, and everyday destinations. Given the elevated concerns among renters noted above, corridors serving neighborhoods with high shares of rental housing also deserve explicit weight in this prioritization. Complete Streets policies, which require that roadways be designed and operated to provide safe access for users of all modes, including pedestrians and bicyclists </w:t>
      </w:r>
      <w:sdt>
        <w:sdtPr>
          <w:rPr>
            <w:color w:val="000000"/>
            <w:sz w:val="24"/>
            <w:szCs w:val="24"/>
          </w:rPr>
          <w:tag w:val="MENDELEY_CITATION_v3_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"/>
          <w:id w:val="-1431585957"/>
          <w:placeholder>
            <w:docPart w:val="DefaultPlaceholder_-1854013440"/>
          </w:placeholder>
        </w:sdtPr>
        <w:sdtEndPr/>
        <w:sdtContent>
          <w:r w:rsidR="000C5DDA" w:rsidRPr="000C5DDA">
            <w:rPr>
              <w:color w:val="000000"/>
              <w:sz w:val="24"/>
              <w:szCs w:val="24"/>
            </w:rPr>
            <w:t>(McCann, 2013)</w:t>
          </w:r>
        </w:sdtContent>
      </w:sdt>
      <w:r w:rsidRPr="002C1992">
        <w:rPr>
          <w:color w:val="000000"/>
          <w:sz w:val="24"/>
          <w:szCs w:val="24"/>
        </w:rPr>
        <w:t>, offer a complementary instrument by ensuring that routine resurfacing and reconstruction projects add missing pedestrian and bicycling facilities as a matter of</w:t>
      </w:r>
      <w:r w:rsidR="00311B43">
        <w:rPr>
          <w:color w:val="000000"/>
          <w:sz w:val="24"/>
          <w:szCs w:val="24"/>
        </w:rPr>
        <w:t xml:space="preserve"> </w:t>
      </w:r>
      <w:r w:rsidR="00152AA4">
        <w:rPr>
          <w:color w:val="000000"/>
          <w:sz w:val="24"/>
          <w:szCs w:val="24"/>
        </w:rPr>
        <w:t>course</w:t>
      </w:r>
      <w:r w:rsidRPr="002C1992">
        <w:rPr>
          <w:color w:val="000000"/>
          <w:sz w:val="24"/>
          <w:szCs w:val="24"/>
        </w:rPr>
        <w:t xml:space="preserve"> rather than as discretionary extras</w:t>
      </w:r>
      <w:r w:rsidR="00311B43">
        <w:rPr>
          <w:color w:val="000000"/>
          <w:sz w:val="24"/>
          <w:szCs w:val="24"/>
        </w:rPr>
        <w:t xml:space="preserve"> </w:t>
      </w:r>
      <w:sdt>
        <w:sdtPr>
          <w:rPr>
            <w:color w:val="000000"/>
            <w:sz w:val="24"/>
            <w:szCs w:val="24"/>
          </w:rPr>
          <w:tag w:val="MENDELEY_CITATION_v3_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"/>
          <w:id w:val="-474446243"/>
          <w:placeholder>
            <w:docPart w:val="DefaultPlaceholder_-1854013440"/>
          </w:placeholder>
        </w:sdtPr>
        <w:sdtEndPr/>
        <w:sdtContent>
          <w:r w:rsidR="000C5DDA" w:rsidRPr="000C5DDA">
            <w:rPr>
              <w:color w:val="000000"/>
              <w:sz w:val="24"/>
              <w:szCs w:val="24"/>
            </w:rPr>
            <w:t>(Chahine et al., 2025; Pearson et al., 2025)</w:t>
          </w:r>
        </w:sdtContent>
      </w:sdt>
      <w:r w:rsidRPr="002C1992">
        <w:rPr>
          <w:color w:val="000000"/>
          <w:sz w:val="24"/>
          <w:szCs w:val="24"/>
        </w:rPr>
        <w:t xml:space="preserve">. A dedicated share of the capital improvement program may further be reserved for closing gaps in the highest-need corridors. </w:t>
      </w:r>
      <w:r w:rsidR="00702550" w:rsidRPr="00702550">
        <w:rPr>
          <w:color w:val="000000"/>
          <w:sz w:val="24"/>
          <w:szCs w:val="24"/>
        </w:rPr>
        <w:t xml:space="preserve">Insufficient lighting calls for a complementary effort on a different logic. Because it is cited both in sparse, low-density neighborhoods and in busy, highly walkable ones, lighting investment should reach both settings, correcting objectively deficient illumination in the former while bringing the heavily used pedestrian environments of the latter up to the standard their users expect, particularly along </w:t>
      </w:r>
      <w:r w:rsidR="00702550" w:rsidRPr="00702550">
        <w:rPr>
          <w:color w:val="000000"/>
          <w:sz w:val="24"/>
          <w:szCs w:val="24"/>
        </w:rPr>
        <w:lastRenderedPageBreak/>
        <w:t>routes traveled after dark</w:t>
      </w:r>
      <w:r w:rsidR="003B1D00">
        <w:rPr>
          <w:color w:val="000000"/>
          <w:sz w:val="24"/>
          <w:szCs w:val="24"/>
        </w:rPr>
        <w:t>.</w:t>
      </w:r>
      <w:r w:rsidR="00320C23">
        <w:rPr>
          <w:color w:val="000000"/>
          <w:sz w:val="24"/>
          <w:szCs w:val="24"/>
        </w:rPr>
        <w:t xml:space="preserve"> </w:t>
      </w:r>
      <w:r w:rsidR="00320C23" w:rsidRPr="00320C23">
        <w:rPr>
          <w:color w:val="000000"/>
          <w:sz w:val="24"/>
          <w:szCs w:val="24"/>
        </w:rPr>
        <w:t>Because renters and Hispanic respondents report insufficient lighting most acutely, neighborhoods with high shares of these residents warrant explicit priority in lighting investment.</w:t>
      </w:r>
      <w:r w:rsidR="003B1D00">
        <w:rPr>
          <w:color w:val="000000"/>
          <w:sz w:val="24"/>
          <w:szCs w:val="24"/>
        </w:rPr>
        <w:t xml:space="preserve"> </w:t>
      </w:r>
      <w:r w:rsidRPr="002C1992">
        <w:rPr>
          <w:color w:val="000000"/>
          <w:sz w:val="24"/>
          <w:szCs w:val="24"/>
        </w:rPr>
        <w:t>Finally, low pedestrian network density is associated with heightened concern across a wider range of barriers than any other residential BE characteristic in Table 5, extending beyond the two infrastructural deficiencies to the personal-security and practical constraints considered in Sections 5.</w:t>
      </w:r>
      <w:r w:rsidR="00A40296">
        <w:rPr>
          <w:color w:val="000000"/>
          <w:sz w:val="24"/>
          <w:szCs w:val="24"/>
        </w:rPr>
        <w:t>3</w:t>
      </w:r>
      <w:r w:rsidRPr="002C1992">
        <w:rPr>
          <w:color w:val="000000"/>
          <w:sz w:val="24"/>
          <w:szCs w:val="24"/>
        </w:rPr>
        <w:t xml:space="preserve"> and 5.</w:t>
      </w:r>
      <w:r w:rsidR="00A40296">
        <w:rPr>
          <w:color w:val="000000"/>
          <w:sz w:val="24"/>
          <w:szCs w:val="24"/>
        </w:rPr>
        <w:t>4</w:t>
      </w:r>
      <w:r w:rsidRPr="002C1992">
        <w:rPr>
          <w:color w:val="000000"/>
          <w:sz w:val="24"/>
          <w:szCs w:val="24"/>
        </w:rPr>
        <w:t>. This breadth reinforces network completion, in the specific sense of raising pedestrian network density, as a primary consideration for easing the conditions that constrain active travel.</w:t>
      </w:r>
    </w:p>
    <w:p w14:paraId="28BF5660" w14:textId="77777777" w:rsidR="00B9201B" w:rsidRDefault="00B9201B" w:rsidP="00B9201B">
      <w:pPr>
        <w:ind w:firstLine="720"/>
        <w:jc w:val="both"/>
        <w:rPr>
          <w:color w:val="000000"/>
          <w:sz w:val="24"/>
          <w:szCs w:val="24"/>
        </w:rPr>
      </w:pPr>
    </w:p>
    <w:p w14:paraId="408F21B8" w14:textId="01D9680A" w:rsidR="00191F28" w:rsidRDefault="00191F28" w:rsidP="00B9201B">
      <w:pPr>
        <w:rPr>
          <w:b/>
          <w:bCs/>
          <w:sz w:val="24"/>
          <w:szCs w:val="24"/>
        </w:rPr>
      </w:pPr>
      <w:r w:rsidRPr="00D04B15">
        <w:rPr>
          <w:b/>
          <w:bCs/>
          <w:sz w:val="24"/>
          <w:szCs w:val="24"/>
        </w:rPr>
        <w:t xml:space="preserve">5.2 </w:t>
      </w:r>
      <w:r w:rsidR="00D04B15" w:rsidRPr="00D04B15">
        <w:rPr>
          <w:b/>
          <w:bCs/>
          <w:sz w:val="24"/>
          <w:szCs w:val="24"/>
        </w:rPr>
        <w:t>Targeting Investments in Traffic</w:t>
      </w:r>
      <w:r w:rsidR="00EA5FE1">
        <w:rPr>
          <w:b/>
          <w:bCs/>
          <w:sz w:val="24"/>
          <w:szCs w:val="24"/>
        </w:rPr>
        <w:t xml:space="preserve"> </w:t>
      </w:r>
      <w:r w:rsidR="00D04B15" w:rsidRPr="00D04B15">
        <w:rPr>
          <w:b/>
          <w:bCs/>
          <w:sz w:val="24"/>
          <w:szCs w:val="24"/>
        </w:rPr>
        <w:t>Safety</w:t>
      </w:r>
    </w:p>
    <w:p w14:paraId="376C4897" w14:textId="3B3EBDE4" w:rsidR="00A90356" w:rsidRDefault="00905595" w:rsidP="00B9201B">
      <w:pPr>
        <w:jc w:val="both"/>
        <w:rPr>
          <w:color w:val="000000"/>
          <w:sz w:val="24"/>
          <w:szCs w:val="24"/>
        </w:rPr>
      </w:pPr>
      <w:r w:rsidRPr="00905595">
        <w:rPr>
          <w:color w:val="000000"/>
          <w:sz w:val="24"/>
          <w:szCs w:val="24"/>
        </w:rPr>
        <w:t>Concern about aggressive and distracted drivers stands apart from the other barriers in where it clusters. Unlike the infrastructural deficiencies, which are reported most often in sparse, low-density neighborhoods, traffic-safety concern is greatest where walking and bicycling are most common. Distracted-driver concern is reported more often in the most walkable neighborhoods than in the least walkable one</w:t>
      </w:r>
      <w:r w:rsidR="00FD0605">
        <w:rPr>
          <w:color w:val="000000"/>
          <w:sz w:val="24"/>
          <w:szCs w:val="24"/>
        </w:rPr>
        <w:t>s</w:t>
      </w:r>
      <w:r w:rsidRPr="00905595">
        <w:rPr>
          <w:color w:val="000000"/>
          <w:sz w:val="24"/>
          <w:szCs w:val="24"/>
        </w:rPr>
        <w:t>, and aggressive</w:t>
      </w:r>
      <w:r w:rsidR="00FD0605">
        <w:rPr>
          <w:color w:val="000000"/>
          <w:sz w:val="24"/>
          <w:szCs w:val="24"/>
        </w:rPr>
        <w:t xml:space="preserve"> </w:t>
      </w:r>
      <w:r w:rsidRPr="00905595">
        <w:rPr>
          <w:color w:val="000000"/>
          <w:sz w:val="24"/>
          <w:szCs w:val="24"/>
        </w:rPr>
        <w:t xml:space="preserve">driver concern is more common in denser neighborhoods than in low-density ones, </w:t>
      </w:r>
      <w:r w:rsidR="00A20A2D" w:rsidRPr="00A20A2D">
        <w:rPr>
          <w:color w:val="000000"/>
          <w:sz w:val="24"/>
          <w:szCs w:val="24"/>
        </w:rPr>
        <w:t xml:space="preserve">both places where </w:t>
      </w:r>
      <w:r w:rsidR="00A85162">
        <w:rPr>
          <w:color w:val="000000"/>
          <w:sz w:val="24"/>
          <w:szCs w:val="24"/>
        </w:rPr>
        <w:t>pedes</w:t>
      </w:r>
      <w:r w:rsidR="00A07A3A">
        <w:rPr>
          <w:color w:val="000000"/>
          <w:sz w:val="24"/>
          <w:szCs w:val="24"/>
        </w:rPr>
        <w:t>trians and</w:t>
      </w:r>
      <w:r w:rsidR="00A20A2D" w:rsidRPr="00A20A2D">
        <w:rPr>
          <w:color w:val="000000"/>
          <w:sz w:val="24"/>
          <w:szCs w:val="24"/>
        </w:rPr>
        <w:t xml:space="preserve"> vehicles share the same streets and so cross paths far more often</w:t>
      </w:r>
      <w:r w:rsidRPr="00905595">
        <w:rPr>
          <w:color w:val="000000"/>
          <w:sz w:val="24"/>
          <w:szCs w:val="24"/>
        </w:rPr>
        <w:t>. The same holds among the individuals most engaged in active travel. Respondents with graduate degrees, who are among the least likely to be NRATs and thus among the most active, nonetheless report both aggressive and distracted drivers as barriers considerably more often than those with a high school education or less, and Hispanic respondents report elevated concern on both traffic-safety dimensions. Taken together, these concerns weigh most on the people already out walking and bicycling, wearing on their everyday experience and discouraging further active travel in the very places best suited to it.</w:t>
      </w:r>
    </w:p>
    <w:p w14:paraId="205BE423" w14:textId="4F617971" w:rsidR="00A90356" w:rsidRDefault="00A90356" w:rsidP="00B9201B">
      <w:pPr>
        <w:ind w:firstLine="720"/>
        <w:jc w:val="both"/>
        <w:rPr>
          <w:b/>
          <w:bCs/>
          <w:color w:val="000000"/>
          <w:sz w:val="24"/>
          <w:szCs w:val="24"/>
        </w:rPr>
      </w:pPr>
      <w:r w:rsidRPr="00A90356">
        <w:rPr>
          <w:color w:val="000000"/>
          <w:sz w:val="24"/>
          <w:szCs w:val="24"/>
        </w:rPr>
        <w:t>Because these concerns concentrate where pedestrian activity is highest, traffic-safety investment should be directed there first, while not neglecting the areas where pedestrians are currently rare. In the busiest walking environments, lower speed limits</w:t>
      </w:r>
      <w:r w:rsidR="00A60461">
        <w:rPr>
          <w:color w:val="000000"/>
          <w:sz w:val="24"/>
          <w:szCs w:val="24"/>
        </w:rPr>
        <w:t xml:space="preserve"> </w:t>
      </w:r>
      <w:sdt>
        <w:sdtPr>
          <w:rPr>
            <w:color w:val="000000"/>
            <w:sz w:val="24"/>
            <w:szCs w:val="24"/>
          </w:rPr>
          <w:tag w:val="MENDELEY_CITATION_v3_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"/>
          <w:id w:val="717171346"/>
          <w:placeholder>
            <w:docPart w:val="DefaultPlaceholder_-1854013440"/>
          </w:placeholder>
        </w:sdtPr>
        <w:sdtEndPr/>
        <w:sdtContent>
          <w:r w:rsidR="000C5DDA" w:rsidRPr="000C5DDA">
            <w:rPr>
              <w:color w:val="000000"/>
              <w:sz w:val="24"/>
            </w:rPr>
            <w:t>(Hu and Cicchino, 2024)</w:t>
          </w:r>
        </w:sdtContent>
      </w:sdt>
      <w:r w:rsidRPr="00A90356">
        <w:rPr>
          <w:color w:val="000000"/>
          <w:sz w:val="24"/>
          <w:szCs w:val="24"/>
        </w:rPr>
        <w:t>, leading pedestrian intervals at signalized crossings</w:t>
      </w:r>
      <w:r>
        <w:rPr>
          <w:color w:val="000000"/>
          <w:sz w:val="24"/>
          <w:szCs w:val="24"/>
        </w:rPr>
        <w:t xml:space="preserve"> </w:t>
      </w:r>
      <w:sdt>
        <w:sdtPr>
          <w:rPr>
            <w:color w:val="000000"/>
            <w:sz w:val="24"/>
            <w:szCs w:val="24"/>
          </w:rPr>
          <w:tag w:val="MENDELEY_CITATION_v3_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"/>
          <w:id w:val="968087551"/>
          <w:placeholder>
            <w:docPart w:val="DefaultPlaceholder_-1854013440"/>
          </w:placeholder>
        </w:sdtPr>
        <w:sdtEndPr/>
        <w:sdtContent>
          <w:r w:rsidR="000C5DDA" w:rsidRPr="000C5DDA">
            <w:rPr>
              <w:color w:val="000000"/>
              <w:sz w:val="24"/>
              <w:szCs w:val="24"/>
            </w:rPr>
            <w:t>(Zadey et al., 2025)</w:t>
          </w:r>
        </w:sdtContent>
      </w:sdt>
      <w:r w:rsidRPr="00A90356">
        <w:rPr>
          <w:color w:val="000000"/>
          <w:sz w:val="24"/>
          <w:szCs w:val="24"/>
        </w:rPr>
        <w:t>, daylighting of intersections by removing parking near crosswalks, and enforcement campaigns aimed at distracted driving can each reduce the hazards active travelers encounter. Ensuring an adequate supply of crosswalks and signals, pedestrian-appropriate signal timing, and dedicated bicycling infrastructure is likewise important in these areas to reduce friction between active travelers and motorists. Lower-activity neighborhoods deserve</w:t>
      </w:r>
      <w:r w:rsidR="001D6CA1">
        <w:rPr>
          <w:color w:val="000000"/>
          <w:sz w:val="24"/>
          <w:szCs w:val="24"/>
        </w:rPr>
        <w:t xml:space="preserve"> similar</w:t>
      </w:r>
      <w:r w:rsidRPr="00A90356">
        <w:rPr>
          <w:color w:val="000000"/>
          <w:sz w:val="24"/>
          <w:szCs w:val="24"/>
        </w:rPr>
        <w:t xml:space="preserve"> attention as well. Where few people walk, each pedestrian tends to face a higher per-person risk, plausibly because drivers are less accustomed to encountering people on foot, a pattern known as the safety-in-numbers effect</w:t>
      </w:r>
      <w:r w:rsidR="00A60461">
        <w:rPr>
          <w:color w:val="000000"/>
          <w:sz w:val="24"/>
          <w:szCs w:val="24"/>
        </w:rPr>
        <w:t xml:space="preserve"> </w:t>
      </w:r>
      <w:sdt>
        <w:sdtPr>
          <w:rPr>
            <w:color w:val="000000"/>
            <w:sz w:val="24"/>
            <w:szCs w:val="24"/>
          </w:rPr>
          <w:tag w:val="MENDELEY_CITATION_v3_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"/>
          <w:id w:val="-1679648284"/>
          <w:placeholder>
            <w:docPart w:val="DefaultPlaceholder_-1854013440"/>
          </w:placeholder>
        </w:sdtPr>
        <w:sdtEndPr/>
        <w:sdtContent>
          <w:r w:rsidR="000C5DDA" w:rsidRPr="000C5DDA">
            <w:rPr>
              <w:color w:val="000000"/>
              <w:sz w:val="24"/>
            </w:rPr>
            <w:t>(Elvik and Bjørnskau, 2017)</w:t>
          </w:r>
        </w:sdtContent>
      </w:sdt>
      <w:r w:rsidRPr="00A90356">
        <w:rPr>
          <w:color w:val="000000"/>
          <w:sz w:val="24"/>
          <w:szCs w:val="24"/>
        </w:rPr>
        <w:t>. Extending driver-awareness and enforcement efforts into these areas therefore helps protect the pedestrians who do travel there.</w:t>
      </w:r>
      <w:r w:rsidRPr="00A90356">
        <w:rPr>
          <w:b/>
          <w:bCs/>
          <w:color w:val="000000"/>
          <w:sz w:val="24"/>
          <w:szCs w:val="24"/>
        </w:rPr>
        <w:t xml:space="preserve"> </w:t>
      </w:r>
    </w:p>
    <w:p w14:paraId="697CB259" w14:textId="77777777" w:rsidR="00B9201B" w:rsidRPr="00A90356" w:rsidRDefault="00B9201B" w:rsidP="00B9201B">
      <w:pPr>
        <w:ind w:firstLine="720"/>
        <w:jc w:val="both"/>
        <w:rPr>
          <w:color w:val="000000"/>
          <w:sz w:val="24"/>
          <w:szCs w:val="24"/>
        </w:rPr>
      </w:pPr>
    </w:p>
    <w:p w14:paraId="7612A255" w14:textId="1566B5DF" w:rsidR="00D04B15" w:rsidRDefault="00D04B15" w:rsidP="00B9201B">
      <w:pPr>
        <w:rPr>
          <w:b/>
          <w:bCs/>
          <w:sz w:val="24"/>
          <w:szCs w:val="24"/>
        </w:rPr>
      </w:pPr>
      <w:r w:rsidRPr="00033F32">
        <w:rPr>
          <w:b/>
          <w:bCs/>
          <w:sz w:val="24"/>
          <w:szCs w:val="24"/>
        </w:rPr>
        <w:t xml:space="preserve">5.3 </w:t>
      </w:r>
      <w:r w:rsidR="00033F32" w:rsidRPr="00033F32">
        <w:rPr>
          <w:b/>
          <w:bCs/>
          <w:sz w:val="24"/>
          <w:szCs w:val="24"/>
        </w:rPr>
        <w:t>Designing Out Personal-Security Concerns</w:t>
      </w:r>
    </w:p>
    <w:p w14:paraId="3BB7B416" w14:textId="2FFEAEAB" w:rsidR="00F2420B" w:rsidRDefault="00F2420B" w:rsidP="00B9201B">
      <w:pPr>
        <w:jc w:val="both"/>
        <w:rPr>
          <w:color w:val="000000"/>
          <w:sz w:val="24"/>
          <w:szCs w:val="24"/>
        </w:rPr>
      </w:pPr>
      <w:r w:rsidRPr="00F2420B">
        <w:rPr>
          <w:color w:val="000000"/>
          <w:sz w:val="24"/>
          <w:szCs w:val="24"/>
        </w:rPr>
        <w:t xml:space="preserve">Personal-security concerns tell a different story, one that a glance at aggregate shares would badly misread. Loitering or threatening behavior is the least frequently cited barrier overall (see Table 1), which might suggest it is a minor consideration. Yet the ATEs reveal it to be among the most sharply concentrated of all the barriers. Women report it roughly twice as often as men, and renters roughly twice as often as homeowners, while Hispanic respondents also report elevated concern. At the other end, full-time workers report it far less often, plausibly because their travel falls in daytime periods when more people are about. It is strongly patterned by place as well, rising steeply in neighborhoods with sparse pedestrian networks, where quiet, lightly traveled streets can </w:t>
      </w:r>
      <w:r w:rsidRPr="00F2420B">
        <w:rPr>
          <w:color w:val="000000"/>
          <w:sz w:val="24"/>
          <w:szCs w:val="24"/>
        </w:rPr>
        <w:lastRenderedPageBreak/>
        <w:t xml:space="preserve">feel less secure than busier, more active ones. None of this is visible in the population-wide average. For the specific groups and places where the concern is acute, it plausibly shapes whether active travel is undertaken at all, and it likely colors the daily experience of those who already </w:t>
      </w:r>
      <w:r w:rsidR="00E13195">
        <w:rPr>
          <w:color w:val="000000"/>
          <w:sz w:val="24"/>
          <w:szCs w:val="24"/>
        </w:rPr>
        <w:t>travel actively</w:t>
      </w:r>
      <w:r w:rsidRPr="00F2420B">
        <w:rPr>
          <w:color w:val="000000"/>
          <w:sz w:val="24"/>
          <w:szCs w:val="24"/>
        </w:rPr>
        <w:t>. Overlooking personal security because of its low aggregate share would therefore miss a barrier that weighs heavily on some of the very populations active travel policy most hopes to reach.</w:t>
      </w:r>
    </w:p>
    <w:p w14:paraId="7C167594" w14:textId="4D18FB11" w:rsidR="003A06F9" w:rsidRDefault="003A06F9" w:rsidP="00B9201B">
      <w:pPr>
        <w:ind w:firstLine="720"/>
        <w:jc w:val="both"/>
        <w:rPr>
          <w:color w:val="000000"/>
          <w:sz w:val="24"/>
          <w:szCs w:val="24"/>
        </w:rPr>
      </w:pPr>
      <w:r w:rsidRPr="003A06F9">
        <w:rPr>
          <w:color w:val="000000"/>
          <w:sz w:val="24"/>
          <w:szCs w:val="24"/>
        </w:rPr>
        <w:t>Addressing</w:t>
      </w:r>
      <w:r w:rsidR="005C35C7">
        <w:rPr>
          <w:color w:val="000000"/>
          <w:sz w:val="24"/>
          <w:szCs w:val="24"/>
        </w:rPr>
        <w:t xml:space="preserve"> </w:t>
      </w:r>
      <w:r w:rsidRPr="003A06F9">
        <w:rPr>
          <w:color w:val="000000"/>
          <w:sz w:val="24"/>
          <w:szCs w:val="24"/>
        </w:rPr>
        <w:t>this concentrated</w:t>
      </w:r>
      <w:r w:rsidR="005C35C7">
        <w:rPr>
          <w:color w:val="000000"/>
          <w:sz w:val="24"/>
          <w:szCs w:val="24"/>
        </w:rPr>
        <w:t xml:space="preserve"> concern</w:t>
      </w:r>
      <w:r w:rsidRPr="003A06F9">
        <w:rPr>
          <w:color w:val="000000"/>
          <w:sz w:val="24"/>
          <w:szCs w:val="24"/>
        </w:rPr>
        <w:t xml:space="preserve"> calls for targeted rather than evenly spread investment, directed to the neighborhoods and groups where the concern looms largest. In practice, this means </w:t>
      </w:r>
      <w:r w:rsidR="00FD0605">
        <w:rPr>
          <w:color w:val="000000"/>
          <w:sz w:val="24"/>
          <w:szCs w:val="24"/>
        </w:rPr>
        <w:t xml:space="preserve">(a) </w:t>
      </w:r>
      <w:r w:rsidRPr="003A06F9">
        <w:rPr>
          <w:color w:val="000000"/>
          <w:sz w:val="24"/>
          <w:szCs w:val="24"/>
        </w:rPr>
        <w:t>adopting pedestrian-scale lighting standards and conducting systematic lighting audits along high-use walking corridors</w:t>
      </w:r>
      <w:r w:rsidR="00ED74AF">
        <w:rPr>
          <w:color w:val="000000"/>
          <w:sz w:val="24"/>
          <w:szCs w:val="24"/>
        </w:rPr>
        <w:t xml:space="preserve"> </w:t>
      </w:r>
      <w:sdt>
        <w:sdtPr>
          <w:rPr>
            <w:color w:val="000000"/>
            <w:sz w:val="24"/>
            <w:szCs w:val="24"/>
          </w:rPr>
          <w:tag w:val="MENDELEY_CITATION_v3_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"/>
          <w:id w:val="-1440679057"/>
          <w:placeholder>
            <w:docPart w:val="DefaultPlaceholder_-1854013440"/>
          </w:placeholder>
        </w:sdtPr>
        <w:sdtEndPr/>
        <w:sdtContent>
          <w:r w:rsidR="000C5DDA" w:rsidRPr="000C5DDA">
            <w:rPr>
              <w:color w:val="000000"/>
              <w:sz w:val="24"/>
              <w:szCs w:val="24"/>
            </w:rPr>
            <w:t>(Chalfin et al., 2022)</w:t>
          </w:r>
        </w:sdtContent>
      </w:sdt>
      <w:r w:rsidRPr="003A06F9">
        <w:rPr>
          <w:color w:val="000000"/>
          <w:sz w:val="24"/>
          <w:szCs w:val="24"/>
        </w:rPr>
        <w:t xml:space="preserve">, which also advance the infrastructural lighting improvements discussed in Section 5.1, and </w:t>
      </w:r>
      <w:r w:rsidR="00FD0605">
        <w:rPr>
          <w:color w:val="000000"/>
          <w:sz w:val="24"/>
          <w:szCs w:val="24"/>
        </w:rPr>
        <w:t xml:space="preserve">(b) </w:t>
      </w:r>
      <w:r w:rsidRPr="003A06F9">
        <w:rPr>
          <w:color w:val="000000"/>
          <w:sz w:val="24"/>
          <w:szCs w:val="24"/>
        </w:rPr>
        <w:t xml:space="preserve">applying crime-prevention-through-environmental-design principles such as trimmed vegetation, unobstructed sightlines, active ground-floor frontage, and the cleanup and greening of vacant or degraded lots (see, for example, </w:t>
      </w:r>
      <w:sdt>
        <w:sdtPr>
          <w:rPr>
            <w:color w:val="000000"/>
            <w:sz w:val="24"/>
            <w:szCs w:val="24"/>
          </w:rPr>
          <w:tag w:val="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"/>
          <w:id w:val="-460732708"/>
          <w:placeholder>
            <w:docPart w:val="DefaultPlaceholder_-1854013440"/>
          </w:placeholder>
        </w:sdtPr>
        <w:sdtEndPr/>
        <w:sdtContent>
          <w:r w:rsidR="000C5DDA" w:rsidRPr="000C5DDA">
            <w:rPr>
              <w:color w:val="000000"/>
              <w:sz w:val="24"/>
              <w:szCs w:val="24"/>
            </w:rPr>
            <w:t>Branas et al., 2018; Lee et al., 2023</w:t>
          </w:r>
        </w:sdtContent>
      </w:sdt>
      <w:r w:rsidRPr="003A06F9">
        <w:rPr>
          <w:color w:val="000000"/>
          <w:sz w:val="24"/>
          <w:szCs w:val="24"/>
        </w:rPr>
        <w:t>). Because sparse pedestrian activity is itself part of the problem, measures that draw more people onto the street, including the network completion advanced in Section 5.1 and support for ground-floor activity, reinforce these efforts by restoring natural surveillance. Given that women and renters carry the concern most heavily, safety audits that involve them directly as participants in the design process should be built into the routine review of corridor designs, so that the populations most affected shape the remedies</w:t>
      </w:r>
      <w:r w:rsidR="00BF281F">
        <w:rPr>
          <w:color w:val="000000"/>
          <w:sz w:val="24"/>
          <w:szCs w:val="24"/>
        </w:rPr>
        <w:t xml:space="preserve"> </w:t>
      </w:r>
      <w:sdt>
        <w:sdtPr>
          <w:rPr>
            <w:color w:val="000000"/>
            <w:sz w:val="24"/>
            <w:szCs w:val="24"/>
          </w:rPr>
          <w:tag w:val="MENDELEY_CITATION_v3_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"/>
          <w:id w:val="1093358205"/>
          <w:placeholder>
            <w:docPart w:val="DefaultPlaceholder_-1854013440"/>
          </w:placeholder>
        </w:sdtPr>
        <w:sdtEndPr/>
        <w:sdtContent>
          <w:r w:rsidR="000C5DDA" w:rsidRPr="000C5DDA">
            <w:rPr>
              <w:color w:val="000000"/>
              <w:sz w:val="24"/>
              <w:szCs w:val="24"/>
            </w:rPr>
            <w:t>(Jauregui et al., 2025)</w:t>
          </w:r>
        </w:sdtContent>
      </w:sdt>
      <w:r w:rsidRPr="003A06F9">
        <w:rPr>
          <w:color w:val="000000"/>
          <w:sz w:val="24"/>
          <w:szCs w:val="24"/>
        </w:rPr>
        <w:t>.</w:t>
      </w:r>
      <w:r w:rsidR="004969BA">
        <w:rPr>
          <w:color w:val="000000"/>
          <w:sz w:val="24"/>
          <w:szCs w:val="24"/>
        </w:rPr>
        <w:t xml:space="preserve"> </w:t>
      </w:r>
      <w:r w:rsidR="006D7D17" w:rsidRPr="006D7D17">
        <w:rPr>
          <w:color w:val="000000"/>
          <w:sz w:val="24"/>
          <w:szCs w:val="24"/>
        </w:rPr>
        <w:t>Partnerships with property managers, housing authorities, and neighborhood organizations extend these measures onto the private edges of the public realm, since much of the lighting and vegetation bordering a sidewalk sits on private property beyond the direct reach of public works.</w:t>
      </w:r>
    </w:p>
    <w:p w14:paraId="5264A127" w14:textId="77777777" w:rsidR="00B9201B" w:rsidRPr="003A06F9" w:rsidRDefault="00B9201B" w:rsidP="00B9201B">
      <w:pPr>
        <w:ind w:firstLine="720"/>
        <w:jc w:val="both"/>
        <w:rPr>
          <w:color w:val="000000"/>
          <w:sz w:val="24"/>
          <w:szCs w:val="24"/>
        </w:rPr>
      </w:pPr>
    </w:p>
    <w:p w14:paraId="0C1347F2" w14:textId="0A267281" w:rsidR="00C475A8" w:rsidRPr="00390142" w:rsidRDefault="00C475A8" w:rsidP="00B9201B">
      <w:pPr>
        <w:rPr>
          <w:b/>
          <w:bCs/>
          <w:sz w:val="24"/>
          <w:szCs w:val="24"/>
        </w:rPr>
      </w:pPr>
      <w:r>
        <w:rPr>
          <w:b/>
          <w:bCs/>
          <w:sz w:val="24"/>
          <w:szCs w:val="24"/>
        </w:rPr>
        <w:t>5.</w:t>
      </w:r>
      <w:r w:rsidR="00033F32">
        <w:rPr>
          <w:b/>
          <w:bCs/>
          <w:sz w:val="24"/>
          <w:szCs w:val="24"/>
        </w:rPr>
        <w:t>4</w:t>
      </w:r>
      <w:r>
        <w:rPr>
          <w:b/>
          <w:bCs/>
          <w:sz w:val="24"/>
          <w:szCs w:val="24"/>
        </w:rPr>
        <w:t xml:space="preserve"> </w:t>
      </w:r>
      <w:r w:rsidR="005A157F">
        <w:rPr>
          <w:b/>
          <w:bCs/>
          <w:sz w:val="24"/>
          <w:szCs w:val="24"/>
        </w:rPr>
        <w:t>Easing Practical and Situational Constraints</w:t>
      </w:r>
    </w:p>
    <w:p w14:paraId="50DAC544" w14:textId="12662D02" w:rsidR="00B13FF7" w:rsidRDefault="00B13FF7" w:rsidP="00B9201B">
      <w:pPr>
        <w:jc w:val="both"/>
        <w:rPr>
          <w:color w:val="000000"/>
          <w:sz w:val="24"/>
          <w:szCs w:val="24"/>
        </w:rPr>
      </w:pPr>
      <w:r w:rsidRPr="00B13FF7">
        <w:rPr>
          <w:color w:val="000000"/>
          <w:sz w:val="24"/>
          <w:szCs w:val="24"/>
        </w:rPr>
        <w:t xml:space="preserve">Distance is the barrier that active travel policy might find hardest to build its way around. The perception that active modes are unsuited to the trip lengths needed to reach everyday destinations is the single most cited barrier in the sample (see Table 1), and unlike the infrastructural and safety barriers, it concerns the length of the trip rather than the quality of the route. Adverse weather, the other practical and situational constraint, shares this character, since it concerns the conditions under which a trip is made rather than the facilities along the way. The two barriers also pattern together in a telling way. Individuals in vehicle-deficient households cite trip-length mismatch nearly a third less often, and, more marginally, adverse weather less often, than those in vehicle-sufficient households, suggesting that active travel undertaken out of necessity is less deterred by either consideration. For those with a car readily available, who are also more likely to be NRATs, both loom larger, since every walking or bicycling trip is weighed against an easy driving alternative. Encouragingly, trip-length mismatch is cited notably less often in more walkable neighborhoods, where homes, jobs, and services already sit close together, a sign that compact, mixed-use development </w:t>
      </w:r>
      <w:r w:rsidR="00A719D8">
        <w:rPr>
          <w:color w:val="000000"/>
          <w:sz w:val="24"/>
          <w:szCs w:val="24"/>
        </w:rPr>
        <w:t>m</w:t>
      </w:r>
      <w:r w:rsidR="00351B93">
        <w:rPr>
          <w:color w:val="000000"/>
          <w:sz w:val="24"/>
          <w:szCs w:val="24"/>
        </w:rPr>
        <w:t>ight</w:t>
      </w:r>
      <w:r w:rsidRPr="00B13FF7">
        <w:rPr>
          <w:color w:val="000000"/>
          <w:sz w:val="24"/>
          <w:szCs w:val="24"/>
        </w:rPr>
        <w:t xml:space="preserve"> bring everyday destinations within realistic reach of active modes. Weather concerns, in turn, are somewhat elevated where pedestrian networks are sparse, consistent with the broad reach of sparse networks noted in Section 5.1. The sharpest divide for weather, however, is regional, with residents of the South and West citing it far less often than those of the Northeast and Midwest, pointing to winter conditions as the dominant seasonal obstacle (see Section 4.2).</w:t>
      </w:r>
    </w:p>
    <w:p w14:paraId="552FB4C4" w14:textId="7987372C" w:rsidR="00977AA4" w:rsidRDefault="00B13FF7" w:rsidP="00B9201B">
      <w:pPr>
        <w:ind w:firstLine="720"/>
        <w:jc w:val="both"/>
        <w:rPr>
          <w:color w:val="000000"/>
          <w:sz w:val="24"/>
          <w:szCs w:val="24"/>
        </w:rPr>
      </w:pPr>
      <w:r w:rsidRPr="00B13FF7">
        <w:rPr>
          <w:color w:val="000000"/>
          <w:sz w:val="24"/>
          <w:szCs w:val="24"/>
        </w:rPr>
        <w:t>Because the constraints are the trip and its conditions rather than the route, the policy response works along three lines</w:t>
      </w:r>
      <w:r w:rsidR="009A7F8F">
        <w:rPr>
          <w:color w:val="000000"/>
          <w:sz w:val="24"/>
          <w:szCs w:val="24"/>
        </w:rPr>
        <w:t>:</w:t>
      </w:r>
      <w:r w:rsidRPr="00B13FF7">
        <w:rPr>
          <w:color w:val="000000"/>
          <w:sz w:val="24"/>
          <w:szCs w:val="24"/>
        </w:rPr>
        <w:t xml:space="preserve"> </w:t>
      </w:r>
      <w:r w:rsidR="009A7F8F">
        <w:rPr>
          <w:color w:val="000000"/>
          <w:sz w:val="24"/>
          <w:szCs w:val="24"/>
        </w:rPr>
        <w:t xml:space="preserve">(1) </w:t>
      </w:r>
      <w:r w:rsidRPr="00B13FF7">
        <w:rPr>
          <w:color w:val="000000"/>
          <w:sz w:val="24"/>
          <w:szCs w:val="24"/>
        </w:rPr>
        <w:t>bringing destinations closer,</w:t>
      </w:r>
      <w:r w:rsidR="009A7F8F">
        <w:rPr>
          <w:color w:val="000000"/>
          <w:sz w:val="24"/>
          <w:szCs w:val="24"/>
        </w:rPr>
        <w:t xml:space="preserve"> (2)</w:t>
      </w:r>
      <w:r w:rsidRPr="00B13FF7">
        <w:rPr>
          <w:color w:val="000000"/>
          <w:sz w:val="24"/>
          <w:szCs w:val="24"/>
        </w:rPr>
        <w:t xml:space="preserve"> extending the range that </w:t>
      </w:r>
      <w:r w:rsidRPr="00B13FF7">
        <w:rPr>
          <w:color w:val="000000"/>
          <w:sz w:val="24"/>
          <w:szCs w:val="24"/>
        </w:rPr>
        <w:lastRenderedPageBreak/>
        <w:t xml:space="preserve">active travelers can comfortably cover, and </w:t>
      </w:r>
      <w:r w:rsidR="009A7F8F">
        <w:rPr>
          <w:color w:val="000000"/>
          <w:sz w:val="24"/>
          <w:szCs w:val="24"/>
        </w:rPr>
        <w:t xml:space="preserve">(3) </w:t>
      </w:r>
      <w:r w:rsidRPr="00B13FF7">
        <w:rPr>
          <w:color w:val="000000"/>
          <w:sz w:val="24"/>
          <w:szCs w:val="24"/>
        </w:rPr>
        <w:t xml:space="preserve">blunting the exposure that weather imposes. On the land-use side, zoning reforms that permit neighborhood-serving retail within residential districts, encourage infill development along existing corridors, and </w:t>
      </w:r>
      <w:r w:rsidR="00DB3ED3" w:rsidRPr="00DB3ED3">
        <w:rPr>
          <w:color w:val="000000"/>
          <w:sz w:val="24"/>
          <w:szCs w:val="24"/>
        </w:rPr>
        <w:t>bring everyday services closer to homes can shorten the distances that make active travel impractical for some trips</w:t>
      </w:r>
      <w:r w:rsidRPr="00B13FF7">
        <w:rPr>
          <w:color w:val="000000"/>
          <w:sz w:val="24"/>
          <w:szCs w:val="24"/>
        </w:rPr>
        <w:t xml:space="preserve"> </w:t>
      </w:r>
      <w:r w:rsidR="00977AA4">
        <w:rPr>
          <w:color w:val="000000"/>
          <w:sz w:val="24"/>
          <w:szCs w:val="24"/>
        </w:rPr>
        <w:t xml:space="preserve">(as established in </w:t>
      </w:r>
      <w:sdt>
        <w:sdtPr>
          <w:rPr>
            <w:color w:val="000000"/>
            <w:sz w:val="24"/>
            <w:szCs w:val="24"/>
          </w:rPr>
          <w:tag w:val="MENDELEY_CITATION_v3_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"/>
          <w:id w:val="-1485075805"/>
          <w:placeholder>
            <w:docPart w:val="06106D81650E4A4EB0CF737FAB5D00E6"/>
          </w:placeholder>
        </w:sdtPr>
        <w:sdtEndPr/>
        <w:sdtContent>
          <w:r w:rsidR="000C5DDA" w:rsidRPr="000C5DDA">
            <w:rPr>
              <w:color w:val="000000"/>
              <w:sz w:val="24"/>
            </w:rPr>
            <w:t>Ewing and Cervero, 2010</w:t>
          </w:r>
        </w:sdtContent>
      </w:sdt>
      <w:r w:rsidR="00977AA4">
        <w:rPr>
          <w:color w:val="000000"/>
          <w:sz w:val="24"/>
          <w:szCs w:val="24"/>
        </w:rPr>
        <w:t xml:space="preserve">, and reaffirmed by </w:t>
      </w:r>
      <w:sdt>
        <w:sdtPr>
          <w:rPr>
            <w:color w:val="000000"/>
            <w:sz w:val="24"/>
            <w:szCs w:val="24"/>
          </w:rPr>
          <w:tag w:val="MENDELEY_CITATION_v3_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"/>
          <w:id w:val="-147362354"/>
          <w:placeholder>
            <w:docPart w:val="06106D81650E4A4EB0CF737FAB5D00E6"/>
          </w:placeholder>
        </w:sdtPr>
        <w:sdtEndPr/>
        <w:sdtContent>
          <w:r w:rsidR="000C5DDA" w:rsidRPr="000C5DDA">
            <w:rPr>
              <w:color w:val="000000"/>
              <w:sz w:val="24"/>
              <w:szCs w:val="24"/>
            </w:rPr>
            <w:t>Tuffour et al., 2025</w:t>
          </w:r>
        </w:sdtContent>
      </w:sdt>
      <w:r w:rsidR="00977AA4">
        <w:rPr>
          <w:color w:val="000000"/>
          <w:sz w:val="24"/>
          <w:szCs w:val="24"/>
        </w:rPr>
        <w:t>)</w:t>
      </w:r>
      <w:r w:rsidR="00977AA4" w:rsidRPr="002E4C62">
        <w:rPr>
          <w:color w:val="000000"/>
          <w:sz w:val="24"/>
          <w:szCs w:val="24"/>
        </w:rPr>
        <w:t>.</w:t>
      </w:r>
      <w:r w:rsidR="00977AA4" w:rsidRPr="00977AA4">
        <w:rPr>
          <w:color w:val="000000"/>
          <w:sz w:val="24"/>
          <w:szCs w:val="24"/>
        </w:rPr>
        <w:t xml:space="preserve"> </w:t>
      </w:r>
      <w:r w:rsidR="000129C1" w:rsidRPr="000129C1">
        <w:rPr>
          <w:color w:val="000000"/>
          <w:sz w:val="24"/>
          <w:szCs w:val="24"/>
        </w:rPr>
        <w:t>On the vehicle side, electric-assist modes extend a traveler</w:t>
      </w:r>
      <w:r w:rsidR="000D7001">
        <w:rPr>
          <w:color w:val="000000"/>
          <w:sz w:val="24"/>
          <w:szCs w:val="24"/>
        </w:rPr>
        <w:t>’</w:t>
      </w:r>
      <w:r w:rsidR="000129C1" w:rsidRPr="000129C1">
        <w:rPr>
          <w:color w:val="000000"/>
          <w:sz w:val="24"/>
          <w:szCs w:val="24"/>
        </w:rPr>
        <w:t xml:space="preserve">s comfortable range. </w:t>
      </w:r>
      <w:r w:rsidR="007B0BE7" w:rsidRPr="007B0BE7">
        <w:rPr>
          <w:color w:val="000000"/>
          <w:sz w:val="24"/>
          <w:szCs w:val="24"/>
        </w:rPr>
        <w:t xml:space="preserve">E-bike purchase-rebate programs of the kind now operating in a growing number of U.S. cities, secure bicycle parking and charging at homes, workplaces, and transit stations, and the integration of electric-assist options into shared-micromobility fleets all widen the set of destinations reachable without a car. That this widening actually shifts trips away from driving is already evident where rebate programs operate, with recipients consistently reporting that e-bike trips replace car travel </w:t>
      </w:r>
      <w:sdt>
        <w:sdtPr>
          <w:rPr>
            <w:color w:val="000000"/>
            <w:sz w:val="24"/>
            <w:szCs w:val="24"/>
          </w:rPr>
          <w:tag w:val="MENDELEY_CITATION_v3_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"/>
          <w:id w:val="-1197773595"/>
          <w:placeholder>
            <w:docPart w:val="A1DDF9BC0B654B2D978122F60D86878F"/>
          </w:placeholder>
        </w:sdtPr>
        <w:sdtEndPr/>
        <w:sdtContent>
          <w:r w:rsidR="000C5DDA" w:rsidRPr="000C5DDA">
            <w:rPr>
              <w:color w:val="000000"/>
              <w:sz w:val="24"/>
              <w:szCs w:val="24"/>
            </w:rPr>
            <w:t>(Johnson et al., 2023; Meng et al., 2025)</w:t>
          </w:r>
        </w:sdtContent>
      </w:sdt>
      <w:r w:rsidR="00977AA4" w:rsidRPr="00977AA4">
        <w:rPr>
          <w:color w:val="000000"/>
          <w:sz w:val="24"/>
          <w:szCs w:val="24"/>
        </w:rPr>
        <w:t xml:space="preserve">. </w:t>
      </w:r>
      <w:r w:rsidR="000129C1" w:rsidRPr="000129C1">
        <w:rPr>
          <w:color w:val="000000"/>
          <w:sz w:val="24"/>
          <w:szCs w:val="24"/>
        </w:rPr>
        <w:t>On the weather side, policy cannot change the climate, but it can shrink the number of days on which conditions rule active travel out. Clearing snow and ice from sidewalks and bicycle lanes with the same priority given to roadways, planting street trees that shade summer routes, and providing covered bicycle parking and sheltered waiting areas extend the season over which active travel remains comfortable. Local planning and zoning commissions, public works departments, employers, transit agencies, and shared-micromobility operators are the key implementation partners. Together, these measures reach a group that better sidewalks and bicycle lanes alone cannot</w:t>
      </w:r>
      <w:r w:rsidR="00A141AA">
        <w:rPr>
          <w:color w:val="000000"/>
          <w:sz w:val="24"/>
          <w:szCs w:val="24"/>
        </w:rPr>
        <w:t>.</w:t>
      </w:r>
    </w:p>
    <w:p w14:paraId="535C834D" w14:textId="77777777" w:rsidR="00B9201B" w:rsidRDefault="00B9201B" w:rsidP="00B9201B">
      <w:pPr>
        <w:ind w:firstLine="720"/>
        <w:jc w:val="both"/>
        <w:rPr>
          <w:color w:val="000000"/>
          <w:sz w:val="24"/>
          <w:szCs w:val="24"/>
        </w:rPr>
      </w:pPr>
    </w:p>
    <w:p w14:paraId="3F5F406A" w14:textId="6AF23E3E" w:rsidR="0023006C" w:rsidRPr="007B0AB3" w:rsidRDefault="007B0AB3" w:rsidP="00B9201B">
      <w:pPr>
        <w:rPr>
          <w:b/>
          <w:bCs/>
          <w:sz w:val="24"/>
          <w:szCs w:val="24"/>
        </w:rPr>
      </w:pPr>
      <w:r w:rsidRPr="007B0AB3">
        <w:rPr>
          <w:b/>
          <w:bCs/>
          <w:sz w:val="24"/>
          <w:szCs w:val="24"/>
        </w:rPr>
        <w:t>5.5 Supporting Older Adults Through Age-Friendly Mobility Design</w:t>
      </w:r>
    </w:p>
    <w:p w14:paraId="597A3C75" w14:textId="76B74299" w:rsidR="0023006C" w:rsidRPr="0023006C" w:rsidRDefault="0023006C" w:rsidP="00B9201B">
      <w:pPr>
        <w:jc w:val="both"/>
        <w:rPr>
          <w:color w:val="000000"/>
          <w:sz w:val="24"/>
          <w:szCs w:val="24"/>
        </w:rPr>
      </w:pPr>
      <w:r w:rsidRPr="0023006C">
        <w:rPr>
          <w:color w:val="000000"/>
          <w:sz w:val="24"/>
          <w:szCs w:val="24"/>
        </w:rPr>
        <w:t>As highlighted at the opening of this section, older adults represent a rapidly growing share of the</w:t>
      </w:r>
      <w:r w:rsidR="007B6195">
        <w:rPr>
          <w:color w:val="000000"/>
          <w:sz w:val="24"/>
          <w:szCs w:val="24"/>
        </w:rPr>
        <w:t xml:space="preserve"> worldwide</w:t>
      </w:r>
      <w:r w:rsidRPr="0023006C">
        <w:rPr>
          <w:color w:val="000000"/>
          <w:sz w:val="24"/>
          <w:szCs w:val="24"/>
        </w:rPr>
        <w:t xml:space="preserve"> population, and active living is among the most important contributors to physical and mental health and quality of life in later life. For many older adults, walking is a principal source of daily physical activity, supporting the strength, balance, and cognitive engagement that underpin independent living</w:t>
      </w:r>
      <w:r w:rsidR="007B0AB3">
        <w:rPr>
          <w:color w:val="000000"/>
          <w:sz w:val="24"/>
          <w:szCs w:val="24"/>
        </w:rPr>
        <w:t xml:space="preserve"> </w:t>
      </w:r>
      <w:sdt>
        <w:sdtPr>
          <w:rPr>
            <w:color w:val="000000"/>
            <w:sz w:val="24"/>
            <w:szCs w:val="24"/>
          </w:rPr>
          <w:tag w:val="MENDELEY_CITATION_v3_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"/>
          <w:id w:val="1375501184"/>
          <w:placeholder>
            <w:docPart w:val="DefaultPlaceholder_-1854013440"/>
          </w:placeholder>
        </w:sdtPr>
        <w:sdtEndPr/>
        <w:sdtContent>
          <w:r w:rsidR="000C5DDA" w:rsidRPr="000C5DDA">
            <w:rPr>
              <w:color w:val="000000"/>
              <w:sz w:val="24"/>
              <w:szCs w:val="24"/>
            </w:rPr>
            <w:t>(Bauman et al., 2016)</w:t>
          </w:r>
        </w:sdtContent>
      </w:sdt>
      <w:r w:rsidRPr="0023006C">
        <w:rPr>
          <w:color w:val="000000"/>
          <w:sz w:val="24"/>
          <w:szCs w:val="24"/>
        </w:rPr>
        <w:t>. The stakes of inactivity are also higher at older ages. Reduced mobility and safety concerns, particularly the fear of falling or getting hurt, can trigger a self-reinforcing cycle in which less walking diminishes physical capability, which in turn leads to even less walking</w:t>
      </w:r>
      <w:r w:rsidR="0073624E">
        <w:rPr>
          <w:color w:val="000000"/>
          <w:sz w:val="24"/>
          <w:szCs w:val="24"/>
        </w:rPr>
        <w:t xml:space="preserve"> </w:t>
      </w:r>
      <w:sdt>
        <w:sdtPr>
          <w:rPr>
            <w:color w:val="000000"/>
            <w:sz w:val="24"/>
            <w:szCs w:val="24"/>
          </w:rPr>
          <w:tag w:val="MENDELEY_CITATION_v3_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"/>
          <w:id w:val="1514334387"/>
          <w:placeholder>
            <w:docPart w:val="DefaultPlaceholder_-1854013440"/>
          </w:placeholder>
        </w:sdtPr>
        <w:sdtEndPr/>
        <w:sdtContent>
          <w:r w:rsidR="000C5DDA" w:rsidRPr="000C5DDA">
            <w:rPr>
              <w:color w:val="000000"/>
              <w:sz w:val="24"/>
              <w:szCs w:val="24"/>
            </w:rPr>
            <w:t>(Freiberger et al., 2020)</w:t>
          </w:r>
        </w:sdtContent>
      </w:sdt>
      <w:r w:rsidRPr="0023006C">
        <w:rPr>
          <w:color w:val="000000"/>
          <w:sz w:val="24"/>
          <w:szCs w:val="24"/>
        </w:rPr>
        <w:t>. Keeping older adults engaged in active travel is therefore not simply a matter of mode choice, but a means of interrupting this downward spiral before it takes hold.</w:t>
      </w:r>
    </w:p>
    <w:p w14:paraId="416E2FD7" w14:textId="46A87637" w:rsidR="0023006C" w:rsidRPr="0023006C" w:rsidRDefault="0023006C" w:rsidP="00B9201B">
      <w:pPr>
        <w:ind w:firstLine="720"/>
        <w:jc w:val="both"/>
        <w:rPr>
          <w:color w:val="000000"/>
          <w:sz w:val="24"/>
          <w:szCs w:val="24"/>
        </w:rPr>
      </w:pPr>
      <w:r w:rsidRPr="0023006C">
        <w:rPr>
          <w:color w:val="000000"/>
          <w:sz w:val="24"/>
          <w:szCs w:val="24"/>
        </w:rPr>
        <w:t xml:space="preserve">Our ATE results underscore how steep the age gradient is. Age has the largest effect on the probability of being an NRAT of any exogenous variable in the model. The prevalence of NRAT status is essentially unchanged between adults aged 25 to 44 and the youngest adults, but is roughly 73% higher among those aged 45 to 64, more than twice as high among those aged 65 to 74, and nearly three times as high among those aged 75 and older. In sharp contrast, the prevalence of the specific barriers varies little with age. Adults aged 25 to 64 cite trip-length mismatch about a fifth less often than the youngest adults, while those aged 75 and older cite insufficient lighting and distracted drivers substantially less often, consistent with the more discretionary schedules that allow older adults to avoid nighttime and peak-period travel (see Section 4.2). </w:t>
      </w:r>
      <w:r w:rsidR="00686C71">
        <w:rPr>
          <w:color w:val="000000"/>
          <w:sz w:val="24"/>
          <w:szCs w:val="24"/>
        </w:rPr>
        <w:t>T</w:t>
      </w:r>
      <w:r w:rsidRPr="0023006C">
        <w:rPr>
          <w:color w:val="000000"/>
          <w:sz w:val="24"/>
          <w:szCs w:val="24"/>
        </w:rPr>
        <w:t>he implication</w:t>
      </w:r>
      <w:r w:rsidR="00686C71">
        <w:rPr>
          <w:color w:val="000000"/>
          <w:sz w:val="24"/>
          <w:szCs w:val="24"/>
        </w:rPr>
        <w:t>, then,</w:t>
      </w:r>
      <w:r w:rsidRPr="0023006C">
        <w:rPr>
          <w:color w:val="000000"/>
          <w:sz w:val="24"/>
          <w:szCs w:val="24"/>
        </w:rPr>
        <w:t xml:space="preserve"> is that what holds older adults back is not any single perceived feature of the travel environment, but rather the broader erosion of physical capability and </w:t>
      </w:r>
      <w:r w:rsidR="00FD0605">
        <w:rPr>
          <w:color w:val="000000"/>
          <w:sz w:val="24"/>
          <w:szCs w:val="24"/>
        </w:rPr>
        <w:t xml:space="preserve">mobility-related self-efficacy </w:t>
      </w:r>
      <w:r w:rsidRPr="0023006C">
        <w:rPr>
          <w:color w:val="000000"/>
          <w:sz w:val="24"/>
          <w:szCs w:val="24"/>
        </w:rPr>
        <w:t>that accompanies aging. Older adults, therefore, may be better served by broad mobility support and age-friendly design than by any one infrastructur</w:t>
      </w:r>
      <w:r w:rsidR="00AB512D">
        <w:rPr>
          <w:color w:val="000000"/>
          <w:sz w:val="24"/>
          <w:szCs w:val="24"/>
        </w:rPr>
        <w:t>e</w:t>
      </w:r>
      <w:r w:rsidRPr="0023006C">
        <w:rPr>
          <w:color w:val="000000"/>
          <w:sz w:val="24"/>
          <w:szCs w:val="24"/>
        </w:rPr>
        <w:t xml:space="preserve"> fix.</w:t>
      </w:r>
    </w:p>
    <w:p w14:paraId="3B2E350E" w14:textId="28813EC8" w:rsidR="0023006C" w:rsidRDefault="0023006C" w:rsidP="00B9201B">
      <w:pPr>
        <w:ind w:firstLine="720"/>
        <w:jc w:val="both"/>
        <w:rPr>
          <w:color w:val="000000"/>
          <w:sz w:val="24"/>
          <w:szCs w:val="24"/>
        </w:rPr>
      </w:pPr>
      <w:r w:rsidRPr="0023006C">
        <w:rPr>
          <w:color w:val="000000"/>
          <w:sz w:val="24"/>
          <w:szCs w:val="24"/>
        </w:rPr>
        <w:t>The appropriate actions accordingly span</w:t>
      </w:r>
      <w:r w:rsidR="00F77FF8">
        <w:rPr>
          <w:color w:val="000000"/>
          <w:sz w:val="24"/>
          <w:szCs w:val="24"/>
        </w:rPr>
        <w:t xml:space="preserve"> three f</w:t>
      </w:r>
      <w:r w:rsidR="00427CA7">
        <w:rPr>
          <w:color w:val="000000"/>
          <w:sz w:val="24"/>
          <w:szCs w:val="24"/>
        </w:rPr>
        <w:t>r</w:t>
      </w:r>
      <w:r w:rsidR="00F77FF8">
        <w:rPr>
          <w:color w:val="000000"/>
          <w:sz w:val="24"/>
          <w:szCs w:val="24"/>
        </w:rPr>
        <w:t xml:space="preserve">onts: </w:t>
      </w:r>
      <w:r w:rsidR="00F77FF8" w:rsidRPr="00F77FF8">
        <w:rPr>
          <w:color w:val="000000"/>
          <w:sz w:val="24"/>
          <w:szCs w:val="24"/>
        </w:rPr>
        <w:t>(1) physical design, (2) social support, and (3) technology, paralleling the strategies identified in</w:t>
      </w:r>
      <w:r w:rsidR="00F77FF8">
        <w:rPr>
          <w:color w:val="000000"/>
          <w:sz w:val="24"/>
          <w:szCs w:val="24"/>
        </w:rPr>
        <w:t xml:space="preserve"> </w:t>
      </w:r>
      <w:sdt>
        <w:sdtPr>
          <w:rPr>
            <w:color w:val="000000"/>
            <w:sz w:val="24"/>
            <w:szCs w:val="24"/>
          </w:rPr>
          <w:tag w:val="MENDELEY_CITATION_v3_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"/>
          <w:id w:val="-561945550"/>
          <w:placeholder>
            <w:docPart w:val="DefaultPlaceholder_-1854013440"/>
          </w:placeholder>
        </w:sdtPr>
        <w:sdtEndPr/>
        <w:sdtContent>
          <w:r w:rsidR="000C5DDA" w:rsidRPr="000C5DDA">
            <w:rPr>
              <w:color w:val="000000"/>
              <w:sz w:val="24"/>
              <w:szCs w:val="24"/>
            </w:rPr>
            <w:t>Hwang et al. (2025)</w:t>
          </w:r>
        </w:sdtContent>
      </w:sdt>
      <w:r w:rsidRPr="0023006C">
        <w:rPr>
          <w:color w:val="000000"/>
          <w:sz w:val="24"/>
          <w:szCs w:val="24"/>
        </w:rPr>
        <w:t>. On the</w:t>
      </w:r>
      <w:r w:rsidR="004442FB">
        <w:rPr>
          <w:color w:val="000000"/>
          <w:sz w:val="24"/>
          <w:szCs w:val="24"/>
        </w:rPr>
        <w:t xml:space="preserve"> </w:t>
      </w:r>
      <w:r w:rsidR="004442FB">
        <w:rPr>
          <w:color w:val="000000"/>
          <w:sz w:val="24"/>
          <w:szCs w:val="24"/>
        </w:rPr>
        <w:lastRenderedPageBreak/>
        <w:t>physical</w:t>
      </w:r>
      <w:r w:rsidRPr="0023006C">
        <w:rPr>
          <w:color w:val="000000"/>
          <w:sz w:val="24"/>
          <w:szCs w:val="24"/>
        </w:rPr>
        <w:t xml:space="preserve"> design front, agencies can extend pedestrian signal times to accommodate the slower walking speeds documented among older adults</w:t>
      </w:r>
      <w:r w:rsidR="009C7424">
        <w:rPr>
          <w:color w:val="000000"/>
          <w:sz w:val="24"/>
          <w:szCs w:val="24"/>
        </w:rPr>
        <w:t xml:space="preserve"> </w:t>
      </w:r>
      <w:sdt>
        <w:sdtPr>
          <w:rPr>
            <w:color w:val="000000"/>
            <w:sz w:val="24"/>
            <w:szCs w:val="24"/>
          </w:rPr>
          <w:tag w:val="MENDELEY_CITATION_v3_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"/>
          <w:id w:val="-1946139623"/>
          <w:placeholder>
            <w:docPart w:val="DefaultPlaceholder_-1854013440"/>
          </w:placeholder>
        </w:sdtPr>
        <w:sdtEndPr/>
        <w:sdtContent>
          <w:r w:rsidR="000C5DDA" w:rsidRPr="000C5DDA">
            <w:rPr>
              <w:color w:val="000000"/>
              <w:sz w:val="24"/>
              <w:szCs w:val="24"/>
            </w:rPr>
            <w:t>(Duim et al., 2017; Western et al., 2025)</w:t>
          </w:r>
        </w:sdtContent>
      </w:sdt>
      <w:r w:rsidRPr="0023006C">
        <w:rPr>
          <w:color w:val="000000"/>
          <w:sz w:val="24"/>
          <w:szCs w:val="24"/>
        </w:rPr>
        <w:t>, add median refuge islands at wide crossings, place benches and rest points at regular intervals along routes serving senior housing and medical destinations, maintain smooth walking surfaces free of tripping hazards, ensure adequate lighting, and locate everyday services near concentrations of older residents so that trip distances remain within comfortable walking range</w:t>
      </w:r>
      <w:r w:rsidR="009C7424">
        <w:rPr>
          <w:color w:val="000000"/>
          <w:sz w:val="24"/>
          <w:szCs w:val="24"/>
        </w:rPr>
        <w:t xml:space="preserve"> </w:t>
      </w:r>
      <w:sdt>
        <w:sdtPr>
          <w:rPr>
            <w:color w:val="000000"/>
            <w:sz w:val="24"/>
            <w:szCs w:val="24"/>
          </w:rPr>
          <w:tag w:val="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"/>
          <w:id w:val="270672372"/>
          <w:placeholder>
            <w:docPart w:val="DefaultPlaceholder_-1854013440"/>
          </w:placeholder>
        </w:sdtPr>
        <w:sdtEndPr/>
        <w:sdtContent>
          <w:r w:rsidR="000C5DDA" w:rsidRPr="000C5DDA">
            <w:rPr>
              <w:color w:val="000000"/>
              <w:sz w:val="24"/>
              <w:szCs w:val="24"/>
            </w:rPr>
            <w:t>(Cerin et al., 2017; Stearns et al., 2023)</w:t>
          </w:r>
        </w:sdtContent>
      </w:sdt>
      <w:r w:rsidRPr="0023006C">
        <w:rPr>
          <w:color w:val="000000"/>
          <w:sz w:val="24"/>
          <w:szCs w:val="24"/>
        </w:rPr>
        <w:t xml:space="preserve">. Similar attention to parks and community spaces, with flat and well-maintained paths, gentle inclines, and ample seating, provides secure and inviting settings for recreational walking </w:t>
      </w:r>
      <w:sdt>
        <w:sdtPr>
          <w:rPr>
            <w:color w:val="000000"/>
            <w:sz w:val="24"/>
            <w:szCs w:val="24"/>
          </w:rPr>
          <w:tag w:val="MENDELEY_CITATION_v3_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"/>
          <w:id w:val="2029828596"/>
          <w:placeholder>
            <w:docPart w:val="DefaultPlaceholder_-1854013440"/>
          </w:placeholder>
        </w:sdtPr>
        <w:sdtEndPr/>
        <w:sdtContent>
          <w:r w:rsidR="000C5DDA" w:rsidRPr="000C5DDA">
            <w:rPr>
              <w:color w:val="000000"/>
              <w:sz w:val="24"/>
              <w:szCs w:val="24"/>
            </w:rPr>
            <w:t>(Veitch et al., 2020)</w:t>
          </w:r>
        </w:sdtContent>
      </w:sdt>
      <w:r w:rsidRPr="0023006C">
        <w:rPr>
          <w:color w:val="000000"/>
          <w:sz w:val="24"/>
          <w:szCs w:val="24"/>
        </w:rPr>
        <w:t>. On the social</w:t>
      </w:r>
      <w:r w:rsidR="00482673">
        <w:rPr>
          <w:color w:val="000000"/>
          <w:sz w:val="24"/>
          <w:szCs w:val="24"/>
        </w:rPr>
        <w:t xml:space="preserve"> support</w:t>
      </w:r>
      <w:r w:rsidRPr="0023006C">
        <w:rPr>
          <w:color w:val="000000"/>
          <w:sz w:val="24"/>
          <w:szCs w:val="24"/>
        </w:rPr>
        <w:t xml:space="preserve"> front, group walking programs and buddy systems, organized through partnerships among senior centers, parks and recreation departments, and healthcare providers, directly address the confidence and security concerns that discourage walking alone, while providing the companionship, guidance on safe and accessible routes, and accountability that sustain an active routine</w:t>
      </w:r>
      <w:r w:rsidR="00AB2F71">
        <w:rPr>
          <w:color w:val="000000"/>
          <w:sz w:val="24"/>
          <w:szCs w:val="24"/>
        </w:rPr>
        <w:t xml:space="preserve"> </w:t>
      </w:r>
      <w:sdt>
        <w:sdtPr>
          <w:rPr>
            <w:color w:val="000000"/>
            <w:sz w:val="24"/>
            <w:szCs w:val="24"/>
          </w:rPr>
          <w:tag w:val="MENDELEY_CITATION_v3_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"/>
          <w:id w:val="-953562626"/>
          <w:placeholder>
            <w:docPart w:val="DefaultPlaceholder_-1854013440"/>
          </w:placeholder>
        </w:sdtPr>
        <w:sdtEndPr/>
        <w:sdtContent>
          <w:r w:rsidR="000C5DDA" w:rsidRPr="000C5DDA">
            <w:rPr>
              <w:color w:val="000000"/>
              <w:sz w:val="24"/>
              <w:szCs w:val="24"/>
            </w:rPr>
            <w:t>(Hwang et al., 2025)</w:t>
          </w:r>
        </w:sdtContent>
      </w:sdt>
      <w:r w:rsidRPr="0023006C">
        <w:rPr>
          <w:color w:val="000000"/>
          <w:sz w:val="24"/>
          <w:szCs w:val="24"/>
        </w:rPr>
        <w:t>. Travel-training and escorted-trip programs can further ease the transition to active and transit modes for those uncertain about navigating them alone</w:t>
      </w:r>
      <w:r w:rsidR="004F40B5">
        <w:rPr>
          <w:color w:val="000000"/>
          <w:sz w:val="24"/>
          <w:szCs w:val="24"/>
        </w:rPr>
        <w:t xml:space="preserve"> </w:t>
      </w:r>
      <w:sdt>
        <w:sdtPr>
          <w:rPr>
            <w:color w:val="000000"/>
            <w:sz w:val="24"/>
            <w:szCs w:val="24"/>
          </w:rPr>
          <w:tag w:val="MENDELEY_CITATION_v3_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"/>
          <w:id w:val="-684827512"/>
          <w:placeholder>
            <w:docPart w:val="DefaultPlaceholder_-1854013440"/>
          </w:placeholder>
        </w:sdtPr>
        <w:sdtEndPr/>
        <w:sdtContent>
          <w:r w:rsidR="000C5DDA" w:rsidRPr="000C5DDA">
            <w:rPr>
              <w:color w:val="000000"/>
              <w:sz w:val="24"/>
              <w:szCs w:val="24"/>
            </w:rPr>
            <w:t>(Mwaka et al., 2026)</w:t>
          </w:r>
        </w:sdtContent>
      </w:sdt>
      <w:r w:rsidRPr="0023006C">
        <w:rPr>
          <w:color w:val="000000"/>
          <w:sz w:val="24"/>
          <w:szCs w:val="24"/>
        </w:rPr>
        <w:t>.</w:t>
      </w:r>
      <w:r w:rsidR="00C32EE7">
        <w:rPr>
          <w:color w:val="000000"/>
          <w:sz w:val="24"/>
          <w:szCs w:val="24"/>
        </w:rPr>
        <w:t xml:space="preserve"> </w:t>
      </w:r>
      <w:r w:rsidR="00C32EE7" w:rsidRPr="00C32EE7">
        <w:rPr>
          <w:color w:val="000000"/>
          <w:sz w:val="24"/>
          <w:szCs w:val="24"/>
        </w:rPr>
        <w:t>On the technology front, wearable devices that detect falls and summon help can ease the safety fears that keep some older adults indoors, and device-lending or subsidy programs can put them within reach of those who would not otherwise acquire them</w:t>
      </w:r>
      <w:r w:rsidR="00884B0F">
        <w:rPr>
          <w:color w:val="000000"/>
          <w:sz w:val="24"/>
          <w:szCs w:val="24"/>
        </w:rPr>
        <w:t>.</w:t>
      </w:r>
      <w:r w:rsidRPr="0023006C">
        <w:rPr>
          <w:color w:val="000000"/>
          <w:sz w:val="24"/>
          <w:szCs w:val="24"/>
        </w:rPr>
        <w:t xml:space="preserve"> Senior centers, area agencies on aging, healthcare providers, and transit agencies are well positioned to deliver these measures, and the age-friendly community frameworks already adopted by many U.S. jurisdictions offer a ready institutional vehicle for coordinating them</w:t>
      </w:r>
      <w:r w:rsidR="004F40B5">
        <w:rPr>
          <w:color w:val="000000"/>
          <w:sz w:val="24"/>
          <w:szCs w:val="24"/>
        </w:rPr>
        <w:t xml:space="preserve"> </w:t>
      </w:r>
      <w:sdt>
        <w:sdtPr>
          <w:rPr>
            <w:color w:val="000000"/>
            <w:sz w:val="24"/>
            <w:szCs w:val="24"/>
          </w:rPr>
          <w:tag w:val="MENDELEY_CITATION_v3_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"/>
          <w:id w:val="1297721839"/>
          <w:placeholder>
            <w:docPart w:val="DefaultPlaceholder_-1854013440"/>
          </w:placeholder>
        </w:sdtPr>
        <w:sdtEndPr/>
        <w:sdtContent>
          <w:r w:rsidR="000C5DDA" w:rsidRPr="000C5DDA">
            <w:rPr>
              <w:color w:val="000000"/>
              <w:sz w:val="24"/>
            </w:rPr>
            <w:t>(Forsyth and Lyu, 2024)</w:t>
          </w:r>
        </w:sdtContent>
      </w:sdt>
      <w:r w:rsidRPr="0023006C">
        <w:rPr>
          <w:color w:val="000000"/>
          <w:sz w:val="24"/>
          <w:szCs w:val="24"/>
        </w:rPr>
        <w:t>.</w:t>
      </w:r>
    </w:p>
    <w:p w14:paraId="01523F40" w14:textId="77777777" w:rsidR="00B9201B" w:rsidRPr="0023006C" w:rsidRDefault="00B9201B" w:rsidP="00B9201B">
      <w:pPr>
        <w:ind w:firstLine="720"/>
        <w:jc w:val="both"/>
        <w:rPr>
          <w:color w:val="000000"/>
          <w:sz w:val="24"/>
          <w:szCs w:val="24"/>
        </w:rPr>
      </w:pPr>
    </w:p>
    <w:p w14:paraId="3FFFACFC" w14:textId="70058C23" w:rsidR="00F3518C" w:rsidRPr="00390142" w:rsidRDefault="00C4351C" w:rsidP="00B9201B">
      <w:pPr>
        <w:rPr>
          <w:b/>
          <w:bCs/>
          <w:sz w:val="24"/>
          <w:szCs w:val="24"/>
        </w:rPr>
      </w:pPr>
      <w:r w:rsidRPr="00390142">
        <w:rPr>
          <w:b/>
          <w:bCs/>
          <w:sz w:val="24"/>
          <w:szCs w:val="24"/>
        </w:rPr>
        <w:t>6</w:t>
      </w:r>
      <w:r w:rsidR="00B910C8" w:rsidRPr="00390142">
        <w:rPr>
          <w:b/>
          <w:bCs/>
          <w:sz w:val="24"/>
          <w:szCs w:val="24"/>
        </w:rPr>
        <w:t xml:space="preserve">. </w:t>
      </w:r>
      <w:r w:rsidR="00390142">
        <w:rPr>
          <w:b/>
          <w:bCs/>
          <w:sz w:val="24"/>
          <w:szCs w:val="24"/>
        </w:rPr>
        <w:t>CONCLUSION</w:t>
      </w:r>
    </w:p>
    <w:p w14:paraId="303A1F77" w14:textId="6BCB8A0B" w:rsidR="00931AD8" w:rsidRPr="00931AD8" w:rsidRDefault="00931AD8" w:rsidP="00B9201B">
      <w:pPr>
        <w:jc w:val="both"/>
        <w:rPr>
          <w:color w:val="000000"/>
          <w:sz w:val="24"/>
          <w:szCs w:val="24"/>
        </w:rPr>
      </w:pPr>
      <w:r w:rsidRPr="00931AD8">
        <w:rPr>
          <w:color w:val="000000"/>
          <w:sz w:val="24"/>
          <w:szCs w:val="24"/>
        </w:rPr>
        <w:t xml:space="preserve">This study has investigated why a substantial segment of the U.S. adult population never or rarely </w:t>
      </w:r>
      <w:r w:rsidR="00356C0C">
        <w:rPr>
          <w:color w:val="000000"/>
          <w:sz w:val="24"/>
          <w:szCs w:val="24"/>
        </w:rPr>
        <w:t>uses active modes for travel</w:t>
      </w:r>
      <w:r w:rsidRPr="00931AD8">
        <w:rPr>
          <w:color w:val="000000"/>
          <w:sz w:val="24"/>
          <w:szCs w:val="24"/>
        </w:rPr>
        <w:t>, and</w:t>
      </w:r>
      <w:r w:rsidR="00356C0C">
        <w:rPr>
          <w:color w:val="000000"/>
          <w:sz w:val="24"/>
          <w:szCs w:val="24"/>
        </w:rPr>
        <w:t xml:space="preserve"> the </w:t>
      </w:r>
      <w:r w:rsidRPr="00931AD8">
        <w:rPr>
          <w:color w:val="000000"/>
          <w:sz w:val="24"/>
          <w:szCs w:val="24"/>
        </w:rPr>
        <w:t xml:space="preserve">specific perceived concerns </w:t>
      </w:r>
      <w:r w:rsidR="00356C0C">
        <w:rPr>
          <w:color w:val="000000"/>
          <w:sz w:val="24"/>
          <w:szCs w:val="24"/>
        </w:rPr>
        <w:t xml:space="preserve">that </w:t>
      </w:r>
      <w:r w:rsidRPr="00931AD8">
        <w:rPr>
          <w:color w:val="000000"/>
          <w:sz w:val="24"/>
          <w:szCs w:val="24"/>
        </w:rPr>
        <w:t>underlie th</w:t>
      </w:r>
      <w:r w:rsidR="00356C0C">
        <w:rPr>
          <w:color w:val="000000"/>
          <w:sz w:val="24"/>
          <w:szCs w:val="24"/>
        </w:rPr>
        <w:t xml:space="preserve">is non-use or </w:t>
      </w:r>
      <w:r w:rsidRPr="00931AD8">
        <w:rPr>
          <w:color w:val="000000"/>
          <w:sz w:val="24"/>
          <w:szCs w:val="24"/>
        </w:rPr>
        <w:t xml:space="preserve">low use. The analysis draws on the second wave of the THA Survey, fielded in February and March 2026 with quota controls designed to approximate the composition of the U.S. adult population, yielding a final estimation sample of 8,273 adults after appending residential </w:t>
      </w:r>
      <w:r w:rsidR="00D80172">
        <w:rPr>
          <w:color w:val="000000"/>
          <w:sz w:val="24"/>
          <w:szCs w:val="24"/>
        </w:rPr>
        <w:t>BE</w:t>
      </w:r>
      <w:r w:rsidRPr="00931AD8">
        <w:rPr>
          <w:color w:val="000000"/>
          <w:sz w:val="24"/>
          <w:szCs w:val="24"/>
        </w:rPr>
        <w:t xml:space="preserve"> measures from the EPA Smart Location Database. A multivariate binary probit model is employed to identify the population</w:t>
      </w:r>
      <w:r w:rsidR="00356C0C">
        <w:rPr>
          <w:color w:val="000000"/>
          <w:sz w:val="24"/>
          <w:szCs w:val="24"/>
        </w:rPr>
        <w:t xml:space="preserve"> groups</w:t>
      </w:r>
      <w:r w:rsidRPr="00931AD8">
        <w:rPr>
          <w:color w:val="000000"/>
          <w:sz w:val="24"/>
          <w:szCs w:val="24"/>
        </w:rPr>
        <w:t xml:space="preserve"> who are </w:t>
      </w:r>
      <w:r w:rsidR="00356C0C">
        <w:rPr>
          <w:color w:val="000000"/>
          <w:sz w:val="24"/>
          <w:szCs w:val="24"/>
        </w:rPr>
        <w:t xml:space="preserve">more likely to be </w:t>
      </w:r>
      <w:r w:rsidRPr="00931AD8">
        <w:rPr>
          <w:color w:val="000000"/>
          <w:sz w:val="24"/>
          <w:szCs w:val="24"/>
        </w:rPr>
        <w:t>NRATs</w:t>
      </w:r>
      <w:r w:rsidR="00356C0C">
        <w:rPr>
          <w:color w:val="000000"/>
          <w:sz w:val="24"/>
          <w:szCs w:val="24"/>
        </w:rPr>
        <w:t>,</w:t>
      </w:r>
      <w:r w:rsidRPr="00931AD8">
        <w:rPr>
          <w:color w:val="000000"/>
          <w:sz w:val="24"/>
          <w:szCs w:val="24"/>
        </w:rPr>
        <w:t xml:space="preserve"> as well as the specific barriers that lead to low levels of active travel uptake among</w:t>
      </w:r>
      <w:r w:rsidR="00356C0C">
        <w:rPr>
          <w:color w:val="000000"/>
          <w:sz w:val="24"/>
          <w:szCs w:val="24"/>
        </w:rPr>
        <w:t xml:space="preserve"> these </w:t>
      </w:r>
      <w:r w:rsidRPr="00931AD8">
        <w:rPr>
          <w:color w:val="000000"/>
          <w:sz w:val="24"/>
          <w:szCs w:val="24"/>
        </w:rPr>
        <w:t>group</w:t>
      </w:r>
      <w:r w:rsidR="00356C0C">
        <w:rPr>
          <w:color w:val="000000"/>
          <w:sz w:val="24"/>
          <w:szCs w:val="24"/>
        </w:rPr>
        <w:t>s</w:t>
      </w:r>
      <w:r w:rsidRPr="00931AD8">
        <w:rPr>
          <w:color w:val="000000"/>
          <w:sz w:val="24"/>
          <w:szCs w:val="24"/>
        </w:rPr>
        <w:t xml:space="preserve">. We consider seven different barriers spanning infrastructural deficiencies, traffic safety, personal security, and practical constraints. The joint estimation accommodates unobserved correlations between the propensity to be an NRAT and </w:t>
      </w:r>
      <w:r w:rsidR="00356C0C">
        <w:rPr>
          <w:color w:val="000000"/>
          <w:sz w:val="24"/>
          <w:szCs w:val="24"/>
        </w:rPr>
        <w:t xml:space="preserve">the propensity to cite </w:t>
      </w:r>
      <w:r w:rsidRPr="00931AD8">
        <w:rPr>
          <w:color w:val="000000"/>
          <w:sz w:val="24"/>
          <w:szCs w:val="24"/>
        </w:rPr>
        <w:t>each barrier, allowing barrier propensities to be recovered for the population as a whole rather than only for the self-selected group that reports them, and ATEs translate the estimates into policy-relevant magnitudes.</w:t>
      </w:r>
    </w:p>
    <w:p w14:paraId="40D5E94E" w14:textId="3F6820DE" w:rsidR="00931AD8" w:rsidRDefault="00100EE8" w:rsidP="00B9201B">
      <w:pPr>
        <w:ind w:firstLine="720"/>
        <w:jc w:val="both"/>
        <w:rPr>
          <w:color w:val="000000"/>
          <w:sz w:val="24"/>
          <w:szCs w:val="24"/>
        </w:rPr>
      </w:pPr>
      <w:r w:rsidRPr="00100EE8">
        <w:rPr>
          <w:color w:val="000000"/>
          <w:sz w:val="24"/>
          <w:szCs w:val="24"/>
        </w:rPr>
        <w:t>The findings suggest that infrequent use of active travel is concentrated among women, older adults, non-employed individuals, and members of vehicle-sufficient households. The prevalence of the specific barriers, however, varies substantially across the population, and in ways that aggregate shares conceal. Women and renters, for example, report far greater concern about loitering or threatening behavior than their counterparts despite the low aggregate prevalence of that barrier, and Hispanic respondents report elevated concerns related to insufficient lighting and personal security. Residential BE characteristics, with the exceptions of the neighborhood socio-economic profile and the National Walkability Index, have a modest influence on whether someone is an NRAT, but they substantially shape the barriers that are reported. The findings underscore the need for a differentiated policy agenda in which</w:t>
      </w:r>
      <w:r w:rsidR="00356C0C">
        <w:rPr>
          <w:color w:val="000000"/>
          <w:sz w:val="24"/>
          <w:szCs w:val="24"/>
        </w:rPr>
        <w:t xml:space="preserve"> intervention instruments </w:t>
      </w:r>
      <w:r w:rsidRPr="00100EE8">
        <w:rPr>
          <w:color w:val="000000"/>
          <w:sz w:val="24"/>
          <w:szCs w:val="24"/>
        </w:rPr>
        <w:t xml:space="preserve">are </w:t>
      </w:r>
      <w:r w:rsidRPr="00100EE8">
        <w:rPr>
          <w:color w:val="000000"/>
          <w:sz w:val="24"/>
          <w:szCs w:val="24"/>
        </w:rPr>
        <w:lastRenderedPageBreak/>
        <w:t xml:space="preserve">matched to the populations and barriers they are best placed to address. By tailoring interventions in this way, planners and policymakers can make active travel a realistic option for those </w:t>
      </w:r>
      <w:r w:rsidR="00356C0C">
        <w:rPr>
          <w:color w:val="000000"/>
          <w:sz w:val="24"/>
          <w:szCs w:val="24"/>
        </w:rPr>
        <w:t xml:space="preserve">who </w:t>
      </w:r>
      <w:r w:rsidRPr="00100EE8">
        <w:rPr>
          <w:color w:val="000000"/>
          <w:sz w:val="24"/>
          <w:szCs w:val="24"/>
        </w:rPr>
        <w:t xml:space="preserve">currently </w:t>
      </w:r>
      <w:r w:rsidR="00356C0C">
        <w:rPr>
          <w:color w:val="000000"/>
          <w:sz w:val="24"/>
          <w:szCs w:val="24"/>
        </w:rPr>
        <w:t xml:space="preserve">rarely use active modes, </w:t>
      </w:r>
      <w:r w:rsidRPr="00100EE8">
        <w:rPr>
          <w:color w:val="000000"/>
          <w:sz w:val="24"/>
          <w:szCs w:val="24"/>
        </w:rPr>
        <w:t xml:space="preserve">while </w:t>
      </w:r>
      <w:r w:rsidR="00356C0C">
        <w:rPr>
          <w:color w:val="000000"/>
          <w:sz w:val="24"/>
          <w:szCs w:val="24"/>
        </w:rPr>
        <w:t xml:space="preserve">also </w:t>
      </w:r>
      <w:r w:rsidRPr="00100EE8">
        <w:rPr>
          <w:color w:val="000000"/>
          <w:sz w:val="24"/>
          <w:szCs w:val="24"/>
        </w:rPr>
        <w:t xml:space="preserve">improving the everyday experience of those who already </w:t>
      </w:r>
      <w:r w:rsidR="00356C0C">
        <w:rPr>
          <w:color w:val="000000"/>
          <w:sz w:val="24"/>
          <w:szCs w:val="24"/>
        </w:rPr>
        <w:t xml:space="preserve">use active modes </w:t>
      </w:r>
      <w:r w:rsidRPr="00100EE8">
        <w:rPr>
          <w:color w:val="000000"/>
          <w:sz w:val="24"/>
          <w:szCs w:val="24"/>
        </w:rPr>
        <w:t>despite the barriers they perceive</w:t>
      </w:r>
      <w:r w:rsidR="00931AD8" w:rsidRPr="00931AD8">
        <w:rPr>
          <w:color w:val="000000"/>
          <w:sz w:val="24"/>
          <w:szCs w:val="24"/>
        </w:rPr>
        <w:t>.</w:t>
      </w:r>
    </w:p>
    <w:p w14:paraId="2A9408FE" w14:textId="4B511D64" w:rsidR="00AA1D2D" w:rsidRDefault="00AA1D2D" w:rsidP="00B9201B">
      <w:pPr>
        <w:ind w:firstLine="720"/>
        <w:jc w:val="both"/>
        <w:rPr>
          <w:color w:val="000000"/>
          <w:sz w:val="24"/>
          <w:szCs w:val="24"/>
        </w:rPr>
      </w:pPr>
      <w:r w:rsidRPr="00922E64">
        <w:rPr>
          <w:color w:val="000000"/>
          <w:sz w:val="24"/>
          <w:szCs w:val="24"/>
        </w:rPr>
        <w:t xml:space="preserve">The research in this study may be advanced in several directions. </w:t>
      </w:r>
      <w:r w:rsidRPr="00922E64">
        <w:rPr>
          <w:color w:val="000000"/>
          <w:sz w:val="24"/>
          <w:szCs w:val="24"/>
          <w:u w:val="single"/>
        </w:rPr>
        <w:t>First</w:t>
      </w:r>
      <w:r w:rsidRPr="00922E64">
        <w:rPr>
          <w:color w:val="000000"/>
          <w:sz w:val="24"/>
          <w:szCs w:val="24"/>
        </w:rPr>
        <w:t xml:space="preserve">, the barrier outcomes record the concerns respondents report rather than their measured environmental exposures, and future studies that pair the two, for example by matching reported concerns to audited or GPS-derived conditions along the routes respondents actually face, would sharpen the link between perceived barriers and the infrastructure and policy levers meant to address them. </w:t>
      </w:r>
      <w:r w:rsidRPr="00922E64">
        <w:rPr>
          <w:color w:val="000000"/>
          <w:sz w:val="24"/>
          <w:szCs w:val="24"/>
          <w:u w:val="single"/>
        </w:rPr>
        <w:t>Second</w:t>
      </w:r>
      <w:r w:rsidRPr="00922E64">
        <w:rPr>
          <w:color w:val="000000"/>
          <w:sz w:val="24"/>
          <w:szCs w:val="24"/>
        </w:rPr>
        <w:t xml:space="preserve">, </w:t>
      </w:r>
      <w:r w:rsidR="00356C0C">
        <w:rPr>
          <w:color w:val="000000"/>
          <w:sz w:val="24"/>
          <w:szCs w:val="24"/>
        </w:rPr>
        <w:t xml:space="preserve">data collected at a single point in time </w:t>
      </w:r>
      <w:r w:rsidRPr="00922E64">
        <w:rPr>
          <w:color w:val="000000"/>
          <w:sz w:val="24"/>
          <w:szCs w:val="24"/>
        </w:rPr>
        <w:t>cannot</w:t>
      </w:r>
      <w:r w:rsidR="00356C0C">
        <w:rPr>
          <w:color w:val="000000"/>
          <w:sz w:val="24"/>
          <w:szCs w:val="24"/>
        </w:rPr>
        <w:t xml:space="preserve"> reveal </w:t>
      </w:r>
      <w:r w:rsidR="00356C0C" w:rsidRPr="00922E64">
        <w:rPr>
          <w:color w:val="000000"/>
          <w:sz w:val="24"/>
          <w:szCs w:val="24"/>
        </w:rPr>
        <w:t>whether specific in</w:t>
      </w:r>
      <w:r w:rsidR="00391625">
        <w:rPr>
          <w:color w:val="000000"/>
          <w:sz w:val="24"/>
          <w:szCs w:val="24"/>
        </w:rPr>
        <w:t>terventions</w:t>
      </w:r>
      <w:r w:rsidR="00356C0C" w:rsidRPr="00922E64">
        <w:rPr>
          <w:color w:val="000000"/>
          <w:sz w:val="24"/>
          <w:szCs w:val="24"/>
        </w:rPr>
        <w:t xml:space="preserve"> of the kind proposed </w:t>
      </w:r>
      <w:r w:rsidR="00356C0C">
        <w:rPr>
          <w:color w:val="000000"/>
          <w:sz w:val="24"/>
          <w:szCs w:val="24"/>
        </w:rPr>
        <w:t xml:space="preserve">in the paper </w:t>
      </w:r>
      <w:r w:rsidR="00356C0C" w:rsidRPr="00922E64">
        <w:rPr>
          <w:color w:val="000000"/>
          <w:sz w:val="24"/>
          <w:szCs w:val="24"/>
        </w:rPr>
        <w:t xml:space="preserve">actually shift the barrier perceptions they target. </w:t>
      </w:r>
      <w:r w:rsidR="00391625">
        <w:rPr>
          <w:color w:val="000000"/>
          <w:sz w:val="24"/>
          <w:szCs w:val="24"/>
        </w:rPr>
        <w:t xml:space="preserve">Such evaluations will require before-after intervention data, followed by analysis with very careful controls for other evolving conditions between the before and after periods. </w:t>
      </w:r>
      <w:r w:rsidRPr="00922E64">
        <w:rPr>
          <w:color w:val="000000"/>
          <w:sz w:val="24"/>
          <w:szCs w:val="24"/>
          <w:u w:val="single"/>
        </w:rPr>
        <w:t>Third</w:t>
      </w:r>
      <w:r w:rsidRPr="00922E64">
        <w:rPr>
          <w:color w:val="000000"/>
          <w:sz w:val="24"/>
          <w:szCs w:val="24"/>
        </w:rPr>
        <w:t xml:space="preserve">, a security-related barrier involving interactions with law enforcement or security officers was cited by too few respondents to estimate reliably and was set aside despite its distinct equity implications, so future data collection should deliberately reach the populations most likely to experience it. </w:t>
      </w:r>
      <w:r w:rsidRPr="00922E64">
        <w:rPr>
          <w:color w:val="000000"/>
          <w:sz w:val="24"/>
          <w:szCs w:val="24"/>
          <w:u w:val="single"/>
        </w:rPr>
        <w:t>Finally</w:t>
      </w:r>
      <w:r w:rsidRPr="00922E64">
        <w:rPr>
          <w:color w:val="000000"/>
          <w:sz w:val="24"/>
          <w:szCs w:val="24"/>
        </w:rPr>
        <w:t>, the data reveal which barriers accompany infrequent use but not how active travelers adapt to them, and surveys that directly measure coping behaviors, such as rerouting, retiming trips, or traveling with companions, would show how active travel is sustained under conditions this study can only show to be present.</w:t>
      </w:r>
    </w:p>
    <w:p w14:paraId="01E16671" w14:textId="77777777" w:rsidR="00B9201B" w:rsidRPr="00931AD8" w:rsidRDefault="00B9201B" w:rsidP="00B9201B">
      <w:pPr>
        <w:ind w:firstLine="720"/>
        <w:jc w:val="both"/>
        <w:rPr>
          <w:color w:val="000000"/>
          <w:sz w:val="24"/>
          <w:szCs w:val="24"/>
        </w:rPr>
      </w:pPr>
    </w:p>
    <w:p w14:paraId="60725351" w14:textId="5FC5D8F4" w:rsidR="000026CE" w:rsidRPr="00390142" w:rsidRDefault="00390142" w:rsidP="00B9201B">
      <w:pPr>
        <w:rPr>
          <w:b/>
          <w:bCs/>
          <w:sz w:val="24"/>
          <w:szCs w:val="24"/>
        </w:rPr>
      </w:pPr>
      <w:r>
        <w:rPr>
          <w:b/>
          <w:bCs/>
          <w:sz w:val="24"/>
          <w:szCs w:val="24"/>
        </w:rPr>
        <w:t>ACKNOWLEDGEMENTS</w:t>
      </w:r>
    </w:p>
    <w:p w14:paraId="78ECF87D" w14:textId="3F23A536" w:rsidR="00BE112E" w:rsidRDefault="007758E5" w:rsidP="00B9201B">
      <w:pPr>
        <w:pStyle w:val="FootnoteText"/>
        <w:jc w:val="both"/>
        <w:rPr>
          <w:color w:val="000000"/>
          <w:sz w:val="24"/>
          <w:szCs w:val="24"/>
        </w:rPr>
      </w:pPr>
      <w:r w:rsidRPr="007758E5">
        <w:rPr>
          <w:color w:val="000000"/>
          <w:sz w:val="24"/>
          <w:szCs w:val="24"/>
        </w:rPr>
        <w:t>This research was partially supported by the Center for Understanding Future Travel Behavior and</w:t>
      </w:r>
      <w:r>
        <w:rPr>
          <w:color w:val="000000"/>
          <w:sz w:val="24"/>
          <w:szCs w:val="24"/>
        </w:rPr>
        <w:t xml:space="preserve"> </w:t>
      </w:r>
      <w:r w:rsidRPr="007758E5">
        <w:rPr>
          <w:color w:val="000000"/>
          <w:sz w:val="24"/>
          <w:szCs w:val="24"/>
        </w:rPr>
        <w:t>Demand</w:t>
      </w:r>
      <w:r w:rsidR="00792217">
        <w:rPr>
          <w:color w:val="000000"/>
          <w:sz w:val="24"/>
          <w:szCs w:val="24"/>
        </w:rPr>
        <w:t xml:space="preserve"> (TBD)</w:t>
      </w:r>
      <w:r w:rsidRPr="007758E5">
        <w:rPr>
          <w:color w:val="000000"/>
          <w:sz w:val="24"/>
          <w:szCs w:val="24"/>
        </w:rPr>
        <w:t>, a National University Transportation Center sponsored by the U</w:t>
      </w:r>
      <w:r w:rsidR="00132069">
        <w:rPr>
          <w:color w:val="000000"/>
          <w:sz w:val="24"/>
          <w:szCs w:val="24"/>
        </w:rPr>
        <w:t>.</w:t>
      </w:r>
      <w:r w:rsidRPr="007758E5">
        <w:rPr>
          <w:color w:val="000000"/>
          <w:sz w:val="24"/>
          <w:szCs w:val="24"/>
        </w:rPr>
        <w:t>S</w:t>
      </w:r>
      <w:r w:rsidR="00132069">
        <w:rPr>
          <w:color w:val="000000"/>
          <w:sz w:val="24"/>
          <w:szCs w:val="24"/>
        </w:rPr>
        <w:t>.</w:t>
      </w:r>
      <w:r w:rsidRPr="007758E5">
        <w:rPr>
          <w:color w:val="000000"/>
          <w:sz w:val="24"/>
          <w:szCs w:val="24"/>
        </w:rPr>
        <w:t xml:space="preserve"> Department of</w:t>
      </w:r>
      <w:r>
        <w:rPr>
          <w:color w:val="000000"/>
          <w:sz w:val="24"/>
          <w:szCs w:val="24"/>
        </w:rPr>
        <w:t xml:space="preserve"> </w:t>
      </w:r>
      <w:r w:rsidRPr="007758E5">
        <w:rPr>
          <w:color w:val="000000"/>
          <w:sz w:val="24"/>
          <w:szCs w:val="24"/>
        </w:rPr>
        <w:t>Transportation under grant</w:t>
      </w:r>
      <w:r w:rsidR="00703EE6">
        <w:rPr>
          <w:color w:val="000000"/>
          <w:sz w:val="24"/>
          <w:szCs w:val="24"/>
        </w:rPr>
        <w:t>s</w:t>
      </w:r>
      <w:r w:rsidRPr="007758E5">
        <w:rPr>
          <w:color w:val="000000"/>
          <w:sz w:val="24"/>
          <w:szCs w:val="24"/>
        </w:rPr>
        <w:t xml:space="preserve"> 69A3552344815 and 69A3552348320. </w:t>
      </w:r>
      <w:r w:rsidR="006334C4" w:rsidRPr="007758E5">
        <w:rPr>
          <w:color w:val="000000"/>
          <w:sz w:val="24"/>
          <w:szCs w:val="24"/>
        </w:rPr>
        <w:t>The authors are grateful to Lisa</w:t>
      </w:r>
      <w:r w:rsidR="006334C4">
        <w:rPr>
          <w:color w:val="000000"/>
          <w:sz w:val="24"/>
          <w:szCs w:val="24"/>
        </w:rPr>
        <w:t xml:space="preserve"> </w:t>
      </w:r>
      <w:r w:rsidR="006334C4" w:rsidRPr="007758E5">
        <w:rPr>
          <w:color w:val="000000"/>
          <w:sz w:val="24"/>
          <w:szCs w:val="24"/>
        </w:rPr>
        <w:t>Macias for her help in formatting this document.</w:t>
      </w:r>
    </w:p>
    <w:p w14:paraId="5585F03F" w14:textId="77777777" w:rsidR="00B9201B" w:rsidRDefault="00B9201B" w:rsidP="00B9201B">
      <w:pPr>
        <w:pStyle w:val="FootnoteText"/>
        <w:jc w:val="both"/>
        <w:rPr>
          <w:color w:val="000000"/>
          <w:sz w:val="24"/>
          <w:szCs w:val="24"/>
        </w:rPr>
      </w:pPr>
    </w:p>
    <w:p w14:paraId="7D856FAC" w14:textId="69E05B52" w:rsidR="00031B7E" w:rsidRPr="007366EE" w:rsidRDefault="00390142" w:rsidP="00B9201B">
      <w:pPr>
        <w:rPr>
          <w:b/>
          <w:bCs/>
          <w:sz w:val="24"/>
          <w:szCs w:val="24"/>
        </w:rPr>
      </w:pPr>
      <w:r w:rsidRPr="007366EE">
        <w:rPr>
          <w:b/>
          <w:bCs/>
          <w:sz w:val="24"/>
          <w:szCs w:val="24"/>
        </w:rPr>
        <w:t>REFERENCES</w:t>
      </w:r>
    </w:p>
    <w:sdt>
      <w:sdtPr>
        <w:rPr>
          <w:bCs/>
          <w:color w:val="000000"/>
          <w:sz w:val="24"/>
          <w:szCs w:val="24"/>
        </w:rPr>
        <w:tag w:val="MENDELEY_BIBLIOGRAPHY"/>
        <w:id w:val="-1089084098"/>
        <w:placeholder>
          <w:docPart w:val="DefaultPlaceholder_-1854013440"/>
        </w:placeholder>
      </w:sdtPr>
      <w:sdtEndPr/>
      <w:sdtContent>
        <w:p w14:paraId="50B686B4" w14:textId="02AE376C" w:rsidR="007F222B" w:rsidRPr="007F222B" w:rsidRDefault="007F222B">
          <w:pPr>
            <w:autoSpaceDE w:val="0"/>
            <w:autoSpaceDN w:val="0"/>
            <w:ind w:hanging="480"/>
            <w:divId w:val="643236265"/>
            <w:rPr>
              <w:color w:val="000000"/>
              <w:sz w:val="24"/>
              <w:szCs w:val="24"/>
            </w:rPr>
          </w:pPr>
          <w:r w:rsidRPr="007F222B">
            <w:rPr>
              <w:color w:val="000000"/>
              <w:sz w:val="24"/>
            </w:rPr>
            <w:t xml:space="preserve">Adjaye-Gbewonyo, D., &amp; Briones, E. M. (2024). Walking for Leisure and Transportation Among Adults: United States, 2022. </w:t>
          </w:r>
          <w:r w:rsidRPr="007F222B">
            <w:rPr>
              <w:i/>
              <w:iCs/>
              <w:color w:val="000000"/>
              <w:sz w:val="24"/>
            </w:rPr>
            <w:t>NCHS Data Brief</w:t>
          </w:r>
          <w:r w:rsidRPr="007F222B">
            <w:rPr>
              <w:color w:val="000000"/>
              <w:sz w:val="24"/>
            </w:rPr>
            <w:t xml:space="preserve">, (504). </w:t>
          </w:r>
          <w:hyperlink r:id="rId123" w:history="1">
            <w:r w:rsidR="00D170A1" w:rsidRPr="00B82894">
              <w:rPr>
                <w:rStyle w:val="Hyperlink"/>
                <w:sz w:val="24"/>
              </w:rPr>
              <w:t>https://doi.org/10.15620/cdc/158783</w:t>
            </w:r>
          </w:hyperlink>
        </w:p>
        <w:p w14:paraId="055A9025" w14:textId="6ABC5F62" w:rsidR="007F222B" w:rsidRPr="007F222B" w:rsidRDefault="007F222B">
          <w:pPr>
            <w:autoSpaceDE w:val="0"/>
            <w:autoSpaceDN w:val="0"/>
            <w:ind w:hanging="480"/>
            <w:divId w:val="1080443517"/>
            <w:rPr>
              <w:color w:val="000000"/>
              <w:sz w:val="24"/>
            </w:rPr>
          </w:pPr>
          <w:r w:rsidRPr="007F222B">
            <w:rPr>
              <w:color w:val="000000"/>
              <w:sz w:val="24"/>
            </w:rPr>
            <w:t xml:space="preserve">Aguilera-García, Á., Gomez, J., Rangel, T., Baeza, M. de los Á., &amp; Vassallo, J. M. (2024). Which factors influence the use of shared and privately-owned e-scooters in the city of Madrid? Implications for urban mobility. </w:t>
          </w:r>
          <w:r w:rsidRPr="007F222B">
            <w:rPr>
              <w:i/>
              <w:iCs/>
              <w:color w:val="000000"/>
              <w:sz w:val="24"/>
            </w:rPr>
            <w:t>Cities</w:t>
          </w:r>
          <w:r w:rsidRPr="007F222B">
            <w:rPr>
              <w:color w:val="000000"/>
              <w:sz w:val="24"/>
            </w:rPr>
            <w:t xml:space="preserve">, </w:t>
          </w:r>
          <w:r w:rsidRPr="007F222B">
            <w:rPr>
              <w:i/>
              <w:iCs/>
              <w:color w:val="000000"/>
              <w:sz w:val="24"/>
            </w:rPr>
            <w:t>147</w:t>
          </w:r>
          <w:r w:rsidR="00072188">
            <w:rPr>
              <w:i/>
              <w:iCs/>
              <w:color w:val="000000"/>
              <w:sz w:val="24"/>
            </w:rPr>
            <w:t xml:space="preserve">, </w:t>
          </w:r>
          <w:r w:rsidR="00072188" w:rsidRPr="00072188">
            <w:rPr>
              <w:color w:val="000000"/>
              <w:sz w:val="24"/>
            </w:rPr>
            <w:t>104785</w:t>
          </w:r>
          <w:r w:rsidRPr="007F222B">
            <w:rPr>
              <w:color w:val="000000"/>
              <w:sz w:val="24"/>
            </w:rPr>
            <w:t xml:space="preserve">. </w:t>
          </w:r>
          <w:hyperlink r:id="rId124" w:history="1">
            <w:r w:rsidR="00D170A1" w:rsidRPr="00B82894">
              <w:rPr>
                <w:rStyle w:val="Hyperlink"/>
                <w:sz w:val="24"/>
              </w:rPr>
              <w:t>https://doi.org/10.1016/j.cities.2023.104785</w:t>
            </w:r>
          </w:hyperlink>
          <w:r w:rsidR="00D170A1">
            <w:rPr>
              <w:color w:val="000000"/>
              <w:sz w:val="24"/>
            </w:rPr>
            <w:t xml:space="preserve"> </w:t>
          </w:r>
        </w:p>
        <w:p w14:paraId="7E588C5E" w14:textId="0196F879" w:rsidR="007F222B" w:rsidRPr="007F222B" w:rsidRDefault="007F222B">
          <w:pPr>
            <w:autoSpaceDE w:val="0"/>
            <w:autoSpaceDN w:val="0"/>
            <w:ind w:hanging="480"/>
            <w:divId w:val="967975056"/>
            <w:rPr>
              <w:color w:val="000000"/>
              <w:sz w:val="24"/>
            </w:rPr>
          </w:pPr>
          <w:r w:rsidRPr="007F222B">
            <w:rPr>
              <w:color w:val="000000"/>
              <w:sz w:val="24"/>
            </w:rPr>
            <w:t xml:space="preserve">Aldred, R. (2016). Cycling near misses: Their frequency, impact, and prevention. </w:t>
          </w:r>
          <w:r w:rsidRPr="007F222B">
            <w:rPr>
              <w:i/>
              <w:iCs/>
              <w:color w:val="000000"/>
              <w:sz w:val="24"/>
            </w:rPr>
            <w:t>Transportation Research Part A: Policy and Practice</w:t>
          </w:r>
          <w:r w:rsidRPr="007F222B">
            <w:rPr>
              <w:color w:val="000000"/>
              <w:sz w:val="24"/>
            </w:rPr>
            <w:t xml:space="preserve">, </w:t>
          </w:r>
          <w:r w:rsidRPr="007F222B">
            <w:rPr>
              <w:i/>
              <w:iCs/>
              <w:color w:val="000000"/>
              <w:sz w:val="24"/>
            </w:rPr>
            <w:t>90</w:t>
          </w:r>
          <w:r w:rsidRPr="007F222B">
            <w:rPr>
              <w:color w:val="000000"/>
              <w:sz w:val="24"/>
            </w:rPr>
            <w:t xml:space="preserve">, 69–83. </w:t>
          </w:r>
          <w:hyperlink r:id="rId125" w:history="1">
            <w:r w:rsidR="00484A86" w:rsidRPr="005B1FA7">
              <w:rPr>
                <w:rStyle w:val="Hyperlink"/>
                <w:sz w:val="24"/>
              </w:rPr>
              <w:t>https://doi.org/10.1016/j.tra.2016.04.016</w:t>
            </w:r>
          </w:hyperlink>
          <w:r w:rsidR="00484A86">
            <w:rPr>
              <w:color w:val="000000"/>
              <w:sz w:val="24"/>
            </w:rPr>
            <w:t xml:space="preserve"> </w:t>
          </w:r>
        </w:p>
        <w:p w14:paraId="260DE371" w14:textId="068C67FD" w:rsidR="007F222B" w:rsidRPr="007F222B" w:rsidRDefault="007F222B">
          <w:pPr>
            <w:autoSpaceDE w:val="0"/>
            <w:autoSpaceDN w:val="0"/>
            <w:ind w:hanging="480"/>
            <w:divId w:val="942221918"/>
            <w:rPr>
              <w:color w:val="000000"/>
              <w:sz w:val="24"/>
            </w:rPr>
          </w:pPr>
          <w:r w:rsidRPr="007F222B">
            <w:rPr>
              <w:color w:val="000000"/>
              <w:sz w:val="24"/>
            </w:rPr>
            <w:t xml:space="preserve">Aldred, R. (2019). Built Environment Interventions to Increase Active Travel: a Critical Review and Discussion. </w:t>
          </w:r>
          <w:r w:rsidRPr="007F222B">
            <w:rPr>
              <w:i/>
              <w:iCs/>
              <w:color w:val="000000"/>
              <w:sz w:val="24"/>
            </w:rPr>
            <w:t xml:space="preserve">Current </w:t>
          </w:r>
          <w:r w:rsidR="00C45A98">
            <w:rPr>
              <w:i/>
              <w:iCs/>
              <w:color w:val="000000"/>
              <w:sz w:val="24"/>
            </w:rPr>
            <w:t>E</w:t>
          </w:r>
          <w:r w:rsidRPr="007F222B">
            <w:rPr>
              <w:i/>
              <w:iCs/>
              <w:color w:val="000000"/>
              <w:sz w:val="24"/>
            </w:rPr>
            <w:t xml:space="preserve">nvironmental </w:t>
          </w:r>
          <w:r w:rsidR="00C45A98">
            <w:rPr>
              <w:i/>
              <w:iCs/>
              <w:color w:val="000000"/>
              <w:sz w:val="24"/>
            </w:rPr>
            <w:t>H</w:t>
          </w:r>
          <w:r w:rsidRPr="007F222B">
            <w:rPr>
              <w:i/>
              <w:iCs/>
              <w:color w:val="000000"/>
              <w:sz w:val="24"/>
            </w:rPr>
            <w:t xml:space="preserve">ealth </w:t>
          </w:r>
          <w:r w:rsidR="00C45A98">
            <w:rPr>
              <w:i/>
              <w:iCs/>
              <w:color w:val="000000"/>
              <w:sz w:val="24"/>
            </w:rPr>
            <w:t>R</w:t>
          </w:r>
          <w:r w:rsidRPr="007F222B">
            <w:rPr>
              <w:i/>
              <w:iCs/>
              <w:color w:val="000000"/>
              <w:sz w:val="24"/>
            </w:rPr>
            <w:t>eports</w:t>
          </w:r>
          <w:r w:rsidR="009D4E37">
            <w:rPr>
              <w:color w:val="000000"/>
              <w:sz w:val="24"/>
            </w:rPr>
            <w:t xml:space="preserve">, </w:t>
          </w:r>
          <w:r w:rsidRPr="00D832F0">
            <w:rPr>
              <w:i/>
              <w:iCs/>
              <w:color w:val="000000"/>
              <w:sz w:val="24"/>
            </w:rPr>
            <w:t>6</w:t>
          </w:r>
          <w:r w:rsidR="009D4E37">
            <w:rPr>
              <w:color w:val="000000"/>
              <w:sz w:val="24"/>
            </w:rPr>
            <w:t>(</w:t>
          </w:r>
          <w:r w:rsidRPr="007F222B">
            <w:rPr>
              <w:color w:val="000000"/>
              <w:sz w:val="24"/>
            </w:rPr>
            <w:t>4</w:t>
          </w:r>
          <w:r w:rsidR="009D4E37">
            <w:rPr>
              <w:color w:val="000000"/>
              <w:sz w:val="24"/>
            </w:rPr>
            <w:t>)</w:t>
          </w:r>
          <w:r w:rsidRPr="007F222B">
            <w:rPr>
              <w:color w:val="000000"/>
              <w:sz w:val="24"/>
            </w:rPr>
            <w:t xml:space="preserve">, 309–315. </w:t>
          </w:r>
          <w:hyperlink r:id="rId126" w:history="1">
            <w:r w:rsidR="00D170A1" w:rsidRPr="00B82894">
              <w:rPr>
                <w:rStyle w:val="Hyperlink"/>
                <w:sz w:val="24"/>
              </w:rPr>
              <w:t>https://doi.org/10.1007/s40572-019-00254-4</w:t>
            </w:r>
          </w:hyperlink>
          <w:r w:rsidR="00D170A1">
            <w:rPr>
              <w:color w:val="000000"/>
              <w:sz w:val="24"/>
            </w:rPr>
            <w:t xml:space="preserve"> </w:t>
          </w:r>
        </w:p>
        <w:p w14:paraId="7DDB3219" w14:textId="6344AAEE" w:rsidR="007F222B" w:rsidRPr="007F222B" w:rsidRDefault="007F222B">
          <w:pPr>
            <w:autoSpaceDE w:val="0"/>
            <w:autoSpaceDN w:val="0"/>
            <w:ind w:hanging="480"/>
            <w:divId w:val="183633833"/>
            <w:rPr>
              <w:color w:val="000000"/>
              <w:sz w:val="24"/>
            </w:rPr>
          </w:pPr>
          <w:r w:rsidRPr="007F222B">
            <w:rPr>
              <w:color w:val="000000"/>
              <w:sz w:val="24"/>
            </w:rPr>
            <w:t xml:space="preserve">Badia, H., &amp; Jenelius, E. (2023). Shared e-scooter micromobility: review of use patterns, perceptions and environmental impacts. </w:t>
          </w:r>
          <w:r w:rsidRPr="007F222B">
            <w:rPr>
              <w:i/>
              <w:iCs/>
              <w:color w:val="000000"/>
              <w:sz w:val="24"/>
            </w:rPr>
            <w:t>Transport Reviews</w:t>
          </w:r>
          <w:r w:rsidRPr="007F222B">
            <w:rPr>
              <w:color w:val="000000"/>
              <w:sz w:val="24"/>
            </w:rPr>
            <w:t xml:space="preserve">, </w:t>
          </w:r>
          <w:r w:rsidRPr="007F222B">
            <w:rPr>
              <w:i/>
              <w:iCs/>
              <w:color w:val="000000"/>
              <w:sz w:val="24"/>
            </w:rPr>
            <w:t>43</w:t>
          </w:r>
          <w:r w:rsidRPr="007F222B">
            <w:rPr>
              <w:color w:val="000000"/>
              <w:sz w:val="24"/>
            </w:rPr>
            <w:t xml:space="preserve">(5), 811–837. </w:t>
          </w:r>
          <w:hyperlink r:id="rId127" w:history="1">
            <w:r w:rsidR="00D170A1" w:rsidRPr="00B82894">
              <w:rPr>
                <w:rStyle w:val="Hyperlink"/>
                <w:sz w:val="24"/>
              </w:rPr>
              <w:t>https://doi.org/10.1080/01441647.2023.2171500</w:t>
            </w:r>
          </w:hyperlink>
          <w:r w:rsidR="00D170A1">
            <w:rPr>
              <w:color w:val="000000"/>
              <w:sz w:val="24"/>
            </w:rPr>
            <w:t xml:space="preserve"> </w:t>
          </w:r>
        </w:p>
        <w:p w14:paraId="5D1DF74B" w14:textId="12B366AB" w:rsidR="007F222B" w:rsidRPr="007F222B" w:rsidRDefault="007F222B">
          <w:pPr>
            <w:autoSpaceDE w:val="0"/>
            <w:autoSpaceDN w:val="0"/>
            <w:ind w:hanging="480"/>
            <w:divId w:val="701787167"/>
            <w:rPr>
              <w:color w:val="000000"/>
              <w:sz w:val="24"/>
            </w:rPr>
          </w:pPr>
          <w:r w:rsidRPr="007F222B">
            <w:rPr>
              <w:color w:val="000000"/>
              <w:sz w:val="24"/>
            </w:rPr>
            <w:t xml:space="preserve">Baquero Larriva, M. T., Büttner, B., &amp; Durán-Rodas, D. (2024). Active and healthy ageing: Factors associated with bicycle use and frequency among older adults- A case study in Munich. </w:t>
          </w:r>
          <w:r w:rsidRPr="007F222B">
            <w:rPr>
              <w:i/>
              <w:iCs/>
              <w:color w:val="000000"/>
              <w:sz w:val="24"/>
            </w:rPr>
            <w:t>Journal of Transport and Health</w:t>
          </w:r>
          <w:r w:rsidR="00904C53">
            <w:rPr>
              <w:color w:val="000000"/>
              <w:sz w:val="24"/>
            </w:rPr>
            <w:t xml:space="preserve">, </w:t>
          </w:r>
          <w:r w:rsidR="00904C53" w:rsidRPr="00904C53">
            <w:rPr>
              <w:i/>
              <w:iCs/>
              <w:color w:val="000000"/>
              <w:sz w:val="24"/>
            </w:rPr>
            <w:t>35</w:t>
          </w:r>
          <w:r w:rsidR="00904C53" w:rsidRPr="00904C53">
            <w:rPr>
              <w:color w:val="000000"/>
              <w:sz w:val="24"/>
            </w:rPr>
            <w:t xml:space="preserve">, 101772. </w:t>
          </w:r>
          <w:hyperlink r:id="rId128" w:history="1">
            <w:r w:rsidR="00D170A1" w:rsidRPr="00B82894">
              <w:rPr>
                <w:rStyle w:val="Hyperlink"/>
                <w:sz w:val="24"/>
              </w:rPr>
              <w:t>https://doi.org/10.1016/j.jth.2024.101772</w:t>
            </w:r>
          </w:hyperlink>
          <w:r w:rsidR="00D170A1">
            <w:rPr>
              <w:color w:val="000000"/>
              <w:sz w:val="24"/>
            </w:rPr>
            <w:t xml:space="preserve"> </w:t>
          </w:r>
        </w:p>
        <w:p w14:paraId="61A4EF28" w14:textId="02FB1583" w:rsidR="007F222B" w:rsidRPr="007F222B" w:rsidRDefault="007F222B">
          <w:pPr>
            <w:autoSpaceDE w:val="0"/>
            <w:autoSpaceDN w:val="0"/>
            <w:ind w:hanging="480"/>
            <w:divId w:val="1750224076"/>
            <w:rPr>
              <w:color w:val="000000"/>
              <w:sz w:val="24"/>
            </w:rPr>
          </w:pPr>
          <w:r w:rsidRPr="007F222B">
            <w:rPr>
              <w:color w:val="000000"/>
              <w:sz w:val="24"/>
            </w:rPr>
            <w:lastRenderedPageBreak/>
            <w:t xml:space="preserve">Baran, C., Belgacem, S., Paillet, M., de Abreu, R. M., de Araujo, F. X., Meroni, R., &amp; Corbellini, C. (2024). Active Commuting as a Factor of Cardiovascular Disease Prevention: A Systematic Review with Meta-Analysis. </w:t>
          </w:r>
          <w:r w:rsidRPr="007F222B">
            <w:rPr>
              <w:i/>
              <w:iCs/>
              <w:color w:val="000000"/>
              <w:sz w:val="24"/>
            </w:rPr>
            <w:t>Journal of Functional Morphology and Kinesiology</w:t>
          </w:r>
          <w:r w:rsidR="00F56855">
            <w:rPr>
              <w:color w:val="000000"/>
              <w:sz w:val="24"/>
            </w:rPr>
            <w:t xml:space="preserve">, </w:t>
          </w:r>
          <w:r w:rsidRPr="00846E6B">
            <w:rPr>
              <w:i/>
              <w:iCs/>
              <w:color w:val="000000"/>
              <w:sz w:val="24"/>
            </w:rPr>
            <w:t>9</w:t>
          </w:r>
          <w:r w:rsidR="00F56855">
            <w:rPr>
              <w:color w:val="000000"/>
              <w:sz w:val="24"/>
            </w:rPr>
            <w:t>(3)</w:t>
          </w:r>
          <w:r w:rsidRPr="007F222B">
            <w:rPr>
              <w:color w:val="000000"/>
              <w:sz w:val="24"/>
            </w:rPr>
            <w:t xml:space="preserve">, </w:t>
          </w:r>
          <w:r w:rsidR="00F56855">
            <w:rPr>
              <w:color w:val="000000"/>
              <w:sz w:val="24"/>
            </w:rPr>
            <w:t>125</w:t>
          </w:r>
          <w:r w:rsidRPr="007F222B">
            <w:rPr>
              <w:color w:val="000000"/>
              <w:sz w:val="24"/>
            </w:rPr>
            <w:t xml:space="preserve">. </w:t>
          </w:r>
          <w:hyperlink r:id="rId129" w:history="1">
            <w:r w:rsidR="00D170A1" w:rsidRPr="00B82894">
              <w:rPr>
                <w:rStyle w:val="Hyperlink"/>
                <w:sz w:val="24"/>
              </w:rPr>
              <w:t>https://doi.org/10.3390/jfmk9030125</w:t>
            </w:r>
          </w:hyperlink>
          <w:r w:rsidR="00D170A1">
            <w:rPr>
              <w:color w:val="000000"/>
              <w:sz w:val="24"/>
            </w:rPr>
            <w:t xml:space="preserve"> </w:t>
          </w:r>
        </w:p>
        <w:p w14:paraId="0F77B57D" w14:textId="716432FD" w:rsidR="007F222B" w:rsidRPr="007F222B" w:rsidRDefault="007F222B">
          <w:pPr>
            <w:autoSpaceDE w:val="0"/>
            <w:autoSpaceDN w:val="0"/>
            <w:ind w:hanging="480"/>
            <w:divId w:val="288971952"/>
            <w:rPr>
              <w:color w:val="000000"/>
              <w:sz w:val="24"/>
            </w:rPr>
          </w:pPr>
          <w:r w:rsidRPr="007F222B">
            <w:rPr>
              <w:color w:val="000000"/>
              <w:sz w:val="24"/>
            </w:rPr>
            <w:t xml:space="preserve">Bauman, A., Merom, D., Bull, F. C., Buchner, D. M., &amp; Fiatarone Singh, M. A. (2016). Updating the Evidence for Physical Activity: Summative Reviews of the Epidemiological Evidence, Prevalence, and Interventions to Promote “active </w:t>
          </w:r>
          <w:r w:rsidR="000C6AF1">
            <w:rPr>
              <w:color w:val="000000"/>
              <w:sz w:val="24"/>
            </w:rPr>
            <w:t>a</w:t>
          </w:r>
          <w:r w:rsidRPr="007F222B">
            <w:rPr>
              <w:color w:val="000000"/>
              <w:sz w:val="24"/>
            </w:rPr>
            <w:t xml:space="preserve">ging.” </w:t>
          </w:r>
          <w:r w:rsidRPr="007F222B">
            <w:rPr>
              <w:i/>
              <w:iCs/>
              <w:color w:val="000000"/>
              <w:sz w:val="24"/>
            </w:rPr>
            <w:t>Gerontologist</w:t>
          </w:r>
          <w:r w:rsidR="00D832F0">
            <w:rPr>
              <w:color w:val="000000"/>
              <w:sz w:val="24"/>
            </w:rPr>
            <w:t xml:space="preserve">, </w:t>
          </w:r>
          <w:r w:rsidR="00D832F0" w:rsidRPr="00D832F0">
            <w:rPr>
              <w:i/>
              <w:iCs/>
              <w:color w:val="000000"/>
              <w:sz w:val="24"/>
            </w:rPr>
            <w:t>56</w:t>
          </w:r>
          <w:r w:rsidR="00D832F0" w:rsidRPr="00D832F0">
            <w:rPr>
              <w:color w:val="000000"/>
              <w:sz w:val="24"/>
            </w:rPr>
            <w:t>(Suppl</w:t>
          </w:r>
          <w:r w:rsidR="00DD6E34">
            <w:rPr>
              <w:color w:val="000000"/>
              <w:sz w:val="24"/>
            </w:rPr>
            <w:t xml:space="preserve">. </w:t>
          </w:r>
          <w:r w:rsidR="00D832F0" w:rsidRPr="00D832F0">
            <w:rPr>
              <w:color w:val="000000"/>
              <w:sz w:val="24"/>
            </w:rPr>
            <w:t>2), S268</w:t>
          </w:r>
          <w:r w:rsidR="00DD6E34" w:rsidRPr="007F222B">
            <w:rPr>
              <w:color w:val="000000"/>
              <w:sz w:val="24"/>
            </w:rPr>
            <w:t>–</w:t>
          </w:r>
          <w:r w:rsidR="00D832F0" w:rsidRPr="00D832F0">
            <w:rPr>
              <w:color w:val="000000"/>
              <w:sz w:val="24"/>
            </w:rPr>
            <w:t>S280</w:t>
          </w:r>
          <w:r w:rsidRPr="007F222B">
            <w:rPr>
              <w:color w:val="000000"/>
              <w:sz w:val="24"/>
            </w:rPr>
            <w:t xml:space="preserve">. </w:t>
          </w:r>
          <w:hyperlink r:id="rId130" w:history="1">
            <w:r w:rsidR="00D170A1" w:rsidRPr="00B82894">
              <w:rPr>
                <w:rStyle w:val="Hyperlink"/>
                <w:sz w:val="24"/>
              </w:rPr>
              <w:t>https://doi.org/10.1093/geront/gnw031</w:t>
            </w:r>
          </w:hyperlink>
          <w:r w:rsidR="00D170A1">
            <w:rPr>
              <w:color w:val="000000"/>
              <w:sz w:val="24"/>
            </w:rPr>
            <w:t xml:space="preserve"> </w:t>
          </w:r>
        </w:p>
        <w:p w14:paraId="7E7A3BB9" w14:textId="5C3A641C" w:rsidR="007F222B" w:rsidRPr="007F222B" w:rsidRDefault="007F222B">
          <w:pPr>
            <w:autoSpaceDE w:val="0"/>
            <w:autoSpaceDN w:val="0"/>
            <w:ind w:hanging="480"/>
            <w:divId w:val="1580288565"/>
            <w:rPr>
              <w:color w:val="000000"/>
              <w:sz w:val="24"/>
            </w:rPr>
          </w:pPr>
          <w:r w:rsidRPr="007F222B">
            <w:rPr>
              <w:color w:val="000000"/>
              <w:sz w:val="24"/>
            </w:rPr>
            <w:t xml:space="preserve">Beliveau, A. E., Haddad, A. J., Podnar, E. A., Sharma, D., &amp; Bhat, C. R. (2026). Disparities in pedestrian crossing and driver yielding behaviors: evidence from a large-scale observational study at urban intersections. </w:t>
          </w:r>
          <w:r w:rsidRPr="007F222B">
            <w:rPr>
              <w:i/>
              <w:iCs/>
              <w:color w:val="000000"/>
              <w:sz w:val="24"/>
            </w:rPr>
            <w:t>Accident Analysis and Prevention</w:t>
          </w:r>
          <w:r w:rsidRPr="007F222B">
            <w:rPr>
              <w:color w:val="000000"/>
              <w:sz w:val="24"/>
            </w:rPr>
            <w:t xml:space="preserve">, </w:t>
          </w:r>
          <w:r w:rsidRPr="007F222B">
            <w:rPr>
              <w:i/>
              <w:iCs/>
              <w:color w:val="000000"/>
              <w:sz w:val="24"/>
            </w:rPr>
            <w:t>230</w:t>
          </w:r>
          <w:r w:rsidRPr="007F222B">
            <w:rPr>
              <w:color w:val="000000"/>
              <w:sz w:val="24"/>
            </w:rPr>
            <w:t xml:space="preserve">, 108465. </w:t>
          </w:r>
          <w:hyperlink r:id="rId131" w:history="1">
            <w:r w:rsidR="00D170A1" w:rsidRPr="00B82894">
              <w:rPr>
                <w:rStyle w:val="Hyperlink"/>
                <w:sz w:val="24"/>
              </w:rPr>
              <w:t>https://doi.org/10.1016/j.aap.2026.108465</w:t>
            </w:r>
          </w:hyperlink>
          <w:r w:rsidR="00D170A1">
            <w:rPr>
              <w:color w:val="000000"/>
              <w:sz w:val="24"/>
            </w:rPr>
            <w:t xml:space="preserve"> </w:t>
          </w:r>
        </w:p>
        <w:p w14:paraId="325214B4" w14:textId="21A5D36F" w:rsidR="007F222B" w:rsidRPr="007F222B" w:rsidRDefault="007F222B">
          <w:pPr>
            <w:autoSpaceDE w:val="0"/>
            <w:autoSpaceDN w:val="0"/>
            <w:ind w:hanging="480"/>
            <w:divId w:val="250896720"/>
            <w:rPr>
              <w:color w:val="000000"/>
              <w:sz w:val="24"/>
            </w:rPr>
          </w:pPr>
          <w:r w:rsidRPr="007F222B">
            <w:rPr>
              <w:color w:val="000000"/>
              <w:sz w:val="24"/>
            </w:rPr>
            <w:t xml:space="preserve">Belloc, I., Gimenez-Nadal, J. I., &amp; Molina, J. A. (2025). Weather Conditions and Daily Commuting. </w:t>
          </w:r>
          <w:r w:rsidRPr="007F222B">
            <w:rPr>
              <w:i/>
              <w:iCs/>
              <w:color w:val="000000"/>
              <w:sz w:val="24"/>
            </w:rPr>
            <w:t>Journal of Regional Science</w:t>
          </w:r>
          <w:r w:rsidRPr="007F222B">
            <w:rPr>
              <w:color w:val="000000"/>
              <w:sz w:val="24"/>
            </w:rPr>
            <w:t xml:space="preserve">, </w:t>
          </w:r>
          <w:r w:rsidRPr="007F222B">
            <w:rPr>
              <w:i/>
              <w:iCs/>
              <w:color w:val="000000"/>
              <w:sz w:val="24"/>
            </w:rPr>
            <w:t>65</w:t>
          </w:r>
          <w:r w:rsidRPr="007F222B">
            <w:rPr>
              <w:color w:val="000000"/>
              <w:sz w:val="24"/>
            </w:rPr>
            <w:t xml:space="preserve">(3), 818–842. </w:t>
          </w:r>
          <w:hyperlink r:id="rId132" w:history="1">
            <w:r w:rsidR="00D170A1" w:rsidRPr="00B82894">
              <w:rPr>
                <w:rStyle w:val="Hyperlink"/>
                <w:sz w:val="24"/>
              </w:rPr>
              <w:t>https://doi.org/10.1111/jors.12764</w:t>
            </w:r>
          </w:hyperlink>
          <w:r w:rsidR="00D170A1">
            <w:rPr>
              <w:color w:val="000000"/>
              <w:sz w:val="24"/>
            </w:rPr>
            <w:t xml:space="preserve"> </w:t>
          </w:r>
        </w:p>
        <w:p w14:paraId="11F117D5" w14:textId="54102361" w:rsidR="007F222B" w:rsidRPr="007F222B" w:rsidRDefault="007F222B">
          <w:pPr>
            <w:autoSpaceDE w:val="0"/>
            <w:autoSpaceDN w:val="0"/>
            <w:ind w:hanging="480"/>
            <w:divId w:val="1529756728"/>
            <w:rPr>
              <w:color w:val="000000"/>
              <w:sz w:val="24"/>
            </w:rPr>
          </w:pPr>
          <w:r w:rsidRPr="007F222B">
            <w:rPr>
              <w:color w:val="000000"/>
              <w:sz w:val="24"/>
            </w:rPr>
            <w:t xml:space="preserve">Berrie, L., Feng, Z., Rice, D., Clemens, T., Williamson, L., &amp; Dibben, C. (2024). Does cycle commuting reduce the risk of mental ill-health? An instrumental variable analysis using distance to nearest cycle path. </w:t>
          </w:r>
          <w:r w:rsidRPr="007F222B">
            <w:rPr>
              <w:i/>
              <w:iCs/>
              <w:color w:val="000000"/>
              <w:sz w:val="24"/>
            </w:rPr>
            <w:t>International Journal of Epidemiology</w:t>
          </w:r>
          <w:r w:rsidRPr="007F222B">
            <w:rPr>
              <w:color w:val="000000"/>
              <w:sz w:val="24"/>
            </w:rPr>
            <w:t xml:space="preserve">, </w:t>
          </w:r>
          <w:r w:rsidRPr="007F222B">
            <w:rPr>
              <w:i/>
              <w:iCs/>
              <w:color w:val="000000"/>
              <w:sz w:val="24"/>
            </w:rPr>
            <w:t>53</w:t>
          </w:r>
          <w:r w:rsidRPr="007F222B">
            <w:rPr>
              <w:color w:val="000000"/>
              <w:sz w:val="24"/>
            </w:rPr>
            <w:t>(1)</w:t>
          </w:r>
          <w:r w:rsidR="008A209D">
            <w:rPr>
              <w:color w:val="000000"/>
              <w:sz w:val="24"/>
            </w:rPr>
            <w:t>,</w:t>
          </w:r>
          <w:r w:rsidR="00E80B1B">
            <w:rPr>
              <w:color w:val="000000"/>
              <w:sz w:val="24"/>
            </w:rPr>
            <w:t xml:space="preserve"> </w:t>
          </w:r>
          <w:r w:rsidR="00E80B1B" w:rsidRPr="00E80B1B">
            <w:rPr>
              <w:color w:val="000000"/>
              <w:sz w:val="24"/>
            </w:rPr>
            <w:t>dyad153</w:t>
          </w:r>
          <w:r w:rsidRPr="007F222B">
            <w:rPr>
              <w:color w:val="000000"/>
              <w:sz w:val="24"/>
            </w:rPr>
            <w:t xml:space="preserve">. </w:t>
          </w:r>
          <w:hyperlink r:id="rId133" w:history="1">
            <w:r w:rsidR="00D170A1" w:rsidRPr="00B82894">
              <w:rPr>
                <w:rStyle w:val="Hyperlink"/>
                <w:sz w:val="24"/>
              </w:rPr>
              <w:t>https://doi.org/10.1093/ije/dyad153</w:t>
            </w:r>
          </w:hyperlink>
          <w:r w:rsidR="00D170A1">
            <w:rPr>
              <w:color w:val="000000"/>
              <w:sz w:val="24"/>
            </w:rPr>
            <w:t xml:space="preserve"> </w:t>
          </w:r>
        </w:p>
        <w:p w14:paraId="692C0312" w14:textId="39811C12" w:rsidR="007F222B" w:rsidRPr="007F222B" w:rsidRDefault="007F222B">
          <w:pPr>
            <w:autoSpaceDE w:val="0"/>
            <w:autoSpaceDN w:val="0"/>
            <w:ind w:hanging="480"/>
            <w:divId w:val="1305964047"/>
            <w:rPr>
              <w:color w:val="000000"/>
              <w:sz w:val="24"/>
            </w:rPr>
          </w:pPr>
          <w:r w:rsidRPr="007F222B">
            <w:rPr>
              <w:color w:val="000000"/>
              <w:sz w:val="24"/>
            </w:rPr>
            <w:t xml:space="preserve">Bhat, C. R. (2018). New matrix-based methods for the analytic evaluation of the multivariate cumulative normal distribution function. </w:t>
          </w:r>
          <w:r w:rsidRPr="007F222B">
            <w:rPr>
              <w:i/>
              <w:iCs/>
              <w:color w:val="000000"/>
              <w:sz w:val="24"/>
            </w:rPr>
            <w:t>Transportation Research Part B: Methodological</w:t>
          </w:r>
          <w:r w:rsidRPr="007F222B">
            <w:rPr>
              <w:color w:val="000000"/>
              <w:sz w:val="24"/>
            </w:rPr>
            <w:t xml:space="preserve">, </w:t>
          </w:r>
          <w:r w:rsidRPr="007F222B">
            <w:rPr>
              <w:i/>
              <w:iCs/>
              <w:color w:val="000000"/>
              <w:sz w:val="24"/>
            </w:rPr>
            <w:t>109</w:t>
          </w:r>
          <w:r w:rsidRPr="007F222B">
            <w:rPr>
              <w:color w:val="000000"/>
              <w:sz w:val="24"/>
            </w:rPr>
            <w:t xml:space="preserve">, 238–256. </w:t>
          </w:r>
          <w:hyperlink r:id="rId134" w:history="1">
            <w:r w:rsidR="00D170A1" w:rsidRPr="00B82894">
              <w:rPr>
                <w:rStyle w:val="Hyperlink"/>
                <w:sz w:val="24"/>
              </w:rPr>
              <w:t>https://doi.org/10.1016/j.trb.2018.01.011</w:t>
            </w:r>
          </w:hyperlink>
          <w:r w:rsidR="00D170A1">
            <w:rPr>
              <w:color w:val="000000"/>
              <w:sz w:val="24"/>
            </w:rPr>
            <w:t xml:space="preserve"> </w:t>
          </w:r>
        </w:p>
        <w:p w14:paraId="587EA852" w14:textId="0F71ED25" w:rsidR="007F222B" w:rsidRPr="007F222B" w:rsidRDefault="007F222B">
          <w:pPr>
            <w:autoSpaceDE w:val="0"/>
            <w:autoSpaceDN w:val="0"/>
            <w:ind w:hanging="480"/>
            <w:divId w:val="101339489"/>
            <w:rPr>
              <w:color w:val="000000"/>
              <w:sz w:val="24"/>
            </w:rPr>
          </w:pPr>
          <w:r w:rsidRPr="007F222B">
            <w:rPr>
              <w:color w:val="000000"/>
              <w:sz w:val="24"/>
            </w:rPr>
            <w:t xml:space="preserve">Biehl, A., Ermagun, A., &amp; Stathopoulos, A. (2018). Modelling determinants of walking and cycling adoption: A stage-of-change perspective. </w:t>
          </w:r>
          <w:r w:rsidRPr="007F222B">
            <w:rPr>
              <w:i/>
              <w:iCs/>
              <w:color w:val="000000"/>
              <w:sz w:val="24"/>
            </w:rPr>
            <w:t>Transportation Research Part F: Traffic Psychology and Behaviour</w:t>
          </w:r>
          <w:r w:rsidRPr="007F222B">
            <w:rPr>
              <w:color w:val="000000"/>
              <w:sz w:val="24"/>
            </w:rPr>
            <w:t xml:space="preserve">, </w:t>
          </w:r>
          <w:r w:rsidRPr="007F222B">
            <w:rPr>
              <w:i/>
              <w:iCs/>
              <w:color w:val="000000"/>
              <w:sz w:val="24"/>
            </w:rPr>
            <w:t>58</w:t>
          </w:r>
          <w:r w:rsidRPr="007F222B">
            <w:rPr>
              <w:color w:val="000000"/>
              <w:sz w:val="24"/>
            </w:rPr>
            <w:t xml:space="preserve">, 452–470. </w:t>
          </w:r>
          <w:hyperlink r:id="rId135" w:history="1">
            <w:r w:rsidR="00D170A1" w:rsidRPr="00B82894">
              <w:rPr>
                <w:rStyle w:val="Hyperlink"/>
                <w:sz w:val="24"/>
              </w:rPr>
              <w:t>https://doi.org/10.1016/j.trf.2018.06.016</w:t>
            </w:r>
          </w:hyperlink>
          <w:r w:rsidR="00D170A1">
            <w:rPr>
              <w:color w:val="000000"/>
              <w:sz w:val="24"/>
            </w:rPr>
            <w:t xml:space="preserve"> </w:t>
          </w:r>
        </w:p>
        <w:p w14:paraId="0E0C4961" w14:textId="6888B212" w:rsidR="007F222B" w:rsidRPr="007F222B" w:rsidRDefault="007F222B">
          <w:pPr>
            <w:autoSpaceDE w:val="0"/>
            <w:autoSpaceDN w:val="0"/>
            <w:ind w:hanging="480"/>
            <w:divId w:val="1757752828"/>
            <w:rPr>
              <w:color w:val="000000"/>
              <w:sz w:val="24"/>
            </w:rPr>
          </w:pPr>
          <w:r w:rsidRPr="007F222B">
            <w:rPr>
              <w:color w:val="000000"/>
              <w:sz w:val="24"/>
            </w:rPr>
            <w:t xml:space="preserve">Bland, M., Burke, M. I., &amp; Bertolaccini, K. (2024). Taking steps toward healthy &amp; sustainable transport investment: A systematic review of economic evaluations in the academic literature on large-scale active transport infrastructure. </w:t>
          </w:r>
          <w:r w:rsidRPr="007F222B">
            <w:rPr>
              <w:i/>
              <w:iCs/>
              <w:color w:val="000000"/>
              <w:sz w:val="24"/>
            </w:rPr>
            <w:t>International Journal of Sustainable Transportation</w:t>
          </w:r>
          <w:r w:rsidRPr="007F222B">
            <w:rPr>
              <w:color w:val="000000"/>
              <w:sz w:val="24"/>
            </w:rPr>
            <w:t xml:space="preserve">, </w:t>
          </w:r>
          <w:r w:rsidRPr="007F222B">
            <w:rPr>
              <w:i/>
              <w:iCs/>
              <w:color w:val="000000"/>
              <w:sz w:val="24"/>
            </w:rPr>
            <w:t>18</w:t>
          </w:r>
          <w:r w:rsidRPr="007F222B">
            <w:rPr>
              <w:color w:val="000000"/>
              <w:sz w:val="24"/>
            </w:rPr>
            <w:t xml:space="preserve">(3), 201–220. </w:t>
          </w:r>
          <w:hyperlink r:id="rId136" w:history="1">
            <w:r w:rsidR="00D170A1" w:rsidRPr="00B82894">
              <w:rPr>
                <w:rStyle w:val="Hyperlink"/>
                <w:sz w:val="24"/>
              </w:rPr>
              <w:t>https://doi.org/10.1080/15568318.2023.2296952</w:t>
            </w:r>
          </w:hyperlink>
          <w:r w:rsidR="00D170A1">
            <w:rPr>
              <w:color w:val="000000"/>
              <w:sz w:val="24"/>
            </w:rPr>
            <w:t xml:space="preserve"> </w:t>
          </w:r>
        </w:p>
        <w:p w14:paraId="0867BDD2" w14:textId="1E342A84" w:rsidR="007F222B" w:rsidRPr="007F222B" w:rsidRDefault="007F222B">
          <w:pPr>
            <w:autoSpaceDE w:val="0"/>
            <w:autoSpaceDN w:val="0"/>
            <w:ind w:hanging="480"/>
            <w:divId w:val="847598858"/>
            <w:rPr>
              <w:color w:val="000000"/>
              <w:sz w:val="24"/>
            </w:rPr>
          </w:pPr>
          <w:r w:rsidRPr="007F222B">
            <w:rPr>
              <w:color w:val="000000"/>
              <w:sz w:val="24"/>
            </w:rPr>
            <w:t xml:space="preserve">Blazanin, G., Mondal, A., Asmussen, K. E., &amp; Bhat, C. R. (2022). E-scooter sharing and bikesharing systems: An individual-level analysis of factors affecting first-use and use frequency. </w:t>
          </w:r>
          <w:r w:rsidRPr="007F222B">
            <w:rPr>
              <w:i/>
              <w:iCs/>
              <w:color w:val="000000"/>
              <w:sz w:val="24"/>
            </w:rPr>
            <w:t>Transportation Research Part C: Emerging Technologies</w:t>
          </w:r>
          <w:r w:rsidRPr="007F222B">
            <w:rPr>
              <w:color w:val="000000"/>
              <w:sz w:val="24"/>
            </w:rPr>
            <w:t xml:space="preserve">, </w:t>
          </w:r>
          <w:r w:rsidRPr="007F222B">
            <w:rPr>
              <w:i/>
              <w:iCs/>
              <w:color w:val="000000"/>
              <w:sz w:val="24"/>
            </w:rPr>
            <w:t>135</w:t>
          </w:r>
          <w:r w:rsidR="00041A1F">
            <w:rPr>
              <w:i/>
              <w:iCs/>
              <w:color w:val="000000"/>
              <w:sz w:val="24"/>
            </w:rPr>
            <w:t xml:space="preserve">, </w:t>
          </w:r>
          <w:r w:rsidR="00041A1F">
            <w:rPr>
              <w:color w:val="000000"/>
              <w:sz w:val="24"/>
            </w:rPr>
            <w:t>103515</w:t>
          </w:r>
          <w:r w:rsidRPr="007F222B">
            <w:rPr>
              <w:color w:val="000000"/>
              <w:sz w:val="24"/>
            </w:rPr>
            <w:t xml:space="preserve">. </w:t>
          </w:r>
          <w:hyperlink r:id="rId137" w:history="1">
            <w:r w:rsidR="00D170A1" w:rsidRPr="00B82894">
              <w:rPr>
                <w:rStyle w:val="Hyperlink"/>
                <w:sz w:val="24"/>
              </w:rPr>
              <w:t>https://doi.org/10.1016/j.trc.2021.103515</w:t>
            </w:r>
          </w:hyperlink>
          <w:r w:rsidR="00D170A1">
            <w:rPr>
              <w:color w:val="000000"/>
              <w:sz w:val="24"/>
            </w:rPr>
            <w:t xml:space="preserve"> </w:t>
          </w:r>
        </w:p>
        <w:p w14:paraId="0EE9E1E1" w14:textId="55A5FB18" w:rsidR="007F222B" w:rsidRPr="007F222B" w:rsidRDefault="007F222B">
          <w:pPr>
            <w:autoSpaceDE w:val="0"/>
            <w:autoSpaceDN w:val="0"/>
            <w:ind w:hanging="480"/>
            <w:divId w:val="258029016"/>
            <w:rPr>
              <w:color w:val="000000"/>
              <w:sz w:val="24"/>
            </w:rPr>
          </w:pPr>
          <w:r w:rsidRPr="007F222B">
            <w:rPr>
              <w:color w:val="000000"/>
              <w:sz w:val="24"/>
            </w:rPr>
            <w:t xml:space="preserve">Blumenberg, E., &amp; King, H. (2024). Young workers, jobs-housing balance, and commute distance: Findings from two high-housing-cost U.S. regions. </w:t>
          </w:r>
          <w:r w:rsidRPr="007F222B">
            <w:rPr>
              <w:i/>
              <w:iCs/>
              <w:color w:val="000000"/>
              <w:sz w:val="24"/>
            </w:rPr>
            <w:t>Cities</w:t>
          </w:r>
          <w:r w:rsidRPr="007F222B">
            <w:rPr>
              <w:color w:val="000000"/>
              <w:sz w:val="24"/>
            </w:rPr>
            <w:t xml:space="preserve">, </w:t>
          </w:r>
          <w:r w:rsidRPr="007F222B">
            <w:rPr>
              <w:i/>
              <w:iCs/>
              <w:color w:val="000000"/>
              <w:sz w:val="24"/>
            </w:rPr>
            <w:t>147</w:t>
          </w:r>
          <w:r w:rsidRPr="007F222B">
            <w:rPr>
              <w:color w:val="000000"/>
              <w:sz w:val="24"/>
            </w:rPr>
            <w:t xml:space="preserve">, 104842. </w:t>
          </w:r>
          <w:hyperlink r:id="rId138" w:history="1">
            <w:r w:rsidR="00D170A1" w:rsidRPr="00B82894">
              <w:rPr>
                <w:rStyle w:val="Hyperlink"/>
                <w:sz w:val="24"/>
              </w:rPr>
              <w:t>https://doi.org/10.1016/j.cities.2024.104842</w:t>
            </w:r>
          </w:hyperlink>
          <w:r w:rsidR="00D170A1">
            <w:rPr>
              <w:color w:val="000000"/>
              <w:sz w:val="24"/>
            </w:rPr>
            <w:t xml:space="preserve"> </w:t>
          </w:r>
        </w:p>
        <w:p w14:paraId="3D8B3E3E" w14:textId="7DB9DB2C" w:rsidR="007F222B" w:rsidRPr="007F222B" w:rsidRDefault="007F222B">
          <w:pPr>
            <w:autoSpaceDE w:val="0"/>
            <w:autoSpaceDN w:val="0"/>
            <w:ind w:hanging="480"/>
            <w:divId w:val="656306052"/>
            <w:rPr>
              <w:color w:val="000000"/>
              <w:sz w:val="24"/>
            </w:rPr>
          </w:pPr>
          <w:r w:rsidRPr="007F222B">
            <w:rPr>
              <w:color w:val="000000"/>
              <w:sz w:val="24"/>
            </w:rPr>
            <w:t xml:space="preserve">Böcker, L., &amp; Thorsson, S. (2014). Integrated weather effects on cycling shares, frequencies, and durations in Rotterdam, the Netherlands. </w:t>
          </w:r>
          <w:r w:rsidRPr="007F222B">
            <w:rPr>
              <w:i/>
              <w:iCs/>
              <w:color w:val="000000"/>
              <w:sz w:val="24"/>
            </w:rPr>
            <w:t>Weather, Climate, and Society</w:t>
          </w:r>
          <w:r w:rsidRPr="007F222B">
            <w:rPr>
              <w:color w:val="000000"/>
              <w:sz w:val="24"/>
            </w:rPr>
            <w:t xml:space="preserve">, </w:t>
          </w:r>
          <w:r w:rsidRPr="007F222B">
            <w:rPr>
              <w:i/>
              <w:iCs/>
              <w:color w:val="000000"/>
              <w:sz w:val="24"/>
            </w:rPr>
            <w:t>6</w:t>
          </w:r>
          <w:r w:rsidRPr="007F222B">
            <w:rPr>
              <w:color w:val="000000"/>
              <w:sz w:val="24"/>
            </w:rPr>
            <w:t xml:space="preserve">(4), 468–481. </w:t>
          </w:r>
          <w:hyperlink r:id="rId139" w:history="1">
            <w:r w:rsidR="00D170A1" w:rsidRPr="00B82894">
              <w:rPr>
                <w:rStyle w:val="Hyperlink"/>
                <w:sz w:val="24"/>
              </w:rPr>
              <w:t>https://doi.org/10.1175/WCAS-D-13-00066.1</w:t>
            </w:r>
          </w:hyperlink>
          <w:r w:rsidR="00D170A1">
            <w:rPr>
              <w:color w:val="000000"/>
              <w:sz w:val="24"/>
            </w:rPr>
            <w:t xml:space="preserve"> </w:t>
          </w:r>
        </w:p>
        <w:p w14:paraId="21DFB1A2" w14:textId="6E0A688E" w:rsidR="007F222B" w:rsidRPr="007F222B" w:rsidRDefault="007F222B">
          <w:pPr>
            <w:autoSpaceDE w:val="0"/>
            <w:autoSpaceDN w:val="0"/>
            <w:ind w:hanging="480"/>
            <w:divId w:val="2095516431"/>
            <w:rPr>
              <w:color w:val="000000"/>
              <w:sz w:val="24"/>
            </w:rPr>
          </w:pPr>
          <w:r w:rsidRPr="007F222B">
            <w:rPr>
              <w:color w:val="000000"/>
              <w:sz w:val="24"/>
            </w:rPr>
            <w:t xml:space="preserve">Branas, C. C., South, E., Kondo, M. C., Hohl, B. C., Bourgois, P., Wiebe, D. J., &amp; MacDonald, J. M. (2018). Citywide cluster randomized trial to restore blighted vacant land and its effects on violence, crime, and fear. </w:t>
          </w:r>
          <w:r w:rsidRPr="007F222B">
            <w:rPr>
              <w:i/>
              <w:iCs/>
              <w:color w:val="000000"/>
              <w:sz w:val="24"/>
            </w:rPr>
            <w:t>Proceedings of the National Academy of Sciences of the United States of America</w:t>
          </w:r>
          <w:r w:rsidRPr="007F222B">
            <w:rPr>
              <w:color w:val="000000"/>
              <w:sz w:val="24"/>
            </w:rPr>
            <w:t xml:space="preserve">, </w:t>
          </w:r>
          <w:r w:rsidRPr="007F222B">
            <w:rPr>
              <w:i/>
              <w:iCs/>
              <w:color w:val="000000"/>
              <w:sz w:val="24"/>
            </w:rPr>
            <w:t>115</w:t>
          </w:r>
          <w:r w:rsidRPr="007F222B">
            <w:rPr>
              <w:color w:val="000000"/>
              <w:sz w:val="24"/>
            </w:rPr>
            <w:t xml:space="preserve">(12), 2946–2951. </w:t>
          </w:r>
          <w:hyperlink r:id="rId140" w:history="1">
            <w:r w:rsidR="00D170A1" w:rsidRPr="00B82894">
              <w:rPr>
                <w:rStyle w:val="Hyperlink"/>
                <w:sz w:val="24"/>
              </w:rPr>
              <w:t>https://doi.org/10.1073/pnas.1718503115</w:t>
            </w:r>
          </w:hyperlink>
          <w:r w:rsidR="00D170A1">
            <w:rPr>
              <w:color w:val="000000"/>
              <w:sz w:val="24"/>
            </w:rPr>
            <w:t xml:space="preserve"> </w:t>
          </w:r>
        </w:p>
        <w:p w14:paraId="1DAE56EA" w14:textId="6C16C884" w:rsidR="007F222B" w:rsidRPr="007F222B" w:rsidRDefault="007F222B" w:rsidP="001F3ABE">
          <w:pPr>
            <w:keepLines/>
            <w:autoSpaceDE w:val="0"/>
            <w:autoSpaceDN w:val="0"/>
            <w:ind w:hanging="475"/>
            <w:divId w:val="872420787"/>
            <w:rPr>
              <w:color w:val="000000"/>
              <w:sz w:val="24"/>
            </w:rPr>
          </w:pPr>
          <w:r w:rsidRPr="007F222B">
            <w:rPr>
              <w:color w:val="000000"/>
              <w:sz w:val="24"/>
            </w:rPr>
            <w:lastRenderedPageBreak/>
            <w:t xml:space="preserve">Brand, C., Götschi, T., Dons, E., Gerike, R., Anaya-Boig, E., Avila-Palencia, I., de Nazelle, A., Gascon, M., Gaupp-Berghausen, M., Iacorossi, F., Kahlmeier, S., Int Panis, L., Racioppi, F., Rojas-Rueda, D., Standaert, A., Stigell, E., Sulikova, S., Wegener, S., &amp; Nieuwenhuijsen, M. J. (2021). The climate change mitigation impacts of active travel: Evidence from a longitudinal panel study in seven European cities. </w:t>
          </w:r>
          <w:r w:rsidRPr="007F222B">
            <w:rPr>
              <w:i/>
              <w:iCs/>
              <w:color w:val="000000"/>
              <w:sz w:val="24"/>
            </w:rPr>
            <w:t>Global Environmental Change</w:t>
          </w:r>
          <w:r w:rsidRPr="007F222B">
            <w:rPr>
              <w:color w:val="000000"/>
              <w:sz w:val="24"/>
            </w:rPr>
            <w:t xml:space="preserve">, </w:t>
          </w:r>
          <w:r w:rsidRPr="007F222B">
            <w:rPr>
              <w:i/>
              <w:iCs/>
              <w:color w:val="000000"/>
              <w:sz w:val="24"/>
            </w:rPr>
            <w:t>67</w:t>
          </w:r>
          <w:r w:rsidR="00041A1F">
            <w:rPr>
              <w:i/>
              <w:iCs/>
              <w:color w:val="000000"/>
              <w:sz w:val="24"/>
            </w:rPr>
            <w:t xml:space="preserve">, </w:t>
          </w:r>
          <w:r w:rsidR="003356EA">
            <w:rPr>
              <w:color w:val="000000"/>
              <w:sz w:val="24"/>
            </w:rPr>
            <w:t>1022</w:t>
          </w:r>
          <w:r w:rsidR="00BF4076">
            <w:rPr>
              <w:color w:val="000000"/>
              <w:sz w:val="24"/>
            </w:rPr>
            <w:t>24</w:t>
          </w:r>
          <w:r w:rsidRPr="007F222B">
            <w:rPr>
              <w:color w:val="000000"/>
              <w:sz w:val="24"/>
            </w:rPr>
            <w:t xml:space="preserve">. </w:t>
          </w:r>
          <w:hyperlink r:id="rId141" w:history="1">
            <w:r w:rsidR="00D170A1" w:rsidRPr="00B82894">
              <w:rPr>
                <w:rStyle w:val="Hyperlink"/>
                <w:sz w:val="24"/>
              </w:rPr>
              <w:t>https://doi.org/10.1016/j.gloenvcha.2021.102224</w:t>
            </w:r>
          </w:hyperlink>
          <w:r w:rsidR="00D170A1">
            <w:rPr>
              <w:color w:val="000000"/>
              <w:sz w:val="24"/>
            </w:rPr>
            <w:t xml:space="preserve"> </w:t>
          </w:r>
        </w:p>
        <w:p w14:paraId="4449184A" w14:textId="1B8E7E3A" w:rsidR="007F222B" w:rsidRPr="007F222B" w:rsidRDefault="007F222B">
          <w:pPr>
            <w:autoSpaceDE w:val="0"/>
            <w:autoSpaceDN w:val="0"/>
            <w:ind w:hanging="480"/>
            <w:divId w:val="1108233447"/>
            <w:rPr>
              <w:color w:val="000000"/>
              <w:sz w:val="24"/>
            </w:rPr>
          </w:pPr>
          <w:r w:rsidRPr="007F222B">
            <w:rPr>
              <w:color w:val="000000"/>
              <w:sz w:val="24"/>
            </w:rPr>
            <w:t>Brennan, A., Angus, C., Pryce, R., Buykx, P., Henney, M., Gillespie, D., Holmes, J.,</w:t>
          </w:r>
          <w:r w:rsidR="0020160F">
            <w:rPr>
              <w:color w:val="000000"/>
              <w:sz w:val="24"/>
            </w:rPr>
            <w:t xml:space="preserve"> &amp;</w:t>
          </w:r>
          <w:r w:rsidRPr="007F222B">
            <w:rPr>
              <w:color w:val="000000"/>
              <w:sz w:val="24"/>
            </w:rPr>
            <w:t xml:space="preserve"> Meier, P. S. (2021). Potential effects of minimum unit pricing at local authority level on alcohol-attributed harms in North West and North East England: a modelling study. </w:t>
          </w:r>
          <w:r w:rsidRPr="007F222B">
            <w:rPr>
              <w:i/>
              <w:iCs/>
              <w:color w:val="000000"/>
              <w:sz w:val="24"/>
            </w:rPr>
            <w:t>Public Health Research</w:t>
          </w:r>
          <w:r w:rsidRPr="007F222B">
            <w:rPr>
              <w:color w:val="000000"/>
              <w:sz w:val="24"/>
            </w:rPr>
            <w:t xml:space="preserve">, </w:t>
          </w:r>
          <w:r w:rsidRPr="007F222B">
            <w:rPr>
              <w:i/>
              <w:iCs/>
              <w:color w:val="000000"/>
              <w:sz w:val="24"/>
            </w:rPr>
            <w:t>9</w:t>
          </w:r>
          <w:r w:rsidRPr="007F222B">
            <w:rPr>
              <w:color w:val="000000"/>
              <w:sz w:val="24"/>
            </w:rPr>
            <w:t xml:space="preserve">(4), 1–106. </w:t>
          </w:r>
          <w:hyperlink r:id="rId142" w:history="1">
            <w:r w:rsidR="00D170A1" w:rsidRPr="00B82894">
              <w:rPr>
                <w:rStyle w:val="Hyperlink"/>
                <w:sz w:val="24"/>
              </w:rPr>
              <w:t>https://doi.org/10.3310/phr09040</w:t>
            </w:r>
          </w:hyperlink>
          <w:r w:rsidR="00D170A1">
            <w:rPr>
              <w:color w:val="000000"/>
              <w:sz w:val="24"/>
            </w:rPr>
            <w:t xml:space="preserve"> </w:t>
          </w:r>
        </w:p>
        <w:p w14:paraId="43359B16" w14:textId="48419769" w:rsidR="007F222B" w:rsidRPr="007F222B" w:rsidRDefault="007F222B">
          <w:pPr>
            <w:autoSpaceDE w:val="0"/>
            <w:autoSpaceDN w:val="0"/>
            <w:ind w:hanging="480"/>
            <w:divId w:val="431440621"/>
            <w:rPr>
              <w:color w:val="000000"/>
              <w:sz w:val="24"/>
            </w:rPr>
          </w:pPr>
          <w:r w:rsidRPr="007F222B">
            <w:rPr>
              <w:color w:val="000000"/>
              <w:sz w:val="24"/>
            </w:rPr>
            <w:t xml:space="preserve">Bricka, S., Reuscher, T., Schroeder, P., Fisher, M., Beard, J., &amp; Sun, L. (2024). </w:t>
          </w:r>
          <w:r w:rsidRPr="007F222B">
            <w:rPr>
              <w:i/>
              <w:iCs/>
              <w:color w:val="000000"/>
              <w:sz w:val="24"/>
            </w:rPr>
            <w:t>Summary of Travel Trends: 2022 National Household Travel Survey</w:t>
          </w:r>
          <w:r w:rsidRPr="007F222B">
            <w:rPr>
              <w:color w:val="000000"/>
              <w:sz w:val="24"/>
            </w:rPr>
            <w:t xml:space="preserve">. </w:t>
          </w:r>
          <w:r w:rsidR="00131289">
            <w:rPr>
              <w:color w:val="000000"/>
              <w:sz w:val="24"/>
            </w:rPr>
            <w:t xml:space="preserve">United States Department of Transportation. </w:t>
          </w:r>
          <w:hyperlink r:id="rId143" w:history="1">
            <w:r w:rsidR="00D170A1" w:rsidRPr="00B82894">
              <w:rPr>
                <w:rStyle w:val="Hyperlink"/>
                <w:sz w:val="24"/>
              </w:rPr>
              <w:t>https://rosap.ntl.bts.gov/view/dot/73764</w:t>
            </w:r>
          </w:hyperlink>
          <w:r w:rsidR="00D170A1">
            <w:rPr>
              <w:color w:val="000000"/>
              <w:sz w:val="24"/>
            </w:rPr>
            <w:t xml:space="preserve"> </w:t>
          </w:r>
        </w:p>
        <w:p w14:paraId="7A8B6A6A" w14:textId="482568CD" w:rsidR="007F222B" w:rsidRPr="007F222B" w:rsidRDefault="007F222B">
          <w:pPr>
            <w:autoSpaceDE w:val="0"/>
            <w:autoSpaceDN w:val="0"/>
            <w:ind w:hanging="480"/>
            <w:divId w:val="1764645567"/>
            <w:rPr>
              <w:color w:val="000000"/>
              <w:sz w:val="24"/>
            </w:rPr>
          </w:pPr>
          <w:r w:rsidRPr="007F222B">
            <w:rPr>
              <w:color w:val="000000"/>
              <w:sz w:val="24"/>
            </w:rPr>
            <w:t xml:space="preserve">Brüchert, T., Quentin, P., &amp; Bolte, G. (2022). The relationship between perceived built environment and cycling or e-biking for transport among older adults–a cross-sectional study. </w:t>
          </w:r>
          <w:r w:rsidRPr="007F222B">
            <w:rPr>
              <w:i/>
              <w:iCs/>
              <w:color w:val="000000"/>
              <w:sz w:val="24"/>
            </w:rPr>
            <w:t>PLoS ONE</w:t>
          </w:r>
          <w:r w:rsidRPr="007F222B">
            <w:rPr>
              <w:color w:val="000000"/>
              <w:sz w:val="24"/>
            </w:rPr>
            <w:t xml:space="preserve">, </w:t>
          </w:r>
          <w:r w:rsidRPr="007F222B">
            <w:rPr>
              <w:i/>
              <w:iCs/>
              <w:color w:val="000000"/>
              <w:sz w:val="24"/>
            </w:rPr>
            <w:t>17</w:t>
          </w:r>
          <w:r w:rsidRPr="007F222B">
            <w:rPr>
              <w:color w:val="000000"/>
              <w:sz w:val="24"/>
            </w:rPr>
            <w:t>(5)</w:t>
          </w:r>
          <w:r w:rsidR="0084341E">
            <w:rPr>
              <w:color w:val="000000"/>
              <w:sz w:val="24"/>
            </w:rPr>
            <w:t>, e</w:t>
          </w:r>
          <w:r w:rsidR="00573FA2">
            <w:rPr>
              <w:color w:val="000000"/>
              <w:sz w:val="24"/>
            </w:rPr>
            <w:t>0267314</w:t>
          </w:r>
          <w:r w:rsidRPr="007F222B">
            <w:rPr>
              <w:color w:val="000000"/>
              <w:sz w:val="24"/>
            </w:rPr>
            <w:t xml:space="preserve">. </w:t>
          </w:r>
          <w:hyperlink r:id="rId144" w:history="1">
            <w:r w:rsidR="00D170A1" w:rsidRPr="00B82894">
              <w:rPr>
                <w:rStyle w:val="Hyperlink"/>
                <w:sz w:val="24"/>
              </w:rPr>
              <w:t>https://doi.org/10.1371/journal.pone.0267314</w:t>
            </w:r>
          </w:hyperlink>
          <w:r w:rsidR="00D170A1">
            <w:rPr>
              <w:color w:val="000000"/>
              <w:sz w:val="24"/>
            </w:rPr>
            <w:t xml:space="preserve"> </w:t>
          </w:r>
        </w:p>
        <w:p w14:paraId="517E5307" w14:textId="427DD0CB" w:rsidR="007F222B" w:rsidRPr="007F222B" w:rsidRDefault="007F222B">
          <w:pPr>
            <w:autoSpaceDE w:val="0"/>
            <w:autoSpaceDN w:val="0"/>
            <w:ind w:hanging="480"/>
            <w:divId w:val="2136411104"/>
            <w:rPr>
              <w:color w:val="000000"/>
              <w:sz w:val="24"/>
            </w:rPr>
          </w:pPr>
          <w:r w:rsidRPr="007F222B">
            <w:rPr>
              <w:color w:val="000000"/>
              <w:sz w:val="24"/>
            </w:rPr>
            <w:t xml:space="preserve">Bruner, B., Rickwood, G., Shwed, A., Karvinen, K., Lévesque, L., Mantha, S., &amp; Raymer, G. (2023). Child and parent perspectives on active school transportation: Barriers and facilitators in a northern environment. </w:t>
          </w:r>
          <w:r w:rsidRPr="007F222B">
            <w:rPr>
              <w:i/>
              <w:iCs/>
              <w:color w:val="000000"/>
              <w:sz w:val="24"/>
            </w:rPr>
            <w:t>Journal of Transport and Health</w:t>
          </w:r>
          <w:r w:rsidRPr="007F222B">
            <w:rPr>
              <w:color w:val="000000"/>
              <w:sz w:val="24"/>
            </w:rPr>
            <w:t xml:space="preserve">, </w:t>
          </w:r>
          <w:r w:rsidRPr="007F222B">
            <w:rPr>
              <w:i/>
              <w:iCs/>
              <w:color w:val="000000"/>
              <w:sz w:val="24"/>
            </w:rPr>
            <w:t>33</w:t>
          </w:r>
          <w:r w:rsidR="00BF4076">
            <w:rPr>
              <w:i/>
              <w:iCs/>
              <w:color w:val="000000"/>
              <w:sz w:val="24"/>
            </w:rPr>
            <w:t xml:space="preserve">, </w:t>
          </w:r>
          <w:r w:rsidR="00BF4076">
            <w:rPr>
              <w:color w:val="000000"/>
              <w:sz w:val="24"/>
            </w:rPr>
            <w:t>101708</w:t>
          </w:r>
          <w:r w:rsidRPr="007F222B">
            <w:rPr>
              <w:color w:val="000000"/>
              <w:sz w:val="24"/>
            </w:rPr>
            <w:t xml:space="preserve">. </w:t>
          </w:r>
          <w:hyperlink r:id="rId145" w:history="1">
            <w:r w:rsidR="00D170A1" w:rsidRPr="00B82894">
              <w:rPr>
                <w:rStyle w:val="Hyperlink"/>
                <w:sz w:val="24"/>
              </w:rPr>
              <w:t>https://doi.org/10.1016/j.jth.2023.101708</w:t>
            </w:r>
          </w:hyperlink>
          <w:r w:rsidR="00D170A1">
            <w:rPr>
              <w:color w:val="000000"/>
              <w:sz w:val="24"/>
            </w:rPr>
            <w:t xml:space="preserve"> </w:t>
          </w:r>
        </w:p>
        <w:p w14:paraId="76440A62" w14:textId="10F538B2" w:rsidR="007F222B" w:rsidRPr="007F222B" w:rsidRDefault="007F222B">
          <w:pPr>
            <w:autoSpaceDE w:val="0"/>
            <w:autoSpaceDN w:val="0"/>
            <w:ind w:hanging="480"/>
            <w:divId w:val="738557631"/>
            <w:rPr>
              <w:color w:val="000000"/>
              <w:sz w:val="24"/>
            </w:rPr>
          </w:pPr>
          <w:r w:rsidRPr="007F222B">
            <w:rPr>
              <w:color w:val="000000"/>
              <w:sz w:val="24"/>
            </w:rPr>
            <w:t xml:space="preserve">Buehler, R. (2011). Determinants of transport mode choice: a comparison of Germany and the USA. </w:t>
          </w:r>
          <w:r w:rsidRPr="007F222B">
            <w:rPr>
              <w:i/>
              <w:iCs/>
              <w:color w:val="000000"/>
              <w:sz w:val="24"/>
            </w:rPr>
            <w:t>Journal of Transport Geography</w:t>
          </w:r>
          <w:r w:rsidRPr="007F222B">
            <w:rPr>
              <w:color w:val="000000"/>
              <w:sz w:val="24"/>
            </w:rPr>
            <w:t xml:space="preserve">, </w:t>
          </w:r>
          <w:r w:rsidRPr="007F222B">
            <w:rPr>
              <w:i/>
              <w:iCs/>
              <w:color w:val="000000"/>
              <w:sz w:val="24"/>
            </w:rPr>
            <w:t>19</w:t>
          </w:r>
          <w:r w:rsidRPr="007F222B">
            <w:rPr>
              <w:color w:val="000000"/>
              <w:sz w:val="24"/>
            </w:rPr>
            <w:t xml:space="preserve">(4), 644–657. </w:t>
          </w:r>
          <w:hyperlink r:id="rId146" w:history="1">
            <w:r w:rsidR="00D170A1" w:rsidRPr="00B82894">
              <w:rPr>
                <w:rStyle w:val="Hyperlink"/>
                <w:sz w:val="24"/>
              </w:rPr>
              <w:t>https://doi.org/10.1016/j.jtrangeo.2010.07.005</w:t>
            </w:r>
          </w:hyperlink>
          <w:r w:rsidR="00D170A1">
            <w:rPr>
              <w:color w:val="000000"/>
              <w:sz w:val="24"/>
            </w:rPr>
            <w:t xml:space="preserve"> </w:t>
          </w:r>
        </w:p>
        <w:p w14:paraId="2B4F3F73" w14:textId="16199308" w:rsidR="007F222B" w:rsidRPr="007F222B" w:rsidRDefault="007F222B">
          <w:pPr>
            <w:autoSpaceDE w:val="0"/>
            <w:autoSpaceDN w:val="0"/>
            <w:ind w:hanging="480"/>
            <w:divId w:val="9725983"/>
            <w:rPr>
              <w:color w:val="000000"/>
              <w:sz w:val="24"/>
            </w:rPr>
          </w:pPr>
          <w:r w:rsidRPr="007F222B">
            <w:rPr>
              <w:color w:val="000000"/>
              <w:sz w:val="24"/>
            </w:rPr>
            <w:t xml:space="preserve">Buehler, R., &amp; Pucher, J. (2021). The growing gap in pedestrian and cyclist fatality rates between the United States and the United Kingdom, Germany, Denmark, and the Netherlands, 1990–2018. </w:t>
          </w:r>
          <w:r w:rsidRPr="007F222B">
            <w:rPr>
              <w:i/>
              <w:iCs/>
              <w:color w:val="000000"/>
              <w:sz w:val="24"/>
            </w:rPr>
            <w:t>Transport Reviews</w:t>
          </w:r>
          <w:r w:rsidRPr="007F222B">
            <w:rPr>
              <w:color w:val="000000"/>
              <w:sz w:val="24"/>
            </w:rPr>
            <w:t xml:space="preserve">, </w:t>
          </w:r>
          <w:r w:rsidRPr="007F222B">
            <w:rPr>
              <w:i/>
              <w:iCs/>
              <w:color w:val="000000"/>
              <w:sz w:val="24"/>
            </w:rPr>
            <w:t>41</w:t>
          </w:r>
          <w:r w:rsidRPr="007F222B">
            <w:rPr>
              <w:color w:val="000000"/>
              <w:sz w:val="24"/>
            </w:rPr>
            <w:t xml:space="preserve">(1), 48–72. </w:t>
          </w:r>
          <w:hyperlink r:id="rId147" w:history="1">
            <w:r w:rsidR="00D170A1" w:rsidRPr="00B82894">
              <w:rPr>
                <w:rStyle w:val="Hyperlink"/>
                <w:sz w:val="24"/>
              </w:rPr>
              <w:t>https://doi.org/10.1080/01441647.2020.1823521</w:t>
            </w:r>
          </w:hyperlink>
          <w:r w:rsidR="00D170A1">
            <w:rPr>
              <w:color w:val="000000"/>
              <w:sz w:val="24"/>
            </w:rPr>
            <w:t xml:space="preserve"> </w:t>
          </w:r>
        </w:p>
        <w:p w14:paraId="1A41DD58" w14:textId="0211B7F1" w:rsidR="007F222B" w:rsidRPr="007F222B" w:rsidRDefault="007F222B">
          <w:pPr>
            <w:autoSpaceDE w:val="0"/>
            <w:autoSpaceDN w:val="0"/>
            <w:ind w:hanging="480"/>
            <w:divId w:val="12273129"/>
            <w:rPr>
              <w:color w:val="000000"/>
              <w:sz w:val="24"/>
            </w:rPr>
          </w:pPr>
          <w:r w:rsidRPr="007F222B">
            <w:rPr>
              <w:color w:val="000000"/>
              <w:sz w:val="24"/>
            </w:rPr>
            <w:t xml:space="preserve">Buehler, R., &amp; Pucher, J. (2024). Socioeconomic variations in walking rates in the United States: Recent evidence from the 2022 National Household Travel Survey. </w:t>
          </w:r>
          <w:r w:rsidRPr="007F222B">
            <w:rPr>
              <w:i/>
              <w:iCs/>
              <w:color w:val="000000"/>
              <w:sz w:val="24"/>
            </w:rPr>
            <w:t xml:space="preserve">Journal of Transport </w:t>
          </w:r>
          <w:r w:rsidR="00405C1A">
            <w:rPr>
              <w:i/>
              <w:iCs/>
              <w:color w:val="000000"/>
              <w:sz w:val="24"/>
            </w:rPr>
            <w:t>and</w:t>
          </w:r>
          <w:r w:rsidRPr="007F222B">
            <w:rPr>
              <w:i/>
              <w:iCs/>
              <w:color w:val="000000"/>
              <w:sz w:val="24"/>
            </w:rPr>
            <w:t xml:space="preserve"> Health</w:t>
          </w:r>
          <w:r w:rsidRPr="007F222B">
            <w:rPr>
              <w:color w:val="000000"/>
              <w:sz w:val="24"/>
            </w:rPr>
            <w:t xml:space="preserve">, </w:t>
          </w:r>
          <w:r w:rsidRPr="007F222B">
            <w:rPr>
              <w:i/>
              <w:iCs/>
              <w:color w:val="000000"/>
              <w:sz w:val="24"/>
            </w:rPr>
            <w:t>38</w:t>
          </w:r>
          <w:r w:rsidRPr="007F222B">
            <w:rPr>
              <w:color w:val="000000"/>
              <w:sz w:val="24"/>
            </w:rPr>
            <w:t xml:space="preserve">, 101875. </w:t>
          </w:r>
          <w:hyperlink r:id="rId148" w:history="1">
            <w:r w:rsidR="00D170A1" w:rsidRPr="00B82894">
              <w:rPr>
                <w:rStyle w:val="Hyperlink"/>
                <w:sz w:val="24"/>
              </w:rPr>
              <w:t>https://doi.org/10.1016/j.jth.2024.101875</w:t>
            </w:r>
          </w:hyperlink>
          <w:r w:rsidR="00D170A1">
            <w:rPr>
              <w:color w:val="000000"/>
              <w:sz w:val="24"/>
            </w:rPr>
            <w:t xml:space="preserve"> </w:t>
          </w:r>
        </w:p>
        <w:p w14:paraId="6BD54624" w14:textId="2E9EDFB0" w:rsidR="007F222B" w:rsidRPr="007F222B" w:rsidRDefault="007F222B">
          <w:pPr>
            <w:autoSpaceDE w:val="0"/>
            <w:autoSpaceDN w:val="0"/>
            <w:ind w:hanging="480"/>
            <w:divId w:val="374894768"/>
            <w:rPr>
              <w:color w:val="000000"/>
              <w:sz w:val="24"/>
            </w:rPr>
          </w:pPr>
          <w:r w:rsidRPr="007F222B">
            <w:rPr>
              <w:color w:val="000000"/>
              <w:sz w:val="24"/>
            </w:rPr>
            <w:t xml:space="preserve">Buehler, R., Pucher, J., Wittwer, R., &amp; Gerike, R. (2024). Trends and determinants of the mobility of older adults in the USA and Germany, 2001–2017. </w:t>
          </w:r>
          <w:r w:rsidRPr="007F222B">
            <w:rPr>
              <w:i/>
              <w:iCs/>
              <w:color w:val="000000"/>
              <w:sz w:val="24"/>
            </w:rPr>
            <w:t>Transportation Research Part A: Policy and Practice</w:t>
          </w:r>
          <w:r w:rsidRPr="007F222B">
            <w:rPr>
              <w:color w:val="000000"/>
              <w:sz w:val="24"/>
            </w:rPr>
            <w:t xml:space="preserve">, </w:t>
          </w:r>
          <w:r w:rsidRPr="007F222B">
            <w:rPr>
              <w:i/>
              <w:iCs/>
              <w:color w:val="000000"/>
              <w:sz w:val="24"/>
            </w:rPr>
            <w:t>183</w:t>
          </w:r>
          <w:r w:rsidR="006B2770">
            <w:rPr>
              <w:i/>
              <w:iCs/>
              <w:color w:val="000000"/>
              <w:sz w:val="24"/>
            </w:rPr>
            <w:t xml:space="preserve">, </w:t>
          </w:r>
          <w:r w:rsidR="006B2770">
            <w:rPr>
              <w:color w:val="000000"/>
              <w:sz w:val="24"/>
            </w:rPr>
            <w:t>104065</w:t>
          </w:r>
          <w:r w:rsidRPr="007F222B">
            <w:rPr>
              <w:color w:val="000000"/>
              <w:sz w:val="24"/>
            </w:rPr>
            <w:t xml:space="preserve">. </w:t>
          </w:r>
          <w:hyperlink r:id="rId149" w:history="1">
            <w:r w:rsidR="00D170A1" w:rsidRPr="00B82894">
              <w:rPr>
                <w:rStyle w:val="Hyperlink"/>
                <w:sz w:val="24"/>
              </w:rPr>
              <w:t>https://doi.org/10.1016/j.tra.2024.104065</w:t>
            </w:r>
          </w:hyperlink>
          <w:r w:rsidR="00D170A1">
            <w:rPr>
              <w:color w:val="000000"/>
              <w:sz w:val="24"/>
            </w:rPr>
            <w:t xml:space="preserve"> </w:t>
          </w:r>
        </w:p>
        <w:p w14:paraId="6FF0D6B9" w14:textId="62DEECE9" w:rsidR="007F222B" w:rsidRPr="007F222B" w:rsidRDefault="007F222B">
          <w:pPr>
            <w:autoSpaceDE w:val="0"/>
            <w:autoSpaceDN w:val="0"/>
            <w:ind w:hanging="480"/>
            <w:divId w:val="741148524"/>
            <w:rPr>
              <w:color w:val="000000"/>
              <w:sz w:val="24"/>
            </w:rPr>
          </w:pPr>
          <w:r w:rsidRPr="007F222B">
            <w:rPr>
              <w:color w:val="000000"/>
              <w:sz w:val="24"/>
            </w:rPr>
            <w:t xml:space="preserve">Carlson, S. A., Whitfield, G. P., Davis, R. T., Peterson, E. L., Fulton, J. E., &amp; Berrigan, D. (2021). Associations between perceptions and measures of weather and walking, United States—2015. </w:t>
          </w:r>
          <w:r w:rsidRPr="007F222B">
            <w:rPr>
              <w:i/>
              <w:iCs/>
              <w:color w:val="000000"/>
              <w:sz w:val="24"/>
            </w:rPr>
            <w:t>International Journal of Environmental Research and Public Health</w:t>
          </w:r>
          <w:r w:rsidRPr="007F222B">
            <w:rPr>
              <w:color w:val="000000"/>
              <w:sz w:val="24"/>
            </w:rPr>
            <w:t xml:space="preserve">, </w:t>
          </w:r>
          <w:r w:rsidRPr="007F222B">
            <w:rPr>
              <w:i/>
              <w:iCs/>
              <w:color w:val="000000"/>
              <w:sz w:val="24"/>
            </w:rPr>
            <w:t>18</w:t>
          </w:r>
          <w:r w:rsidRPr="007F222B">
            <w:rPr>
              <w:color w:val="000000"/>
              <w:sz w:val="24"/>
            </w:rPr>
            <w:t>(16)</w:t>
          </w:r>
          <w:r w:rsidR="00282707">
            <w:rPr>
              <w:color w:val="000000"/>
              <w:sz w:val="24"/>
            </w:rPr>
            <w:t>, 8398</w:t>
          </w:r>
          <w:r w:rsidRPr="007F222B">
            <w:rPr>
              <w:color w:val="000000"/>
              <w:sz w:val="24"/>
            </w:rPr>
            <w:t xml:space="preserve">. </w:t>
          </w:r>
          <w:hyperlink r:id="rId150" w:history="1">
            <w:r w:rsidR="00D170A1" w:rsidRPr="00B82894">
              <w:rPr>
                <w:rStyle w:val="Hyperlink"/>
                <w:sz w:val="24"/>
              </w:rPr>
              <w:t>https://doi.org/10.3390/ijerph18168398</w:t>
            </w:r>
          </w:hyperlink>
          <w:r w:rsidR="00D170A1">
            <w:rPr>
              <w:color w:val="000000"/>
              <w:sz w:val="24"/>
            </w:rPr>
            <w:t xml:space="preserve"> </w:t>
          </w:r>
        </w:p>
        <w:p w14:paraId="056A7CF5" w14:textId="4664A77A" w:rsidR="007F222B" w:rsidRPr="007F222B" w:rsidRDefault="007F222B">
          <w:pPr>
            <w:autoSpaceDE w:val="0"/>
            <w:autoSpaceDN w:val="0"/>
            <w:ind w:hanging="480"/>
            <w:divId w:val="1745687832"/>
            <w:rPr>
              <w:color w:val="000000"/>
              <w:sz w:val="24"/>
            </w:rPr>
          </w:pPr>
          <w:r w:rsidRPr="007F222B">
            <w:rPr>
              <w:color w:val="000000"/>
              <w:sz w:val="24"/>
            </w:rPr>
            <w:t xml:space="preserve">Caspi, O., Smart, M. J., &amp; Noland, R. B. (2020). Spatial associations of dockless shared e-scooter usage. </w:t>
          </w:r>
          <w:r w:rsidRPr="007F222B">
            <w:rPr>
              <w:i/>
              <w:iCs/>
              <w:color w:val="000000"/>
              <w:sz w:val="24"/>
            </w:rPr>
            <w:t>Transportation Research Part D: Transport and Environment</w:t>
          </w:r>
          <w:r w:rsidRPr="007F222B">
            <w:rPr>
              <w:color w:val="000000"/>
              <w:sz w:val="24"/>
            </w:rPr>
            <w:t xml:space="preserve">, </w:t>
          </w:r>
          <w:r w:rsidRPr="007F222B">
            <w:rPr>
              <w:i/>
              <w:iCs/>
              <w:color w:val="000000"/>
              <w:sz w:val="24"/>
            </w:rPr>
            <w:t>86</w:t>
          </w:r>
          <w:r w:rsidR="006B2770">
            <w:rPr>
              <w:i/>
              <w:iCs/>
              <w:color w:val="000000"/>
              <w:sz w:val="24"/>
            </w:rPr>
            <w:t xml:space="preserve">, </w:t>
          </w:r>
          <w:r w:rsidR="006B2770">
            <w:rPr>
              <w:color w:val="000000"/>
              <w:sz w:val="24"/>
            </w:rPr>
            <w:t>102396</w:t>
          </w:r>
          <w:r w:rsidRPr="007F222B">
            <w:rPr>
              <w:color w:val="000000"/>
              <w:sz w:val="24"/>
            </w:rPr>
            <w:t xml:space="preserve">. </w:t>
          </w:r>
          <w:hyperlink r:id="rId151" w:history="1">
            <w:r w:rsidR="00D170A1" w:rsidRPr="00B82894">
              <w:rPr>
                <w:rStyle w:val="Hyperlink"/>
                <w:sz w:val="24"/>
              </w:rPr>
              <w:t>https://doi.org/10.1016/j.trd.2020.102396</w:t>
            </w:r>
          </w:hyperlink>
          <w:r w:rsidR="00D170A1">
            <w:rPr>
              <w:color w:val="000000"/>
              <w:sz w:val="24"/>
            </w:rPr>
            <w:t xml:space="preserve"> </w:t>
          </w:r>
        </w:p>
        <w:p w14:paraId="61487F52" w14:textId="3D93599C" w:rsidR="007F222B" w:rsidRPr="007F222B" w:rsidRDefault="007F222B">
          <w:pPr>
            <w:autoSpaceDE w:val="0"/>
            <w:autoSpaceDN w:val="0"/>
            <w:ind w:hanging="480"/>
            <w:divId w:val="503008631"/>
            <w:rPr>
              <w:color w:val="000000"/>
              <w:sz w:val="24"/>
            </w:rPr>
          </w:pPr>
          <w:r w:rsidRPr="007F222B">
            <w:rPr>
              <w:color w:val="000000"/>
              <w:sz w:val="24"/>
            </w:rPr>
            <w:t xml:space="preserve">Cerin, E., Leslie, E., &amp; Owen, N. (2009). Explaining socio-economic status differences in walking for transport: An ecological analysis of individual, social and environmental factors. </w:t>
          </w:r>
          <w:r w:rsidRPr="007F222B">
            <w:rPr>
              <w:i/>
              <w:iCs/>
              <w:color w:val="000000"/>
              <w:sz w:val="24"/>
            </w:rPr>
            <w:t>Social Science and Medicine</w:t>
          </w:r>
          <w:r w:rsidRPr="007F222B">
            <w:rPr>
              <w:color w:val="000000"/>
              <w:sz w:val="24"/>
            </w:rPr>
            <w:t xml:space="preserve">, </w:t>
          </w:r>
          <w:r w:rsidRPr="007F222B">
            <w:rPr>
              <w:i/>
              <w:iCs/>
              <w:color w:val="000000"/>
              <w:sz w:val="24"/>
            </w:rPr>
            <w:t>68</w:t>
          </w:r>
          <w:r w:rsidRPr="007F222B">
            <w:rPr>
              <w:color w:val="000000"/>
              <w:sz w:val="24"/>
            </w:rPr>
            <w:t xml:space="preserve">(6), 1013–1020. </w:t>
          </w:r>
          <w:hyperlink r:id="rId152" w:history="1">
            <w:r w:rsidR="00D170A1" w:rsidRPr="00B82894">
              <w:rPr>
                <w:rStyle w:val="Hyperlink"/>
                <w:sz w:val="24"/>
              </w:rPr>
              <w:t>https://doi.org/10.1016/j.socscimed.2009.01.008</w:t>
            </w:r>
          </w:hyperlink>
          <w:r w:rsidR="00D170A1">
            <w:rPr>
              <w:color w:val="000000"/>
              <w:sz w:val="24"/>
            </w:rPr>
            <w:t xml:space="preserve"> </w:t>
          </w:r>
        </w:p>
        <w:p w14:paraId="35494F19" w14:textId="5E5F3BE5" w:rsidR="007F222B" w:rsidRPr="007F222B" w:rsidRDefault="007F222B" w:rsidP="001F3ABE">
          <w:pPr>
            <w:keepLines/>
            <w:autoSpaceDE w:val="0"/>
            <w:autoSpaceDN w:val="0"/>
            <w:ind w:hanging="475"/>
            <w:divId w:val="1223442706"/>
            <w:rPr>
              <w:color w:val="000000"/>
              <w:sz w:val="24"/>
            </w:rPr>
          </w:pPr>
          <w:r w:rsidRPr="007F222B">
            <w:rPr>
              <w:color w:val="000000"/>
              <w:sz w:val="24"/>
            </w:rPr>
            <w:lastRenderedPageBreak/>
            <w:t xml:space="preserve">Cerin, E., Nathan, A., van Cauwenberg, J., Barnett, D. W., &amp; Barnett, A. (2017). The neighbourhood physical environment and active travel in older adults: a systematic review and meta-analysis. </w:t>
          </w:r>
          <w:r w:rsidRPr="007F222B">
            <w:rPr>
              <w:i/>
              <w:iCs/>
              <w:color w:val="000000"/>
              <w:sz w:val="24"/>
            </w:rPr>
            <w:t>International Journal of Behavioral Nutrition and Physical Activity</w:t>
          </w:r>
          <w:r w:rsidRPr="007F222B">
            <w:rPr>
              <w:color w:val="000000"/>
              <w:sz w:val="24"/>
            </w:rPr>
            <w:t xml:space="preserve">, </w:t>
          </w:r>
          <w:r w:rsidRPr="007F222B">
            <w:rPr>
              <w:i/>
              <w:iCs/>
              <w:color w:val="000000"/>
              <w:sz w:val="24"/>
            </w:rPr>
            <w:t>14</w:t>
          </w:r>
          <w:r w:rsidRPr="007F222B">
            <w:rPr>
              <w:color w:val="000000"/>
              <w:sz w:val="24"/>
            </w:rPr>
            <w:t xml:space="preserve">(1), 15. </w:t>
          </w:r>
          <w:hyperlink r:id="rId153" w:history="1">
            <w:r w:rsidR="00D170A1" w:rsidRPr="00B82894">
              <w:rPr>
                <w:rStyle w:val="Hyperlink"/>
                <w:sz w:val="24"/>
              </w:rPr>
              <w:t>https://doi.org/10.1186/s12966-017-0471-5</w:t>
            </w:r>
          </w:hyperlink>
          <w:r w:rsidR="00D170A1">
            <w:rPr>
              <w:color w:val="000000"/>
              <w:sz w:val="24"/>
            </w:rPr>
            <w:t xml:space="preserve"> </w:t>
          </w:r>
        </w:p>
        <w:p w14:paraId="586C318C" w14:textId="673A4DDA" w:rsidR="007F222B" w:rsidRPr="007F222B" w:rsidRDefault="007F222B">
          <w:pPr>
            <w:autoSpaceDE w:val="0"/>
            <w:autoSpaceDN w:val="0"/>
            <w:ind w:hanging="480"/>
            <w:divId w:val="1766195261"/>
            <w:rPr>
              <w:color w:val="000000"/>
              <w:sz w:val="24"/>
            </w:rPr>
          </w:pPr>
          <w:r w:rsidRPr="007F222B">
            <w:rPr>
              <w:color w:val="000000"/>
              <w:sz w:val="24"/>
            </w:rPr>
            <w:t xml:space="preserve">Chahine, R., Duarte, J., &amp; Gkritza, K. (2025). Effect of protected bike lanes on bike-sharing ridership: A New York City case study. </w:t>
          </w:r>
          <w:r w:rsidRPr="007F222B">
            <w:rPr>
              <w:i/>
              <w:iCs/>
              <w:color w:val="000000"/>
              <w:sz w:val="24"/>
            </w:rPr>
            <w:t>Journal of Transport Geography</w:t>
          </w:r>
          <w:r w:rsidRPr="007F222B">
            <w:rPr>
              <w:color w:val="000000"/>
              <w:sz w:val="24"/>
            </w:rPr>
            <w:t xml:space="preserve">, </w:t>
          </w:r>
          <w:r w:rsidRPr="007F222B">
            <w:rPr>
              <w:i/>
              <w:iCs/>
              <w:color w:val="000000"/>
              <w:sz w:val="24"/>
            </w:rPr>
            <w:t>123</w:t>
          </w:r>
          <w:r w:rsidR="00617841">
            <w:rPr>
              <w:color w:val="000000"/>
              <w:sz w:val="24"/>
            </w:rPr>
            <w:t>, 104147</w:t>
          </w:r>
          <w:r w:rsidRPr="007F222B">
            <w:rPr>
              <w:color w:val="000000"/>
              <w:sz w:val="24"/>
            </w:rPr>
            <w:t xml:space="preserve">. </w:t>
          </w:r>
          <w:hyperlink r:id="rId154" w:history="1">
            <w:r w:rsidR="00D170A1" w:rsidRPr="00B82894">
              <w:rPr>
                <w:rStyle w:val="Hyperlink"/>
                <w:sz w:val="24"/>
              </w:rPr>
              <w:t>https://doi.org/10.1016/j.jtrangeo.2025.104147</w:t>
            </w:r>
          </w:hyperlink>
          <w:r w:rsidR="00D170A1">
            <w:rPr>
              <w:color w:val="000000"/>
              <w:sz w:val="24"/>
            </w:rPr>
            <w:t xml:space="preserve"> </w:t>
          </w:r>
        </w:p>
        <w:p w14:paraId="49B59BEE" w14:textId="23B1308A" w:rsidR="007F222B" w:rsidRPr="007F222B" w:rsidRDefault="007F222B">
          <w:pPr>
            <w:autoSpaceDE w:val="0"/>
            <w:autoSpaceDN w:val="0"/>
            <w:ind w:hanging="480"/>
            <w:divId w:val="474837773"/>
            <w:rPr>
              <w:color w:val="000000"/>
              <w:sz w:val="24"/>
            </w:rPr>
          </w:pPr>
          <w:r w:rsidRPr="007F222B">
            <w:rPr>
              <w:color w:val="000000"/>
              <w:sz w:val="24"/>
            </w:rPr>
            <w:t xml:space="preserve">Chalfin, A., Hansen, B., Lerner, J., &amp; Parker, L. (2022). Reducing Crime Through Environmental Design: Evidence from a Randomized Experiment of Street Lighting in New York City. </w:t>
          </w:r>
          <w:r w:rsidRPr="007F222B">
            <w:rPr>
              <w:i/>
              <w:iCs/>
              <w:color w:val="000000"/>
              <w:sz w:val="24"/>
            </w:rPr>
            <w:t>Journal of Quantitative Criminology</w:t>
          </w:r>
          <w:r w:rsidRPr="007F222B">
            <w:rPr>
              <w:color w:val="000000"/>
              <w:sz w:val="24"/>
            </w:rPr>
            <w:t xml:space="preserve">, </w:t>
          </w:r>
          <w:r w:rsidRPr="007F222B">
            <w:rPr>
              <w:i/>
              <w:iCs/>
              <w:color w:val="000000"/>
              <w:sz w:val="24"/>
            </w:rPr>
            <w:t>38</w:t>
          </w:r>
          <w:r w:rsidRPr="007F222B">
            <w:rPr>
              <w:color w:val="000000"/>
              <w:sz w:val="24"/>
            </w:rPr>
            <w:t xml:space="preserve">(1), 127–157. </w:t>
          </w:r>
          <w:hyperlink r:id="rId155" w:history="1">
            <w:r w:rsidR="00D170A1" w:rsidRPr="00B82894">
              <w:rPr>
                <w:rStyle w:val="Hyperlink"/>
                <w:sz w:val="24"/>
              </w:rPr>
              <w:t>https://doi.org/10.1007/s10940-020-09490-6</w:t>
            </w:r>
          </w:hyperlink>
          <w:r w:rsidR="00D170A1">
            <w:rPr>
              <w:color w:val="000000"/>
              <w:sz w:val="24"/>
            </w:rPr>
            <w:t xml:space="preserve"> </w:t>
          </w:r>
        </w:p>
        <w:p w14:paraId="572BCBA8" w14:textId="77777777" w:rsidR="007F222B" w:rsidRPr="007F222B" w:rsidRDefault="007F222B">
          <w:pPr>
            <w:autoSpaceDE w:val="0"/>
            <w:autoSpaceDN w:val="0"/>
            <w:ind w:hanging="480"/>
            <w:divId w:val="1976138312"/>
            <w:rPr>
              <w:color w:val="000000"/>
              <w:sz w:val="24"/>
            </w:rPr>
          </w:pPr>
          <w:r w:rsidRPr="007F222B">
            <w:rPr>
              <w:color w:val="000000"/>
              <w:sz w:val="24"/>
            </w:rPr>
            <w:t xml:space="preserve">Chapman, J., Fox, E., Bachman, W., &amp; Frank, L. (2021). </w:t>
          </w:r>
          <w:r w:rsidRPr="00916BD5">
            <w:rPr>
              <w:i/>
              <w:iCs/>
              <w:color w:val="000000"/>
              <w:sz w:val="24"/>
            </w:rPr>
            <w:t>Smart Location Database Technical Documentation and User Guide Version 3.0</w:t>
          </w:r>
          <w:r w:rsidRPr="0027208B">
            <w:rPr>
              <w:color w:val="000000"/>
              <w:sz w:val="24"/>
            </w:rPr>
            <w:t>. U.S. Environmental Protection Agency.</w:t>
          </w:r>
        </w:p>
        <w:p w14:paraId="4630CFD6" w14:textId="29EE6B26" w:rsidR="007F222B" w:rsidRPr="007F222B" w:rsidRDefault="007F222B">
          <w:pPr>
            <w:autoSpaceDE w:val="0"/>
            <w:autoSpaceDN w:val="0"/>
            <w:ind w:hanging="480"/>
            <w:divId w:val="1392389148"/>
            <w:rPr>
              <w:color w:val="000000"/>
              <w:sz w:val="24"/>
            </w:rPr>
          </w:pPr>
          <w:r w:rsidRPr="007F222B">
            <w:rPr>
              <w:color w:val="000000"/>
              <w:sz w:val="24"/>
            </w:rPr>
            <w:t>D</w:t>
          </w:r>
          <w:r w:rsidR="000D7001">
            <w:rPr>
              <w:color w:val="000000"/>
              <w:sz w:val="24"/>
            </w:rPr>
            <w:t>’</w:t>
          </w:r>
          <w:r w:rsidRPr="007F222B">
            <w:rPr>
              <w:color w:val="000000"/>
              <w:sz w:val="24"/>
            </w:rPr>
            <w:t>Agostino, C., Piva, E., Pucci, P., &amp; Rossi, C. (2024). A systematic literature review on women</w:t>
          </w:r>
          <w:r w:rsidR="000D7001">
            <w:rPr>
              <w:color w:val="000000"/>
              <w:sz w:val="24"/>
            </w:rPr>
            <w:t>’</w:t>
          </w:r>
          <w:r w:rsidRPr="007F222B">
            <w:rPr>
              <w:color w:val="000000"/>
              <w:sz w:val="24"/>
            </w:rPr>
            <w:t xml:space="preserve">s daily mobility in the Global North. </w:t>
          </w:r>
          <w:r w:rsidRPr="007F222B">
            <w:rPr>
              <w:i/>
              <w:iCs/>
              <w:color w:val="000000"/>
              <w:sz w:val="24"/>
            </w:rPr>
            <w:t>Transport Reviews</w:t>
          </w:r>
          <w:r w:rsidRPr="007F222B">
            <w:rPr>
              <w:color w:val="000000"/>
              <w:sz w:val="24"/>
            </w:rPr>
            <w:t xml:space="preserve">, </w:t>
          </w:r>
          <w:r w:rsidRPr="007F222B">
            <w:rPr>
              <w:i/>
              <w:iCs/>
              <w:color w:val="000000"/>
              <w:sz w:val="24"/>
            </w:rPr>
            <w:t>44</w:t>
          </w:r>
          <w:r w:rsidRPr="007F222B">
            <w:rPr>
              <w:color w:val="000000"/>
              <w:sz w:val="24"/>
            </w:rPr>
            <w:t xml:space="preserve">(5), 1016–1044. </w:t>
          </w:r>
          <w:hyperlink r:id="rId156" w:history="1">
            <w:r w:rsidR="00D170A1" w:rsidRPr="00B82894">
              <w:rPr>
                <w:rStyle w:val="Hyperlink"/>
                <w:sz w:val="24"/>
              </w:rPr>
              <w:t>https://doi.org/10.1080/01441647.2024.2350613</w:t>
            </w:r>
          </w:hyperlink>
          <w:r w:rsidR="00D170A1">
            <w:rPr>
              <w:color w:val="000000"/>
              <w:sz w:val="24"/>
            </w:rPr>
            <w:t xml:space="preserve"> </w:t>
          </w:r>
        </w:p>
        <w:p w14:paraId="59A21C7B" w14:textId="14DC8848" w:rsidR="007F222B" w:rsidRPr="007F222B" w:rsidRDefault="007F222B">
          <w:pPr>
            <w:autoSpaceDE w:val="0"/>
            <w:autoSpaceDN w:val="0"/>
            <w:ind w:hanging="480"/>
            <w:divId w:val="1872722950"/>
            <w:rPr>
              <w:color w:val="000000"/>
              <w:sz w:val="24"/>
            </w:rPr>
          </w:pPr>
          <w:r w:rsidRPr="007F222B">
            <w:rPr>
              <w:color w:val="000000"/>
              <w:sz w:val="24"/>
            </w:rPr>
            <w:t xml:space="preserve">De Vos, J., Lättman, K., van der Vlugt, A. L., Welsch, J., &amp; Otsuka, N. (2023). Determinants and effects of perceived walkability: a literature review, conceptual model and research agenda. </w:t>
          </w:r>
          <w:r w:rsidRPr="007F222B">
            <w:rPr>
              <w:i/>
              <w:iCs/>
              <w:color w:val="000000"/>
              <w:sz w:val="24"/>
            </w:rPr>
            <w:t>Transport Reviews</w:t>
          </w:r>
          <w:r w:rsidRPr="007F222B">
            <w:rPr>
              <w:color w:val="000000"/>
              <w:sz w:val="24"/>
            </w:rPr>
            <w:t xml:space="preserve">, </w:t>
          </w:r>
          <w:r w:rsidRPr="007F222B">
            <w:rPr>
              <w:i/>
              <w:iCs/>
              <w:color w:val="000000"/>
              <w:sz w:val="24"/>
            </w:rPr>
            <w:t>43</w:t>
          </w:r>
          <w:r w:rsidRPr="007F222B">
            <w:rPr>
              <w:color w:val="000000"/>
              <w:sz w:val="24"/>
            </w:rPr>
            <w:t xml:space="preserve">(2), 303–324. </w:t>
          </w:r>
          <w:hyperlink r:id="rId157" w:history="1">
            <w:r w:rsidR="00D170A1" w:rsidRPr="00B82894">
              <w:rPr>
                <w:rStyle w:val="Hyperlink"/>
                <w:sz w:val="24"/>
              </w:rPr>
              <w:t>https://doi.org/10.1080/01441647.2022.2101072</w:t>
            </w:r>
          </w:hyperlink>
          <w:r w:rsidR="00D170A1">
            <w:rPr>
              <w:color w:val="000000"/>
              <w:sz w:val="24"/>
            </w:rPr>
            <w:t xml:space="preserve"> </w:t>
          </w:r>
        </w:p>
        <w:p w14:paraId="3B2B8F6C" w14:textId="6EBFBAF3" w:rsidR="007F222B" w:rsidRPr="007F222B" w:rsidRDefault="007F222B">
          <w:pPr>
            <w:autoSpaceDE w:val="0"/>
            <w:autoSpaceDN w:val="0"/>
            <w:ind w:hanging="480"/>
            <w:divId w:val="203371551"/>
            <w:rPr>
              <w:color w:val="000000"/>
              <w:sz w:val="24"/>
            </w:rPr>
          </w:pPr>
          <w:r w:rsidRPr="007F222B">
            <w:rPr>
              <w:color w:val="000000"/>
              <w:sz w:val="24"/>
            </w:rPr>
            <w:t xml:space="preserve">Dill, J., &amp; McNeil, N. (2016). Revisiting the Four Types of Cyclists: Findings from a National Survey. </w:t>
          </w:r>
          <w:r w:rsidRPr="007F222B">
            <w:rPr>
              <w:i/>
              <w:iCs/>
              <w:color w:val="000000"/>
              <w:sz w:val="24"/>
            </w:rPr>
            <w:t>Transportation Research Record</w:t>
          </w:r>
          <w:r w:rsidRPr="007F222B">
            <w:rPr>
              <w:color w:val="000000"/>
              <w:sz w:val="24"/>
            </w:rPr>
            <w:t xml:space="preserve">, </w:t>
          </w:r>
          <w:r w:rsidRPr="007F222B">
            <w:rPr>
              <w:i/>
              <w:iCs/>
              <w:color w:val="000000"/>
              <w:sz w:val="24"/>
            </w:rPr>
            <w:t>2587</w:t>
          </w:r>
          <w:r w:rsidRPr="007F222B">
            <w:rPr>
              <w:color w:val="000000"/>
              <w:sz w:val="24"/>
            </w:rPr>
            <w:t xml:space="preserve">(1), 90–99. </w:t>
          </w:r>
          <w:hyperlink r:id="rId158" w:history="1">
            <w:r w:rsidR="00D170A1" w:rsidRPr="00B82894">
              <w:rPr>
                <w:rStyle w:val="Hyperlink"/>
                <w:sz w:val="24"/>
              </w:rPr>
              <w:t>https://doi.org/10.3141/2587-11</w:t>
            </w:r>
          </w:hyperlink>
          <w:r w:rsidR="00D170A1">
            <w:rPr>
              <w:color w:val="000000"/>
              <w:sz w:val="24"/>
            </w:rPr>
            <w:t xml:space="preserve"> </w:t>
          </w:r>
        </w:p>
        <w:p w14:paraId="1129FBED" w14:textId="49B6AD3C" w:rsidR="007F222B" w:rsidRPr="007F222B" w:rsidRDefault="007F222B">
          <w:pPr>
            <w:autoSpaceDE w:val="0"/>
            <w:autoSpaceDN w:val="0"/>
            <w:ind w:hanging="480"/>
            <w:divId w:val="747003386"/>
            <w:rPr>
              <w:color w:val="000000"/>
              <w:sz w:val="24"/>
            </w:rPr>
          </w:pPr>
          <w:r w:rsidRPr="007F222B">
            <w:rPr>
              <w:color w:val="000000"/>
              <w:sz w:val="24"/>
            </w:rPr>
            <w:t>Ding, D., Luo, M.</w:t>
          </w:r>
          <w:r w:rsidR="009F19B5">
            <w:rPr>
              <w:color w:val="000000"/>
              <w:sz w:val="24"/>
            </w:rPr>
            <w:t>, Infante</w:t>
          </w:r>
          <w:r w:rsidRPr="007F222B">
            <w:rPr>
              <w:color w:val="000000"/>
              <w:sz w:val="24"/>
            </w:rPr>
            <w:t>,</w:t>
          </w:r>
          <w:r w:rsidR="00315545">
            <w:rPr>
              <w:color w:val="000000"/>
              <w:sz w:val="24"/>
            </w:rPr>
            <w:t xml:space="preserve"> M. F. P.</w:t>
          </w:r>
          <w:r w:rsidR="00FE4BBA">
            <w:rPr>
              <w:color w:val="000000"/>
              <w:sz w:val="24"/>
            </w:rPr>
            <w:t>,</w:t>
          </w:r>
          <w:r w:rsidRPr="007F222B">
            <w:rPr>
              <w:color w:val="000000"/>
              <w:sz w:val="24"/>
            </w:rPr>
            <w:t xml:space="preserve"> Gunn, L., Salvo, D., Zapata-Diomedi, B., Smith, B., Bellew, W., Bauman, A., Nau, T., &amp; Nguyen, B. (2024). The co-benefits of active travel interventions beyond physical activity: a systematic review. </w:t>
          </w:r>
          <w:r w:rsidR="00E51107" w:rsidRPr="00E51107">
            <w:rPr>
              <w:i/>
              <w:iCs/>
              <w:color w:val="000000"/>
              <w:sz w:val="24"/>
            </w:rPr>
            <w:t>The</w:t>
          </w:r>
          <w:r w:rsidRPr="007F222B">
            <w:rPr>
              <w:i/>
              <w:iCs/>
              <w:color w:val="000000"/>
              <w:sz w:val="24"/>
            </w:rPr>
            <w:t xml:space="preserve"> Lancet Planet</w:t>
          </w:r>
          <w:r w:rsidR="00720DDA">
            <w:rPr>
              <w:i/>
              <w:iCs/>
              <w:color w:val="000000"/>
              <w:sz w:val="24"/>
            </w:rPr>
            <w:t>ary</w:t>
          </w:r>
          <w:r w:rsidRPr="007F222B">
            <w:rPr>
              <w:i/>
              <w:iCs/>
              <w:color w:val="000000"/>
              <w:sz w:val="24"/>
            </w:rPr>
            <w:t xml:space="preserve"> Health</w:t>
          </w:r>
          <w:r w:rsidR="004F1E8B">
            <w:rPr>
              <w:color w:val="000000"/>
              <w:sz w:val="24"/>
            </w:rPr>
            <w:t xml:space="preserve">, </w:t>
          </w:r>
          <w:r w:rsidR="004F1E8B" w:rsidRPr="004F1E8B">
            <w:rPr>
              <w:i/>
              <w:iCs/>
              <w:color w:val="000000"/>
              <w:sz w:val="24"/>
            </w:rPr>
            <w:t>8</w:t>
          </w:r>
          <w:r w:rsidR="004F1E8B" w:rsidRPr="004F1E8B">
            <w:rPr>
              <w:color w:val="000000"/>
              <w:sz w:val="24"/>
            </w:rPr>
            <w:t>(10), e790</w:t>
          </w:r>
          <w:r w:rsidR="001E0767" w:rsidRPr="007F222B">
            <w:rPr>
              <w:color w:val="000000"/>
              <w:sz w:val="24"/>
            </w:rPr>
            <w:t>–</w:t>
          </w:r>
          <w:r w:rsidR="004F1E8B" w:rsidRPr="004F1E8B">
            <w:rPr>
              <w:color w:val="000000"/>
              <w:sz w:val="24"/>
            </w:rPr>
            <w:t>e803.</w:t>
          </w:r>
          <w:r w:rsidRPr="007F222B">
            <w:rPr>
              <w:color w:val="000000"/>
              <w:sz w:val="24"/>
            </w:rPr>
            <w:t xml:space="preserve"> </w:t>
          </w:r>
          <w:hyperlink r:id="rId159" w:history="1">
            <w:r w:rsidR="00D170A1" w:rsidRPr="00B82894">
              <w:rPr>
                <w:rStyle w:val="Hyperlink"/>
                <w:sz w:val="24"/>
              </w:rPr>
              <w:t>https://doi.org/10.1016/S2542-5196(24)00201-8</w:t>
            </w:r>
          </w:hyperlink>
          <w:r w:rsidR="00D170A1">
            <w:rPr>
              <w:color w:val="000000"/>
              <w:sz w:val="24"/>
            </w:rPr>
            <w:t xml:space="preserve"> </w:t>
          </w:r>
        </w:p>
        <w:p w14:paraId="12B276D6" w14:textId="62C43138" w:rsidR="007F222B" w:rsidRPr="007F222B" w:rsidRDefault="007F222B">
          <w:pPr>
            <w:autoSpaceDE w:val="0"/>
            <w:autoSpaceDN w:val="0"/>
            <w:ind w:hanging="480"/>
            <w:divId w:val="1756825395"/>
            <w:rPr>
              <w:color w:val="000000"/>
              <w:sz w:val="24"/>
            </w:rPr>
          </w:pPr>
          <w:r w:rsidRPr="007F222B">
            <w:rPr>
              <w:color w:val="000000"/>
              <w:sz w:val="24"/>
            </w:rPr>
            <w:t xml:space="preserve">Duim, E., Lebrão, M. L., &amp; Antunes, J. L. F. (2017). Walking speed of older people and pedestrian crossing time. </w:t>
          </w:r>
          <w:r w:rsidRPr="007F222B">
            <w:rPr>
              <w:i/>
              <w:iCs/>
              <w:color w:val="000000"/>
              <w:sz w:val="24"/>
            </w:rPr>
            <w:t>Journal of Transport and Health</w:t>
          </w:r>
          <w:r w:rsidRPr="007F222B">
            <w:rPr>
              <w:color w:val="000000"/>
              <w:sz w:val="24"/>
            </w:rPr>
            <w:t xml:space="preserve">, </w:t>
          </w:r>
          <w:r w:rsidRPr="007F222B">
            <w:rPr>
              <w:i/>
              <w:iCs/>
              <w:color w:val="000000"/>
              <w:sz w:val="24"/>
            </w:rPr>
            <w:t>5</w:t>
          </w:r>
          <w:r w:rsidRPr="007F222B">
            <w:rPr>
              <w:color w:val="000000"/>
              <w:sz w:val="24"/>
            </w:rPr>
            <w:t xml:space="preserve">, 70–76. </w:t>
          </w:r>
          <w:hyperlink r:id="rId160" w:history="1">
            <w:r w:rsidR="00D170A1" w:rsidRPr="00B82894">
              <w:rPr>
                <w:rStyle w:val="Hyperlink"/>
                <w:sz w:val="24"/>
              </w:rPr>
              <w:t>https://doi.org/10.1016/j.jth.2017.02.001</w:t>
            </w:r>
          </w:hyperlink>
          <w:r w:rsidR="00D170A1">
            <w:rPr>
              <w:color w:val="000000"/>
              <w:sz w:val="24"/>
            </w:rPr>
            <w:t xml:space="preserve"> </w:t>
          </w:r>
        </w:p>
        <w:p w14:paraId="6385AB02" w14:textId="24FA7EC3" w:rsidR="007F222B" w:rsidRPr="007F222B" w:rsidRDefault="007F222B">
          <w:pPr>
            <w:autoSpaceDE w:val="0"/>
            <w:autoSpaceDN w:val="0"/>
            <w:ind w:hanging="480"/>
            <w:divId w:val="511186443"/>
            <w:rPr>
              <w:color w:val="000000"/>
              <w:sz w:val="24"/>
            </w:rPr>
          </w:pPr>
          <w:r w:rsidRPr="007F222B">
            <w:rPr>
              <w:color w:val="000000"/>
              <w:sz w:val="24"/>
            </w:rPr>
            <w:t xml:space="preserve">Duren, M., Corrigan, B., Kennedy, R. D., Pollack Porter, K. M., &amp; Ehsani, J. (2023). Identifying and Assessing Perceived Cycling Safety Components. </w:t>
          </w:r>
          <w:r w:rsidRPr="007F222B">
            <w:rPr>
              <w:i/>
              <w:iCs/>
              <w:color w:val="000000"/>
              <w:sz w:val="24"/>
            </w:rPr>
            <w:t>Safety</w:t>
          </w:r>
          <w:r w:rsidRPr="007F222B">
            <w:rPr>
              <w:color w:val="000000"/>
              <w:sz w:val="24"/>
            </w:rPr>
            <w:t xml:space="preserve">, </w:t>
          </w:r>
          <w:r w:rsidRPr="007F222B">
            <w:rPr>
              <w:i/>
              <w:iCs/>
              <w:color w:val="000000"/>
              <w:sz w:val="24"/>
            </w:rPr>
            <w:t>9</w:t>
          </w:r>
          <w:r w:rsidRPr="007F222B">
            <w:rPr>
              <w:color w:val="000000"/>
              <w:sz w:val="24"/>
            </w:rPr>
            <w:t>(4)</w:t>
          </w:r>
          <w:r w:rsidR="009A7A96">
            <w:rPr>
              <w:color w:val="000000"/>
              <w:sz w:val="24"/>
            </w:rPr>
            <w:t>, 75</w:t>
          </w:r>
          <w:r w:rsidRPr="007F222B">
            <w:rPr>
              <w:color w:val="000000"/>
              <w:sz w:val="24"/>
            </w:rPr>
            <w:t xml:space="preserve">. </w:t>
          </w:r>
          <w:hyperlink r:id="rId161" w:history="1">
            <w:r w:rsidR="00D170A1" w:rsidRPr="00B82894">
              <w:rPr>
                <w:rStyle w:val="Hyperlink"/>
                <w:sz w:val="24"/>
              </w:rPr>
              <w:t>https://doi.org/10.3390/safety9040075</w:t>
            </w:r>
          </w:hyperlink>
          <w:r w:rsidR="00D170A1">
            <w:rPr>
              <w:color w:val="000000"/>
              <w:sz w:val="24"/>
            </w:rPr>
            <w:t xml:space="preserve"> </w:t>
          </w:r>
        </w:p>
        <w:p w14:paraId="19FE5F91" w14:textId="2E3B37B9" w:rsidR="007F222B" w:rsidRPr="007F222B" w:rsidRDefault="007F222B">
          <w:pPr>
            <w:autoSpaceDE w:val="0"/>
            <w:autoSpaceDN w:val="0"/>
            <w:ind w:hanging="480"/>
            <w:divId w:val="1488861202"/>
            <w:rPr>
              <w:color w:val="000000"/>
              <w:sz w:val="24"/>
            </w:rPr>
          </w:pPr>
          <w:r w:rsidRPr="007F222B">
            <w:rPr>
              <w:color w:val="000000"/>
              <w:sz w:val="24"/>
            </w:rPr>
            <w:t xml:space="preserve">Elvik, R., &amp; Bjørnskau, T. (2017). Safety-in-numbers: A systematic review and meta-analysis of evidence. </w:t>
          </w:r>
          <w:r w:rsidRPr="007F222B">
            <w:rPr>
              <w:i/>
              <w:iCs/>
              <w:color w:val="000000"/>
              <w:sz w:val="24"/>
            </w:rPr>
            <w:t>Safety Science</w:t>
          </w:r>
          <w:r w:rsidRPr="007F222B">
            <w:rPr>
              <w:color w:val="000000"/>
              <w:sz w:val="24"/>
            </w:rPr>
            <w:t xml:space="preserve">, </w:t>
          </w:r>
          <w:r w:rsidRPr="007F222B">
            <w:rPr>
              <w:i/>
              <w:iCs/>
              <w:color w:val="000000"/>
              <w:sz w:val="24"/>
            </w:rPr>
            <w:t>92</w:t>
          </w:r>
          <w:r w:rsidRPr="007F222B">
            <w:rPr>
              <w:color w:val="000000"/>
              <w:sz w:val="24"/>
            </w:rPr>
            <w:t xml:space="preserve">, 274–282. </w:t>
          </w:r>
          <w:hyperlink r:id="rId162" w:history="1">
            <w:r w:rsidR="00D170A1" w:rsidRPr="00B82894">
              <w:rPr>
                <w:rStyle w:val="Hyperlink"/>
                <w:sz w:val="24"/>
              </w:rPr>
              <w:t>https://doi.org/10.1016/j.ssci.2015.07.017</w:t>
            </w:r>
          </w:hyperlink>
          <w:r w:rsidR="00D170A1">
            <w:rPr>
              <w:color w:val="000000"/>
              <w:sz w:val="24"/>
            </w:rPr>
            <w:t xml:space="preserve"> </w:t>
          </w:r>
        </w:p>
        <w:p w14:paraId="4EA51079" w14:textId="7733F703" w:rsidR="007F222B" w:rsidRPr="007F222B" w:rsidRDefault="007F222B">
          <w:pPr>
            <w:autoSpaceDE w:val="0"/>
            <w:autoSpaceDN w:val="0"/>
            <w:ind w:hanging="480"/>
            <w:divId w:val="1847750490"/>
            <w:rPr>
              <w:color w:val="000000"/>
              <w:sz w:val="24"/>
            </w:rPr>
          </w:pPr>
          <w:r w:rsidRPr="007F222B">
            <w:rPr>
              <w:color w:val="000000"/>
              <w:sz w:val="24"/>
            </w:rPr>
            <w:t>Evenson, K. R., Block, R., Roux, A. V. D., Mc</w:t>
          </w:r>
          <w:r w:rsidR="00046198">
            <w:rPr>
              <w:color w:val="000000"/>
              <w:sz w:val="24"/>
            </w:rPr>
            <w:t>G</w:t>
          </w:r>
          <w:r w:rsidRPr="007F222B">
            <w:rPr>
              <w:color w:val="000000"/>
              <w:sz w:val="24"/>
            </w:rPr>
            <w:t xml:space="preserve">inn, A. P., Wen, F., &amp; Rodríguez, D. A. (2012). </w:t>
          </w:r>
          <w:r w:rsidRPr="00D95D87">
            <w:rPr>
              <w:color w:val="000000"/>
              <w:sz w:val="24"/>
            </w:rPr>
            <w:t>Associations of adult physical activity with perceived safety and police-recorded crime: the Multi-ethnic Study of Atherosclerosis</w:t>
          </w:r>
          <w:r w:rsidRPr="007F222B">
            <w:rPr>
              <w:color w:val="000000"/>
              <w:sz w:val="24"/>
            </w:rPr>
            <w:t>.</w:t>
          </w:r>
          <w:r w:rsidR="00D95D87">
            <w:rPr>
              <w:color w:val="000000"/>
              <w:sz w:val="24"/>
            </w:rPr>
            <w:t xml:space="preserve"> </w:t>
          </w:r>
          <w:r w:rsidR="003A33A7" w:rsidRPr="003A33A7">
            <w:rPr>
              <w:i/>
              <w:iCs/>
              <w:color w:val="000000"/>
              <w:sz w:val="24"/>
            </w:rPr>
            <w:t xml:space="preserve">International </w:t>
          </w:r>
          <w:r w:rsidR="00511599">
            <w:rPr>
              <w:i/>
              <w:iCs/>
              <w:color w:val="000000"/>
              <w:sz w:val="24"/>
            </w:rPr>
            <w:t>J</w:t>
          </w:r>
          <w:r w:rsidR="003A33A7" w:rsidRPr="003A33A7">
            <w:rPr>
              <w:i/>
              <w:iCs/>
              <w:color w:val="000000"/>
              <w:sz w:val="24"/>
            </w:rPr>
            <w:t xml:space="preserve">ournal of </w:t>
          </w:r>
          <w:r w:rsidR="00511599">
            <w:rPr>
              <w:i/>
              <w:iCs/>
              <w:color w:val="000000"/>
              <w:sz w:val="24"/>
            </w:rPr>
            <w:t>B</w:t>
          </w:r>
          <w:r w:rsidR="003A33A7" w:rsidRPr="003A33A7">
            <w:rPr>
              <w:i/>
              <w:iCs/>
              <w:color w:val="000000"/>
              <w:sz w:val="24"/>
            </w:rPr>
            <w:t xml:space="preserve">ehavioral </w:t>
          </w:r>
          <w:r w:rsidR="00511599">
            <w:rPr>
              <w:i/>
              <w:iCs/>
              <w:color w:val="000000"/>
              <w:sz w:val="24"/>
            </w:rPr>
            <w:t>N</w:t>
          </w:r>
          <w:r w:rsidR="003A33A7" w:rsidRPr="003A33A7">
            <w:rPr>
              <w:i/>
              <w:iCs/>
              <w:color w:val="000000"/>
              <w:sz w:val="24"/>
            </w:rPr>
            <w:t xml:space="preserve">utrition and </w:t>
          </w:r>
          <w:r w:rsidR="00511599">
            <w:rPr>
              <w:i/>
              <w:iCs/>
              <w:color w:val="000000"/>
              <w:sz w:val="24"/>
            </w:rPr>
            <w:t>P</w:t>
          </w:r>
          <w:r w:rsidR="003A33A7" w:rsidRPr="003A33A7">
            <w:rPr>
              <w:i/>
              <w:iCs/>
              <w:color w:val="000000"/>
              <w:sz w:val="24"/>
            </w:rPr>
            <w:t xml:space="preserve">hysical </w:t>
          </w:r>
          <w:r w:rsidR="00511599">
            <w:rPr>
              <w:i/>
              <w:iCs/>
              <w:color w:val="000000"/>
              <w:sz w:val="24"/>
            </w:rPr>
            <w:t>A</w:t>
          </w:r>
          <w:r w:rsidR="003A33A7" w:rsidRPr="003A33A7">
            <w:rPr>
              <w:i/>
              <w:iCs/>
              <w:color w:val="000000"/>
              <w:sz w:val="24"/>
            </w:rPr>
            <w:t>ctivity</w:t>
          </w:r>
          <w:r w:rsidR="003A33A7" w:rsidRPr="00916BD5">
            <w:rPr>
              <w:color w:val="000000"/>
              <w:sz w:val="24"/>
            </w:rPr>
            <w:t>,</w:t>
          </w:r>
          <w:r w:rsidR="003A33A7" w:rsidRPr="003A33A7">
            <w:rPr>
              <w:i/>
              <w:iCs/>
              <w:color w:val="000000"/>
              <w:sz w:val="24"/>
            </w:rPr>
            <w:t> 9</w:t>
          </w:r>
          <w:r w:rsidR="003A33A7" w:rsidRPr="00072083">
            <w:rPr>
              <w:color w:val="000000"/>
              <w:sz w:val="24"/>
            </w:rPr>
            <w:t>(1), 146</w:t>
          </w:r>
          <w:r w:rsidR="003A33A7" w:rsidRPr="003A33A7">
            <w:rPr>
              <w:i/>
              <w:iCs/>
              <w:color w:val="000000"/>
              <w:sz w:val="24"/>
            </w:rPr>
            <w:t xml:space="preserve">. </w:t>
          </w:r>
          <w:hyperlink r:id="rId163" w:history="1">
            <w:r w:rsidR="00D170A1" w:rsidRPr="00B82894">
              <w:rPr>
                <w:rStyle w:val="Hyperlink"/>
                <w:sz w:val="24"/>
              </w:rPr>
              <w:t>https://doi.org/10.1186/1479-5868-9-146</w:t>
            </w:r>
          </w:hyperlink>
          <w:r w:rsidR="00D170A1">
            <w:rPr>
              <w:color w:val="000000"/>
              <w:sz w:val="24"/>
            </w:rPr>
            <w:t xml:space="preserve"> </w:t>
          </w:r>
        </w:p>
        <w:p w14:paraId="2D75C0C8" w14:textId="30B7346A" w:rsidR="007F222B" w:rsidRPr="007F222B" w:rsidRDefault="007F222B">
          <w:pPr>
            <w:autoSpaceDE w:val="0"/>
            <w:autoSpaceDN w:val="0"/>
            <w:ind w:hanging="480"/>
            <w:divId w:val="1021203623"/>
            <w:rPr>
              <w:color w:val="000000"/>
              <w:sz w:val="24"/>
            </w:rPr>
          </w:pPr>
          <w:r w:rsidRPr="007F222B">
            <w:rPr>
              <w:color w:val="000000"/>
              <w:sz w:val="24"/>
            </w:rPr>
            <w:t xml:space="preserve">Ewing, R., &amp; Cervero, R. (2010). Travel and the Built Environment. </w:t>
          </w:r>
          <w:r w:rsidRPr="007F222B">
            <w:rPr>
              <w:i/>
              <w:iCs/>
              <w:color w:val="000000"/>
              <w:sz w:val="24"/>
            </w:rPr>
            <w:t>Journal of the American Planning Association</w:t>
          </w:r>
          <w:r w:rsidRPr="007F222B">
            <w:rPr>
              <w:color w:val="000000"/>
              <w:sz w:val="24"/>
            </w:rPr>
            <w:t xml:space="preserve">, </w:t>
          </w:r>
          <w:r w:rsidRPr="007F222B">
            <w:rPr>
              <w:i/>
              <w:iCs/>
              <w:color w:val="000000"/>
              <w:sz w:val="24"/>
            </w:rPr>
            <w:t>76</w:t>
          </w:r>
          <w:r w:rsidRPr="007F222B">
            <w:rPr>
              <w:color w:val="000000"/>
              <w:sz w:val="24"/>
            </w:rPr>
            <w:t xml:space="preserve">(3), 265–294. </w:t>
          </w:r>
          <w:hyperlink r:id="rId164" w:history="1">
            <w:r w:rsidR="00D170A1" w:rsidRPr="00B82894">
              <w:rPr>
                <w:rStyle w:val="Hyperlink"/>
                <w:sz w:val="24"/>
              </w:rPr>
              <w:t>https://doi.org/10.1080/01944361003766766</w:t>
            </w:r>
          </w:hyperlink>
          <w:r w:rsidR="00D170A1">
            <w:rPr>
              <w:color w:val="000000"/>
              <w:sz w:val="24"/>
            </w:rPr>
            <w:t xml:space="preserve"> </w:t>
          </w:r>
        </w:p>
        <w:p w14:paraId="197195CB" w14:textId="5A3EB509" w:rsidR="007F222B" w:rsidRPr="007F222B" w:rsidRDefault="007F222B">
          <w:pPr>
            <w:autoSpaceDE w:val="0"/>
            <w:autoSpaceDN w:val="0"/>
            <w:ind w:hanging="480"/>
            <w:divId w:val="2121794988"/>
            <w:rPr>
              <w:color w:val="000000"/>
              <w:sz w:val="24"/>
            </w:rPr>
          </w:pPr>
          <w:r w:rsidRPr="007F222B">
            <w:rPr>
              <w:color w:val="000000"/>
              <w:sz w:val="24"/>
            </w:rPr>
            <w:t xml:space="preserve">Fang, J., Yan, X., Bejleri, I., &amp; Chen, C. (2022). Which trip destination matters? Estimating the influence of the built environment on mode choice for home-based complex tours. </w:t>
          </w:r>
          <w:r w:rsidRPr="007F222B">
            <w:rPr>
              <w:i/>
              <w:iCs/>
              <w:color w:val="000000"/>
              <w:sz w:val="24"/>
            </w:rPr>
            <w:t>Journal of Transport Geography</w:t>
          </w:r>
          <w:r w:rsidRPr="007F222B">
            <w:rPr>
              <w:color w:val="000000"/>
              <w:sz w:val="24"/>
            </w:rPr>
            <w:t xml:space="preserve">, </w:t>
          </w:r>
          <w:r w:rsidRPr="007F222B">
            <w:rPr>
              <w:i/>
              <w:iCs/>
              <w:color w:val="000000"/>
              <w:sz w:val="24"/>
            </w:rPr>
            <w:t>105</w:t>
          </w:r>
          <w:r w:rsidRPr="007F222B">
            <w:rPr>
              <w:color w:val="000000"/>
              <w:sz w:val="24"/>
            </w:rPr>
            <w:t xml:space="preserve">, 103474. </w:t>
          </w:r>
          <w:hyperlink r:id="rId165" w:history="1">
            <w:r w:rsidR="00D170A1" w:rsidRPr="00B82894">
              <w:rPr>
                <w:rStyle w:val="Hyperlink"/>
                <w:sz w:val="24"/>
              </w:rPr>
              <w:t>https://doi.org/10.1016/j.jtrangeo.2022.103474</w:t>
            </w:r>
          </w:hyperlink>
          <w:r w:rsidR="00D170A1">
            <w:rPr>
              <w:color w:val="000000"/>
              <w:sz w:val="24"/>
            </w:rPr>
            <w:t xml:space="preserve"> </w:t>
          </w:r>
        </w:p>
        <w:p w14:paraId="358C5E1F" w14:textId="3FB54646" w:rsidR="007F222B" w:rsidRPr="007F222B" w:rsidRDefault="007F222B">
          <w:pPr>
            <w:autoSpaceDE w:val="0"/>
            <w:autoSpaceDN w:val="0"/>
            <w:ind w:hanging="480"/>
            <w:divId w:val="570892700"/>
            <w:rPr>
              <w:color w:val="000000"/>
              <w:sz w:val="24"/>
            </w:rPr>
          </w:pPr>
          <w:r w:rsidRPr="007F222B">
            <w:rPr>
              <w:color w:val="000000"/>
              <w:sz w:val="24"/>
            </w:rPr>
            <w:t xml:space="preserve">Forsyth, A., &amp; Lyu, Y. (2024). Making Communities Age-Friendly: Lessons From Implemented Programs. </w:t>
          </w:r>
          <w:r w:rsidRPr="007F222B">
            <w:rPr>
              <w:i/>
              <w:iCs/>
              <w:color w:val="000000"/>
              <w:sz w:val="24"/>
            </w:rPr>
            <w:t>Journal of Planning Literature</w:t>
          </w:r>
          <w:r w:rsidRPr="007F222B">
            <w:rPr>
              <w:color w:val="000000"/>
              <w:sz w:val="24"/>
            </w:rPr>
            <w:t xml:space="preserve">, </w:t>
          </w:r>
          <w:r w:rsidRPr="007F222B">
            <w:rPr>
              <w:i/>
              <w:iCs/>
              <w:color w:val="000000"/>
              <w:sz w:val="24"/>
            </w:rPr>
            <w:t>39</w:t>
          </w:r>
          <w:r w:rsidRPr="007F222B">
            <w:rPr>
              <w:color w:val="000000"/>
              <w:sz w:val="24"/>
            </w:rPr>
            <w:t xml:space="preserve">(1), 3–24. </w:t>
          </w:r>
          <w:hyperlink r:id="rId166" w:history="1">
            <w:r w:rsidR="00D170A1" w:rsidRPr="00B82894">
              <w:rPr>
                <w:rStyle w:val="Hyperlink"/>
                <w:sz w:val="24"/>
              </w:rPr>
              <w:t>https://doi.org/10.1177/08854122231160796</w:t>
            </w:r>
          </w:hyperlink>
          <w:r w:rsidR="00D170A1">
            <w:rPr>
              <w:color w:val="000000"/>
              <w:sz w:val="24"/>
            </w:rPr>
            <w:t xml:space="preserve"> </w:t>
          </w:r>
        </w:p>
        <w:p w14:paraId="650388C7" w14:textId="7B792303" w:rsidR="007F222B" w:rsidRPr="007F222B" w:rsidRDefault="007F222B">
          <w:pPr>
            <w:autoSpaceDE w:val="0"/>
            <w:autoSpaceDN w:val="0"/>
            <w:ind w:hanging="480"/>
            <w:divId w:val="1592009356"/>
            <w:rPr>
              <w:color w:val="000000"/>
              <w:sz w:val="24"/>
            </w:rPr>
          </w:pPr>
          <w:r w:rsidRPr="007F222B">
            <w:rPr>
              <w:color w:val="000000"/>
              <w:sz w:val="24"/>
            </w:rPr>
            <w:lastRenderedPageBreak/>
            <w:t xml:space="preserve">Foster, S., Giles-Corti, B., &amp; Knuiman, M. (2014). Does Fear of Crime Discourage Walkers? A Social-Ecological Exploration of Fear As a Deterrent to Walking. </w:t>
          </w:r>
          <w:r w:rsidRPr="007F222B">
            <w:rPr>
              <w:i/>
              <w:iCs/>
              <w:color w:val="000000"/>
              <w:sz w:val="24"/>
            </w:rPr>
            <w:t>Environment and Behavior</w:t>
          </w:r>
          <w:r w:rsidRPr="007F222B">
            <w:rPr>
              <w:color w:val="000000"/>
              <w:sz w:val="24"/>
            </w:rPr>
            <w:t xml:space="preserve">, </w:t>
          </w:r>
          <w:r w:rsidRPr="007F222B">
            <w:rPr>
              <w:i/>
              <w:iCs/>
              <w:color w:val="000000"/>
              <w:sz w:val="24"/>
            </w:rPr>
            <w:t>46</w:t>
          </w:r>
          <w:r w:rsidRPr="007F222B">
            <w:rPr>
              <w:color w:val="000000"/>
              <w:sz w:val="24"/>
            </w:rPr>
            <w:t xml:space="preserve">(6), 698–717. </w:t>
          </w:r>
          <w:hyperlink r:id="rId167" w:history="1">
            <w:r w:rsidR="00D170A1" w:rsidRPr="00B82894">
              <w:rPr>
                <w:rStyle w:val="Hyperlink"/>
                <w:sz w:val="24"/>
              </w:rPr>
              <w:t>https://doi.org/10.1177/0013916512465176</w:t>
            </w:r>
          </w:hyperlink>
          <w:r w:rsidR="00D170A1">
            <w:rPr>
              <w:color w:val="000000"/>
              <w:sz w:val="24"/>
            </w:rPr>
            <w:t xml:space="preserve"> </w:t>
          </w:r>
        </w:p>
        <w:p w14:paraId="53A31900" w14:textId="53B51CB1" w:rsidR="007F222B" w:rsidRPr="007F222B" w:rsidRDefault="007F222B">
          <w:pPr>
            <w:autoSpaceDE w:val="0"/>
            <w:autoSpaceDN w:val="0"/>
            <w:ind w:hanging="480"/>
            <w:divId w:val="901985371"/>
            <w:rPr>
              <w:color w:val="000000"/>
              <w:sz w:val="24"/>
            </w:rPr>
          </w:pPr>
          <w:r w:rsidRPr="007F222B">
            <w:rPr>
              <w:color w:val="000000"/>
              <w:sz w:val="24"/>
            </w:rPr>
            <w:t xml:space="preserve">Foster, S., Hooper, P., Burton, N. W., Brown, W. J., Giles-Corti, B., Rachele, J. N., &amp; Turrell, G. (2021). Safe Habitats: Does the Association Between Neighborhood Crime and Walking Differ by Neighborhood Disadvantage? </w:t>
          </w:r>
          <w:r w:rsidRPr="007F222B">
            <w:rPr>
              <w:i/>
              <w:iCs/>
              <w:color w:val="000000"/>
              <w:sz w:val="24"/>
            </w:rPr>
            <w:t>Environment and Behavior</w:t>
          </w:r>
          <w:r w:rsidRPr="007F222B">
            <w:rPr>
              <w:color w:val="000000"/>
              <w:sz w:val="24"/>
            </w:rPr>
            <w:t xml:space="preserve">, </w:t>
          </w:r>
          <w:r w:rsidRPr="007F222B">
            <w:rPr>
              <w:i/>
              <w:iCs/>
              <w:color w:val="000000"/>
              <w:sz w:val="24"/>
            </w:rPr>
            <w:t>53</w:t>
          </w:r>
          <w:r w:rsidRPr="007F222B">
            <w:rPr>
              <w:color w:val="000000"/>
              <w:sz w:val="24"/>
            </w:rPr>
            <w:t xml:space="preserve">(1), 3–39. </w:t>
          </w:r>
          <w:hyperlink r:id="rId168" w:history="1">
            <w:r w:rsidR="00D170A1" w:rsidRPr="00B82894">
              <w:rPr>
                <w:rStyle w:val="Hyperlink"/>
                <w:sz w:val="24"/>
              </w:rPr>
              <w:t>https://doi.org/10.1177/0013916519853300</w:t>
            </w:r>
          </w:hyperlink>
          <w:r w:rsidR="00D170A1">
            <w:rPr>
              <w:color w:val="000000"/>
              <w:sz w:val="24"/>
            </w:rPr>
            <w:t xml:space="preserve"> </w:t>
          </w:r>
        </w:p>
        <w:p w14:paraId="3303059E" w14:textId="6AD0A4DF" w:rsidR="007F222B" w:rsidRPr="007F222B" w:rsidRDefault="007F222B">
          <w:pPr>
            <w:autoSpaceDE w:val="0"/>
            <w:autoSpaceDN w:val="0"/>
            <w:ind w:hanging="480"/>
            <w:divId w:val="775826350"/>
            <w:rPr>
              <w:color w:val="000000"/>
              <w:sz w:val="24"/>
            </w:rPr>
          </w:pPr>
          <w:r w:rsidRPr="007F222B">
            <w:rPr>
              <w:color w:val="000000"/>
              <w:sz w:val="24"/>
            </w:rPr>
            <w:t xml:space="preserve">Freiberger, E., Sieber, C. C., &amp; Kob, R. (2020). Mobility in Older Community-Dwelling Persons: A Narrative Review. </w:t>
          </w:r>
          <w:r w:rsidRPr="007F222B">
            <w:rPr>
              <w:i/>
              <w:iCs/>
              <w:color w:val="000000"/>
              <w:sz w:val="24"/>
            </w:rPr>
            <w:t>Frontiers in Physiology</w:t>
          </w:r>
          <w:r w:rsidR="007117E7">
            <w:rPr>
              <w:color w:val="000000"/>
              <w:sz w:val="24"/>
            </w:rPr>
            <w:t xml:space="preserve">, </w:t>
          </w:r>
          <w:r w:rsidR="007117E7" w:rsidRPr="00536ADB">
            <w:rPr>
              <w:i/>
              <w:iCs/>
              <w:color w:val="000000"/>
              <w:sz w:val="24"/>
            </w:rPr>
            <w:t>11</w:t>
          </w:r>
          <w:r w:rsidR="00B87E71">
            <w:rPr>
              <w:color w:val="000000"/>
              <w:sz w:val="24"/>
            </w:rPr>
            <w:t xml:space="preserve">, </w:t>
          </w:r>
          <w:r w:rsidR="00B87E71" w:rsidRPr="00B87E71">
            <w:rPr>
              <w:color w:val="000000"/>
              <w:sz w:val="24"/>
            </w:rPr>
            <w:t xml:space="preserve">504780. </w:t>
          </w:r>
          <w:hyperlink r:id="rId169" w:history="1">
            <w:r w:rsidR="00D170A1" w:rsidRPr="00B82894">
              <w:rPr>
                <w:rStyle w:val="Hyperlink"/>
                <w:sz w:val="24"/>
              </w:rPr>
              <w:t>https://doi.org/10.3389/fphys.2020.00881</w:t>
            </w:r>
          </w:hyperlink>
          <w:r w:rsidR="00D170A1">
            <w:rPr>
              <w:color w:val="000000"/>
              <w:sz w:val="24"/>
            </w:rPr>
            <w:t xml:space="preserve"> </w:t>
          </w:r>
        </w:p>
        <w:p w14:paraId="15FB5877" w14:textId="054EA1D8" w:rsidR="007F222B" w:rsidRPr="007F222B" w:rsidRDefault="007F222B">
          <w:pPr>
            <w:autoSpaceDE w:val="0"/>
            <w:autoSpaceDN w:val="0"/>
            <w:ind w:hanging="480"/>
            <w:divId w:val="1324042016"/>
            <w:rPr>
              <w:color w:val="000000"/>
              <w:sz w:val="24"/>
            </w:rPr>
          </w:pPr>
          <w:r w:rsidRPr="007F222B">
            <w:rPr>
              <w:color w:val="000000"/>
              <w:sz w:val="24"/>
            </w:rPr>
            <w:t xml:space="preserve">Garrard, J., Rose, G., &amp; Lo, S. K. (2008). Promoting transportation cycling for women: The role of bicycle infrastructure. </w:t>
          </w:r>
          <w:r w:rsidRPr="007F222B">
            <w:rPr>
              <w:i/>
              <w:iCs/>
              <w:color w:val="000000"/>
              <w:sz w:val="24"/>
            </w:rPr>
            <w:t>Preventive Medicine</w:t>
          </w:r>
          <w:r w:rsidRPr="007F222B">
            <w:rPr>
              <w:color w:val="000000"/>
              <w:sz w:val="24"/>
            </w:rPr>
            <w:t xml:space="preserve">, </w:t>
          </w:r>
          <w:r w:rsidRPr="007F222B">
            <w:rPr>
              <w:i/>
              <w:iCs/>
              <w:color w:val="000000"/>
              <w:sz w:val="24"/>
            </w:rPr>
            <w:t>46</w:t>
          </w:r>
          <w:r w:rsidRPr="007F222B">
            <w:rPr>
              <w:color w:val="000000"/>
              <w:sz w:val="24"/>
            </w:rPr>
            <w:t xml:space="preserve">(1), 55–59. </w:t>
          </w:r>
          <w:hyperlink r:id="rId170" w:history="1">
            <w:r w:rsidR="00D170A1" w:rsidRPr="00B82894">
              <w:rPr>
                <w:rStyle w:val="Hyperlink"/>
                <w:sz w:val="24"/>
              </w:rPr>
              <w:t>https://doi.org/10.1016/j.ypmed.2007.07.010</w:t>
            </w:r>
          </w:hyperlink>
          <w:r w:rsidR="00D170A1">
            <w:rPr>
              <w:color w:val="000000"/>
              <w:sz w:val="24"/>
            </w:rPr>
            <w:t xml:space="preserve"> </w:t>
          </w:r>
        </w:p>
        <w:p w14:paraId="667D8D71" w14:textId="4F2DB582" w:rsidR="007F222B" w:rsidRPr="007F222B" w:rsidRDefault="007F222B">
          <w:pPr>
            <w:autoSpaceDE w:val="0"/>
            <w:autoSpaceDN w:val="0"/>
            <w:ind w:hanging="480"/>
            <w:divId w:val="1880437295"/>
            <w:rPr>
              <w:color w:val="000000"/>
              <w:sz w:val="24"/>
            </w:rPr>
          </w:pPr>
          <w:r w:rsidRPr="007F222B">
            <w:rPr>
              <w:color w:val="000000"/>
              <w:sz w:val="24"/>
            </w:rPr>
            <w:t xml:space="preserve">Ghaffar, A., Hyland, M., &amp; Saphores, J. D. (2023). Meta-analysis of shared micromobility ridership determinants. </w:t>
          </w:r>
          <w:r w:rsidRPr="007F222B">
            <w:rPr>
              <w:i/>
              <w:iCs/>
              <w:color w:val="000000"/>
              <w:sz w:val="24"/>
            </w:rPr>
            <w:t>Transportation Research Part D: Transport and Environment</w:t>
          </w:r>
          <w:r w:rsidRPr="007F222B">
            <w:rPr>
              <w:color w:val="000000"/>
              <w:sz w:val="24"/>
            </w:rPr>
            <w:t xml:space="preserve">, </w:t>
          </w:r>
          <w:r w:rsidRPr="007F222B">
            <w:rPr>
              <w:i/>
              <w:iCs/>
              <w:color w:val="000000"/>
              <w:sz w:val="24"/>
            </w:rPr>
            <w:t>121</w:t>
          </w:r>
          <w:r w:rsidRPr="007F222B">
            <w:rPr>
              <w:color w:val="000000"/>
              <w:sz w:val="24"/>
            </w:rPr>
            <w:t xml:space="preserve">, 103847. </w:t>
          </w:r>
          <w:hyperlink r:id="rId171" w:history="1">
            <w:r w:rsidR="00D170A1" w:rsidRPr="00B82894">
              <w:rPr>
                <w:rStyle w:val="Hyperlink"/>
                <w:sz w:val="24"/>
              </w:rPr>
              <w:t>https://doi.org/10.1016/j.trd.2023.103847</w:t>
            </w:r>
          </w:hyperlink>
          <w:r w:rsidR="00D170A1">
            <w:rPr>
              <w:color w:val="000000"/>
              <w:sz w:val="24"/>
            </w:rPr>
            <w:t xml:space="preserve"> </w:t>
          </w:r>
        </w:p>
        <w:p w14:paraId="79A81B70" w14:textId="15FDD0F0" w:rsidR="007F222B" w:rsidRPr="007F222B" w:rsidRDefault="007F222B">
          <w:pPr>
            <w:autoSpaceDE w:val="0"/>
            <w:autoSpaceDN w:val="0"/>
            <w:ind w:hanging="480"/>
            <w:divId w:val="1088772844"/>
            <w:rPr>
              <w:color w:val="000000"/>
              <w:sz w:val="24"/>
            </w:rPr>
          </w:pPr>
          <w:r w:rsidRPr="007F222B">
            <w:rPr>
              <w:color w:val="000000"/>
              <w:sz w:val="24"/>
            </w:rPr>
            <w:t xml:space="preserve">Ghimire, S., &amp; Bardaka, E. (2023). Active travel among carless and car-owning low-income populations in the United States. </w:t>
          </w:r>
          <w:r w:rsidRPr="007F222B">
            <w:rPr>
              <w:i/>
              <w:iCs/>
              <w:color w:val="000000"/>
              <w:sz w:val="24"/>
            </w:rPr>
            <w:t>Transportation Research Part D: Transport and Environment</w:t>
          </w:r>
          <w:r w:rsidRPr="007F222B">
            <w:rPr>
              <w:color w:val="000000"/>
              <w:sz w:val="24"/>
            </w:rPr>
            <w:t xml:space="preserve">, </w:t>
          </w:r>
          <w:r w:rsidRPr="007F222B">
            <w:rPr>
              <w:i/>
              <w:iCs/>
              <w:color w:val="000000"/>
              <w:sz w:val="24"/>
            </w:rPr>
            <w:t>117</w:t>
          </w:r>
          <w:r w:rsidR="00F772A7">
            <w:rPr>
              <w:i/>
              <w:iCs/>
              <w:color w:val="000000"/>
              <w:sz w:val="24"/>
            </w:rPr>
            <w:t xml:space="preserve">, </w:t>
          </w:r>
          <w:r w:rsidR="00F772A7">
            <w:rPr>
              <w:color w:val="000000"/>
              <w:sz w:val="24"/>
            </w:rPr>
            <w:t>103627</w:t>
          </w:r>
          <w:r w:rsidRPr="007F222B">
            <w:rPr>
              <w:color w:val="000000"/>
              <w:sz w:val="24"/>
            </w:rPr>
            <w:t xml:space="preserve">. </w:t>
          </w:r>
          <w:hyperlink r:id="rId172" w:history="1">
            <w:r w:rsidR="00D170A1" w:rsidRPr="00B82894">
              <w:rPr>
                <w:rStyle w:val="Hyperlink"/>
                <w:sz w:val="24"/>
              </w:rPr>
              <w:t>https://doi.org/10.1016/j.trd.2023.103627</w:t>
            </w:r>
          </w:hyperlink>
          <w:r w:rsidR="00D170A1">
            <w:rPr>
              <w:color w:val="000000"/>
              <w:sz w:val="24"/>
            </w:rPr>
            <w:t xml:space="preserve"> </w:t>
          </w:r>
        </w:p>
        <w:p w14:paraId="41318D66" w14:textId="6D2333C9" w:rsidR="007F222B" w:rsidRPr="007F222B" w:rsidRDefault="007F222B">
          <w:pPr>
            <w:autoSpaceDE w:val="0"/>
            <w:autoSpaceDN w:val="0"/>
            <w:ind w:hanging="480"/>
            <w:divId w:val="344140254"/>
            <w:rPr>
              <w:color w:val="000000"/>
              <w:sz w:val="24"/>
            </w:rPr>
          </w:pPr>
          <w:r w:rsidRPr="007F222B">
            <w:rPr>
              <w:color w:val="000000"/>
              <w:sz w:val="24"/>
            </w:rPr>
            <w:t xml:space="preserve">Goddard, T., Kahn, K. B., &amp; Adkins, A. (2015). Racial bias in driver yielding behavior at crosswalks. </w:t>
          </w:r>
          <w:r w:rsidRPr="007F222B">
            <w:rPr>
              <w:i/>
              <w:iCs/>
              <w:color w:val="000000"/>
              <w:sz w:val="24"/>
            </w:rPr>
            <w:t>Transportation Research Part F: Traffic Psychology and Behaviour</w:t>
          </w:r>
          <w:r w:rsidRPr="007F222B">
            <w:rPr>
              <w:color w:val="000000"/>
              <w:sz w:val="24"/>
            </w:rPr>
            <w:t xml:space="preserve">, </w:t>
          </w:r>
          <w:r w:rsidRPr="007F222B">
            <w:rPr>
              <w:i/>
              <w:iCs/>
              <w:color w:val="000000"/>
              <w:sz w:val="24"/>
            </w:rPr>
            <w:t>33</w:t>
          </w:r>
          <w:r w:rsidRPr="007F222B">
            <w:rPr>
              <w:color w:val="000000"/>
              <w:sz w:val="24"/>
            </w:rPr>
            <w:t xml:space="preserve">, 1–6. </w:t>
          </w:r>
          <w:hyperlink r:id="rId173" w:history="1">
            <w:r w:rsidR="00D170A1" w:rsidRPr="00B82894">
              <w:rPr>
                <w:rStyle w:val="Hyperlink"/>
                <w:sz w:val="24"/>
              </w:rPr>
              <w:t>https://doi.org/10.1016/j.trf.2015.06.002</w:t>
            </w:r>
          </w:hyperlink>
          <w:r w:rsidR="00D170A1">
            <w:rPr>
              <w:color w:val="000000"/>
              <w:sz w:val="24"/>
            </w:rPr>
            <w:t xml:space="preserve"> </w:t>
          </w:r>
        </w:p>
        <w:p w14:paraId="250A69AF" w14:textId="3056D17E" w:rsidR="007F222B" w:rsidRPr="007F222B" w:rsidRDefault="007F222B">
          <w:pPr>
            <w:autoSpaceDE w:val="0"/>
            <w:autoSpaceDN w:val="0"/>
            <w:ind w:hanging="480"/>
            <w:divId w:val="1239943530"/>
            <w:rPr>
              <w:color w:val="000000"/>
              <w:sz w:val="24"/>
            </w:rPr>
          </w:pPr>
          <w:r w:rsidRPr="007F222B">
            <w:rPr>
              <w:color w:val="000000"/>
              <w:sz w:val="24"/>
            </w:rPr>
            <w:t xml:space="preserve">Gössling, S., &amp; McRae, S. (2022). Subjectively safe cycling infrastructure: New insights for urban designs. </w:t>
          </w:r>
          <w:r w:rsidRPr="007F222B">
            <w:rPr>
              <w:i/>
              <w:iCs/>
              <w:color w:val="000000"/>
              <w:sz w:val="24"/>
            </w:rPr>
            <w:t>Journal of Transport Geography</w:t>
          </w:r>
          <w:r w:rsidRPr="007F222B">
            <w:rPr>
              <w:color w:val="000000"/>
              <w:sz w:val="24"/>
            </w:rPr>
            <w:t xml:space="preserve">, </w:t>
          </w:r>
          <w:r w:rsidRPr="007F222B">
            <w:rPr>
              <w:i/>
              <w:iCs/>
              <w:color w:val="000000"/>
              <w:sz w:val="24"/>
            </w:rPr>
            <w:t>101</w:t>
          </w:r>
          <w:r w:rsidRPr="007F222B">
            <w:rPr>
              <w:color w:val="000000"/>
              <w:sz w:val="24"/>
            </w:rPr>
            <w:t xml:space="preserve">, 103340. </w:t>
          </w:r>
          <w:hyperlink r:id="rId174" w:history="1">
            <w:r w:rsidR="00D170A1" w:rsidRPr="00B82894">
              <w:rPr>
                <w:rStyle w:val="Hyperlink"/>
                <w:sz w:val="24"/>
              </w:rPr>
              <w:t>https://doi.org/10.1016/j.jtrangeo.2022.103340</w:t>
            </w:r>
          </w:hyperlink>
          <w:r w:rsidR="00D170A1">
            <w:rPr>
              <w:color w:val="000000"/>
              <w:sz w:val="24"/>
            </w:rPr>
            <w:t xml:space="preserve"> </w:t>
          </w:r>
        </w:p>
        <w:p w14:paraId="1B851A12" w14:textId="2B17CF5A" w:rsidR="007F222B" w:rsidRPr="007F222B" w:rsidRDefault="007F222B">
          <w:pPr>
            <w:autoSpaceDE w:val="0"/>
            <w:autoSpaceDN w:val="0"/>
            <w:ind w:hanging="480"/>
            <w:divId w:val="1327441475"/>
            <w:rPr>
              <w:color w:val="000000"/>
              <w:sz w:val="24"/>
            </w:rPr>
          </w:pPr>
          <w:r w:rsidRPr="007F222B">
            <w:rPr>
              <w:color w:val="000000"/>
              <w:sz w:val="24"/>
            </w:rPr>
            <w:t xml:space="preserve">Graystone, M., Mitra, R., &amp; Hess, P. M. (2022). Gendered perceptions of cycling safety and on-street bicycle infrastructure: Bridging the gap. </w:t>
          </w:r>
          <w:r w:rsidRPr="007F222B">
            <w:rPr>
              <w:i/>
              <w:iCs/>
              <w:color w:val="000000"/>
              <w:sz w:val="24"/>
            </w:rPr>
            <w:t>Transportation Research Part D: Transport and Environment</w:t>
          </w:r>
          <w:r w:rsidRPr="007F222B">
            <w:rPr>
              <w:color w:val="000000"/>
              <w:sz w:val="24"/>
            </w:rPr>
            <w:t xml:space="preserve">, </w:t>
          </w:r>
          <w:r w:rsidRPr="007F222B">
            <w:rPr>
              <w:i/>
              <w:iCs/>
              <w:color w:val="000000"/>
              <w:sz w:val="24"/>
            </w:rPr>
            <w:t>105</w:t>
          </w:r>
          <w:r w:rsidRPr="007F222B">
            <w:rPr>
              <w:color w:val="000000"/>
              <w:sz w:val="24"/>
            </w:rPr>
            <w:t xml:space="preserve">, 103237. </w:t>
          </w:r>
          <w:hyperlink r:id="rId175" w:history="1">
            <w:r w:rsidR="00D170A1" w:rsidRPr="00B82894">
              <w:rPr>
                <w:rStyle w:val="Hyperlink"/>
                <w:sz w:val="24"/>
              </w:rPr>
              <w:t>https://doi.org/10.1016/j.trd.2022.103237</w:t>
            </w:r>
          </w:hyperlink>
          <w:r w:rsidR="00D170A1">
            <w:rPr>
              <w:color w:val="000000"/>
              <w:sz w:val="24"/>
            </w:rPr>
            <w:t xml:space="preserve"> </w:t>
          </w:r>
        </w:p>
        <w:p w14:paraId="5C45E08E" w14:textId="4BABD316" w:rsidR="007F222B" w:rsidRPr="007F222B" w:rsidRDefault="007F222B">
          <w:pPr>
            <w:autoSpaceDE w:val="0"/>
            <w:autoSpaceDN w:val="0"/>
            <w:ind w:hanging="480"/>
            <w:divId w:val="762338346"/>
            <w:rPr>
              <w:color w:val="000000"/>
              <w:sz w:val="24"/>
            </w:rPr>
          </w:pPr>
          <w:r w:rsidRPr="007F222B">
            <w:rPr>
              <w:color w:val="000000"/>
              <w:sz w:val="24"/>
            </w:rPr>
            <w:t xml:space="preserve">Grengs, J. (2025). Who walks most? Uncovering racial disparities in walking in the United States. </w:t>
          </w:r>
          <w:r w:rsidRPr="007F222B">
            <w:rPr>
              <w:i/>
              <w:iCs/>
              <w:color w:val="000000"/>
              <w:sz w:val="24"/>
            </w:rPr>
            <w:t>Cities &amp; Health</w:t>
          </w:r>
          <w:r w:rsidRPr="007F222B">
            <w:rPr>
              <w:color w:val="000000"/>
              <w:sz w:val="24"/>
            </w:rPr>
            <w:t xml:space="preserve">. </w:t>
          </w:r>
          <w:hyperlink r:id="rId176" w:history="1">
            <w:r w:rsidR="00D170A1" w:rsidRPr="00B82894">
              <w:rPr>
                <w:rStyle w:val="Hyperlink"/>
                <w:sz w:val="24"/>
              </w:rPr>
              <w:t>https://doi.org/10.1080/23748834.2025.2513779</w:t>
            </w:r>
          </w:hyperlink>
          <w:r w:rsidR="00D170A1">
            <w:rPr>
              <w:color w:val="000000"/>
              <w:sz w:val="24"/>
            </w:rPr>
            <w:t xml:space="preserve"> </w:t>
          </w:r>
        </w:p>
        <w:p w14:paraId="7FC49461" w14:textId="0929AF48" w:rsidR="007F222B" w:rsidRPr="007F222B" w:rsidRDefault="007F222B">
          <w:pPr>
            <w:autoSpaceDE w:val="0"/>
            <w:autoSpaceDN w:val="0"/>
            <w:ind w:hanging="480"/>
            <w:divId w:val="61832637"/>
            <w:rPr>
              <w:color w:val="000000"/>
              <w:sz w:val="24"/>
            </w:rPr>
          </w:pPr>
          <w:r w:rsidRPr="007F222B">
            <w:rPr>
              <w:color w:val="000000"/>
              <w:sz w:val="24"/>
            </w:rPr>
            <w:t xml:space="preserve">Habib, M. A., Anik, M. A. H., &amp; Robertson, C. (2021). Exploring travel behavior of households with pre-school aged children. </w:t>
          </w:r>
          <w:r w:rsidRPr="007F222B">
            <w:rPr>
              <w:i/>
              <w:iCs/>
              <w:color w:val="000000"/>
              <w:sz w:val="24"/>
            </w:rPr>
            <w:t>Transportation Research Record</w:t>
          </w:r>
          <w:r w:rsidRPr="007F222B">
            <w:rPr>
              <w:color w:val="000000"/>
              <w:sz w:val="24"/>
            </w:rPr>
            <w:t xml:space="preserve">, </w:t>
          </w:r>
          <w:r w:rsidRPr="007F222B">
            <w:rPr>
              <w:i/>
              <w:iCs/>
              <w:color w:val="000000"/>
              <w:sz w:val="24"/>
            </w:rPr>
            <w:t>2675</w:t>
          </w:r>
          <w:r w:rsidRPr="007F222B">
            <w:rPr>
              <w:color w:val="000000"/>
              <w:sz w:val="24"/>
            </w:rPr>
            <w:t xml:space="preserve">(5), 314–328. </w:t>
          </w:r>
          <w:hyperlink r:id="rId177" w:history="1">
            <w:r w:rsidR="00D170A1" w:rsidRPr="00B82894">
              <w:rPr>
                <w:rStyle w:val="Hyperlink"/>
                <w:sz w:val="24"/>
              </w:rPr>
              <w:t>https://doi.org/10.1177/0361198120988006</w:t>
            </w:r>
          </w:hyperlink>
          <w:r w:rsidR="00D170A1">
            <w:rPr>
              <w:color w:val="000000"/>
              <w:sz w:val="24"/>
            </w:rPr>
            <w:t xml:space="preserve"> </w:t>
          </w:r>
        </w:p>
        <w:p w14:paraId="337D438D" w14:textId="7EA34C4A" w:rsidR="007F222B" w:rsidRPr="007F222B" w:rsidRDefault="007F222B">
          <w:pPr>
            <w:autoSpaceDE w:val="0"/>
            <w:autoSpaceDN w:val="0"/>
            <w:ind w:hanging="480"/>
            <w:divId w:val="331446881"/>
            <w:rPr>
              <w:color w:val="000000"/>
              <w:sz w:val="24"/>
            </w:rPr>
          </w:pPr>
          <w:r w:rsidRPr="007F222B">
            <w:rPr>
              <w:color w:val="000000"/>
              <w:sz w:val="24"/>
            </w:rPr>
            <w:t xml:space="preserve">Hamidi, S., Abdollahpour, S. S., Azimi, E., &amp; Ewing, R. (2026). Who Sprawls the Most in 2020 and What Has Changed Since 2010? Measuring Metropolitan Sprawl and Tracking a Decade of Changes in the United States. </w:t>
          </w:r>
          <w:r w:rsidRPr="007F222B">
            <w:rPr>
              <w:i/>
              <w:iCs/>
              <w:color w:val="000000"/>
              <w:sz w:val="24"/>
            </w:rPr>
            <w:t>Journal of the American Planning Association</w:t>
          </w:r>
          <w:r w:rsidRPr="007F222B">
            <w:rPr>
              <w:color w:val="000000"/>
              <w:sz w:val="24"/>
            </w:rPr>
            <w:t xml:space="preserve">. </w:t>
          </w:r>
          <w:hyperlink r:id="rId178" w:history="1">
            <w:r w:rsidR="00D170A1" w:rsidRPr="00B82894">
              <w:rPr>
                <w:rStyle w:val="Hyperlink"/>
                <w:sz w:val="24"/>
              </w:rPr>
              <w:t>https://doi.org/10.1080/01944363.2026.2646482</w:t>
            </w:r>
          </w:hyperlink>
          <w:r w:rsidR="00D170A1">
            <w:rPr>
              <w:color w:val="000000"/>
              <w:sz w:val="24"/>
            </w:rPr>
            <w:t xml:space="preserve"> </w:t>
          </w:r>
        </w:p>
        <w:p w14:paraId="67954ADE" w14:textId="2AAFF821" w:rsidR="007F222B" w:rsidRPr="007F222B" w:rsidRDefault="007F222B">
          <w:pPr>
            <w:autoSpaceDE w:val="0"/>
            <w:autoSpaceDN w:val="0"/>
            <w:ind w:hanging="480"/>
            <w:divId w:val="2046715305"/>
            <w:rPr>
              <w:color w:val="000000"/>
              <w:sz w:val="24"/>
            </w:rPr>
          </w:pPr>
          <w:r w:rsidRPr="007F222B">
            <w:rPr>
              <w:color w:val="000000"/>
              <w:sz w:val="24"/>
            </w:rPr>
            <w:t xml:space="preserve">Hamidi, S., &amp; Ewing, R. (2014). A longitudinal study of changes in urban sprawl between 2000 and 2010 in the United States. </w:t>
          </w:r>
          <w:r w:rsidRPr="007F222B">
            <w:rPr>
              <w:i/>
              <w:iCs/>
              <w:color w:val="000000"/>
              <w:sz w:val="24"/>
            </w:rPr>
            <w:t>Landscape and Urban Planning</w:t>
          </w:r>
          <w:r w:rsidRPr="007F222B">
            <w:rPr>
              <w:color w:val="000000"/>
              <w:sz w:val="24"/>
            </w:rPr>
            <w:t xml:space="preserve">, </w:t>
          </w:r>
          <w:r w:rsidRPr="007F222B">
            <w:rPr>
              <w:i/>
              <w:iCs/>
              <w:color w:val="000000"/>
              <w:sz w:val="24"/>
            </w:rPr>
            <w:t>128</w:t>
          </w:r>
          <w:r w:rsidRPr="007F222B">
            <w:rPr>
              <w:color w:val="000000"/>
              <w:sz w:val="24"/>
            </w:rPr>
            <w:t xml:space="preserve">, 72–82. </w:t>
          </w:r>
          <w:hyperlink r:id="rId179" w:history="1">
            <w:r w:rsidR="00D170A1" w:rsidRPr="00B82894">
              <w:rPr>
                <w:rStyle w:val="Hyperlink"/>
                <w:sz w:val="24"/>
              </w:rPr>
              <w:t>https://doi.org/10.1016/j.landurbplan.2014.04.021</w:t>
            </w:r>
          </w:hyperlink>
          <w:r w:rsidR="00D170A1">
            <w:rPr>
              <w:color w:val="000000"/>
              <w:sz w:val="24"/>
            </w:rPr>
            <w:t xml:space="preserve"> </w:t>
          </w:r>
        </w:p>
        <w:p w14:paraId="65660DE6" w14:textId="73BB7B64" w:rsidR="007F222B" w:rsidRPr="007F222B" w:rsidRDefault="007F222B">
          <w:pPr>
            <w:autoSpaceDE w:val="0"/>
            <w:autoSpaceDN w:val="0"/>
            <w:ind w:hanging="480"/>
            <w:divId w:val="2116292650"/>
            <w:rPr>
              <w:color w:val="000000"/>
              <w:sz w:val="24"/>
            </w:rPr>
          </w:pPr>
          <w:r w:rsidRPr="007F222B">
            <w:rPr>
              <w:color w:val="000000"/>
              <w:sz w:val="24"/>
            </w:rPr>
            <w:t>Hamilton, T. L., &amp; Wichman, C. J. (2018). Bicycle infrastructure and traffic congestion: Evidence from DC</w:t>
          </w:r>
          <w:r w:rsidR="000D7001">
            <w:rPr>
              <w:color w:val="000000"/>
              <w:sz w:val="24"/>
            </w:rPr>
            <w:t>’</w:t>
          </w:r>
          <w:r w:rsidRPr="007F222B">
            <w:rPr>
              <w:color w:val="000000"/>
              <w:sz w:val="24"/>
            </w:rPr>
            <w:t xml:space="preserve">s Capital Bikeshare. </w:t>
          </w:r>
          <w:r w:rsidRPr="007F222B">
            <w:rPr>
              <w:i/>
              <w:iCs/>
              <w:color w:val="000000"/>
              <w:sz w:val="24"/>
            </w:rPr>
            <w:t>Journal of Environmental Economics and Management</w:t>
          </w:r>
          <w:r w:rsidRPr="007F222B">
            <w:rPr>
              <w:color w:val="000000"/>
              <w:sz w:val="24"/>
            </w:rPr>
            <w:t xml:space="preserve">, </w:t>
          </w:r>
          <w:r w:rsidRPr="007F222B">
            <w:rPr>
              <w:i/>
              <w:iCs/>
              <w:color w:val="000000"/>
              <w:sz w:val="24"/>
            </w:rPr>
            <w:t>87</w:t>
          </w:r>
          <w:r w:rsidRPr="007F222B">
            <w:rPr>
              <w:color w:val="000000"/>
              <w:sz w:val="24"/>
            </w:rPr>
            <w:t xml:space="preserve">, 72–93. </w:t>
          </w:r>
          <w:hyperlink r:id="rId180" w:history="1">
            <w:r w:rsidR="00D170A1" w:rsidRPr="00B82894">
              <w:rPr>
                <w:rStyle w:val="Hyperlink"/>
                <w:sz w:val="24"/>
              </w:rPr>
              <w:t>https://doi.org/10.1016/j.jeem.2017.03.007</w:t>
            </w:r>
          </w:hyperlink>
          <w:r w:rsidR="00D170A1">
            <w:rPr>
              <w:color w:val="000000"/>
              <w:sz w:val="24"/>
            </w:rPr>
            <w:t xml:space="preserve"> </w:t>
          </w:r>
        </w:p>
        <w:p w14:paraId="173015EF" w14:textId="768A63CC" w:rsidR="007F222B" w:rsidRPr="007F222B" w:rsidRDefault="007F222B">
          <w:pPr>
            <w:autoSpaceDE w:val="0"/>
            <w:autoSpaceDN w:val="0"/>
            <w:ind w:hanging="480"/>
            <w:divId w:val="1944026776"/>
            <w:rPr>
              <w:color w:val="000000"/>
              <w:sz w:val="24"/>
            </w:rPr>
          </w:pPr>
          <w:r w:rsidRPr="007F222B">
            <w:rPr>
              <w:color w:val="000000"/>
              <w:sz w:val="24"/>
            </w:rPr>
            <w:t xml:space="preserve">Hegde, M. V., Park, S., Zhu, X., &amp; Lee, C. (2025). Multi-Family Housing Environment and Physical Activity: A Systematic Review of the Literature. </w:t>
          </w:r>
          <w:r w:rsidRPr="007F222B">
            <w:rPr>
              <w:i/>
              <w:iCs/>
              <w:color w:val="000000"/>
              <w:sz w:val="24"/>
            </w:rPr>
            <w:t>American Journal of Health Promotion</w:t>
          </w:r>
          <w:r w:rsidR="007D55C2">
            <w:rPr>
              <w:i/>
              <w:iCs/>
              <w:color w:val="000000"/>
              <w:sz w:val="24"/>
            </w:rPr>
            <w:t>,</w:t>
          </w:r>
          <w:r w:rsidRPr="007F222B">
            <w:rPr>
              <w:color w:val="000000"/>
              <w:sz w:val="24"/>
            </w:rPr>
            <w:t xml:space="preserve"> </w:t>
          </w:r>
          <w:r w:rsidR="007D55C2" w:rsidRPr="007D55C2">
            <w:rPr>
              <w:i/>
              <w:iCs/>
              <w:color w:val="000000"/>
              <w:sz w:val="24"/>
            </w:rPr>
            <w:t>39</w:t>
          </w:r>
          <w:r w:rsidR="007D55C2" w:rsidRPr="007D55C2">
            <w:rPr>
              <w:color w:val="000000"/>
              <w:sz w:val="24"/>
            </w:rPr>
            <w:t>(1), 127</w:t>
          </w:r>
          <w:r w:rsidR="001E0767" w:rsidRPr="007F222B">
            <w:rPr>
              <w:color w:val="000000"/>
              <w:sz w:val="24"/>
            </w:rPr>
            <w:t>–</w:t>
          </w:r>
          <w:r w:rsidR="007D55C2" w:rsidRPr="007D55C2">
            <w:rPr>
              <w:color w:val="000000"/>
              <w:sz w:val="24"/>
            </w:rPr>
            <w:t xml:space="preserve">140. </w:t>
          </w:r>
          <w:hyperlink r:id="rId181" w:history="1">
            <w:r w:rsidR="00D170A1" w:rsidRPr="00B82894">
              <w:rPr>
                <w:rStyle w:val="Hyperlink"/>
                <w:sz w:val="24"/>
              </w:rPr>
              <w:t>https://doi.org/10.1177/08901171241254940</w:t>
            </w:r>
          </w:hyperlink>
          <w:r w:rsidR="00D170A1">
            <w:rPr>
              <w:color w:val="000000"/>
              <w:sz w:val="24"/>
            </w:rPr>
            <w:t xml:space="preserve"> </w:t>
          </w:r>
        </w:p>
        <w:p w14:paraId="2AC64273" w14:textId="73865BB1" w:rsidR="007F222B" w:rsidRPr="007F222B" w:rsidRDefault="007F222B">
          <w:pPr>
            <w:autoSpaceDE w:val="0"/>
            <w:autoSpaceDN w:val="0"/>
            <w:ind w:hanging="480"/>
            <w:divId w:val="2000233190"/>
            <w:rPr>
              <w:color w:val="000000"/>
              <w:sz w:val="24"/>
            </w:rPr>
          </w:pPr>
          <w:r w:rsidRPr="007F222B">
            <w:rPr>
              <w:color w:val="000000"/>
              <w:sz w:val="24"/>
            </w:rPr>
            <w:lastRenderedPageBreak/>
            <w:t xml:space="preserve">Heinen, E., van Wee, B., &amp; Maat, K. (2010). Commuting by Bicycle: An Overview of the Literature. </w:t>
          </w:r>
          <w:r w:rsidRPr="007F222B">
            <w:rPr>
              <w:i/>
              <w:iCs/>
              <w:color w:val="000000"/>
              <w:sz w:val="24"/>
            </w:rPr>
            <w:t>Transport Reviews</w:t>
          </w:r>
          <w:r w:rsidRPr="007F222B">
            <w:rPr>
              <w:color w:val="000000"/>
              <w:sz w:val="24"/>
            </w:rPr>
            <w:t xml:space="preserve">, </w:t>
          </w:r>
          <w:r w:rsidRPr="007F222B">
            <w:rPr>
              <w:i/>
              <w:iCs/>
              <w:color w:val="000000"/>
              <w:sz w:val="24"/>
            </w:rPr>
            <w:t>30</w:t>
          </w:r>
          <w:r w:rsidRPr="007F222B">
            <w:rPr>
              <w:color w:val="000000"/>
              <w:sz w:val="24"/>
            </w:rPr>
            <w:t xml:space="preserve">(1), 59–96. </w:t>
          </w:r>
          <w:hyperlink r:id="rId182" w:history="1">
            <w:r w:rsidR="00D170A1" w:rsidRPr="00B82894">
              <w:rPr>
                <w:rStyle w:val="Hyperlink"/>
                <w:sz w:val="24"/>
              </w:rPr>
              <w:t>https://doi.org/10.1080/01441640903187001</w:t>
            </w:r>
          </w:hyperlink>
          <w:r w:rsidR="00D170A1">
            <w:rPr>
              <w:color w:val="000000"/>
              <w:sz w:val="24"/>
            </w:rPr>
            <w:t xml:space="preserve"> </w:t>
          </w:r>
        </w:p>
        <w:p w14:paraId="12EFFA57" w14:textId="1EA0BDA9" w:rsidR="007F222B" w:rsidRPr="007F222B" w:rsidRDefault="007F222B">
          <w:pPr>
            <w:autoSpaceDE w:val="0"/>
            <w:autoSpaceDN w:val="0"/>
            <w:ind w:hanging="480"/>
            <w:divId w:val="552158161"/>
            <w:rPr>
              <w:color w:val="000000"/>
              <w:sz w:val="24"/>
            </w:rPr>
          </w:pPr>
          <w:r w:rsidRPr="007F222B">
            <w:rPr>
              <w:color w:val="000000"/>
              <w:sz w:val="24"/>
            </w:rPr>
            <w:t xml:space="preserve">Hu, W., &amp; Cicchino, J. B. (2024). Effects of lowering speed limits on crash severity in Seattle. </w:t>
          </w:r>
          <w:r w:rsidRPr="007F222B">
            <w:rPr>
              <w:i/>
              <w:iCs/>
              <w:color w:val="000000"/>
              <w:sz w:val="24"/>
            </w:rPr>
            <w:t>Journal of Safety Research</w:t>
          </w:r>
          <w:r w:rsidRPr="007F222B">
            <w:rPr>
              <w:color w:val="000000"/>
              <w:sz w:val="24"/>
            </w:rPr>
            <w:t xml:space="preserve">, </w:t>
          </w:r>
          <w:r w:rsidRPr="007F222B">
            <w:rPr>
              <w:i/>
              <w:iCs/>
              <w:color w:val="000000"/>
              <w:sz w:val="24"/>
            </w:rPr>
            <w:t>88</w:t>
          </w:r>
          <w:r w:rsidRPr="007F222B">
            <w:rPr>
              <w:color w:val="000000"/>
              <w:sz w:val="24"/>
            </w:rPr>
            <w:t xml:space="preserve">, 174–178. </w:t>
          </w:r>
          <w:hyperlink r:id="rId183" w:history="1">
            <w:r w:rsidR="00D170A1" w:rsidRPr="00B82894">
              <w:rPr>
                <w:rStyle w:val="Hyperlink"/>
                <w:sz w:val="24"/>
              </w:rPr>
              <w:t>https://doi.org/10.1016/j.jsr.2023.11.004</w:t>
            </w:r>
          </w:hyperlink>
          <w:r w:rsidR="00D170A1">
            <w:rPr>
              <w:color w:val="000000"/>
              <w:sz w:val="24"/>
            </w:rPr>
            <w:t xml:space="preserve"> </w:t>
          </w:r>
        </w:p>
        <w:p w14:paraId="1B6396CD" w14:textId="64D7AE5E" w:rsidR="007F222B" w:rsidRPr="007F222B" w:rsidRDefault="007F222B">
          <w:pPr>
            <w:autoSpaceDE w:val="0"/>
            <w:autoSpaceDN w:val="0"/>
            <w:ind w:hanging="480"/>
            <w:divId w:val="1603099919"/>
            <w:rPr>
              <w:color w:val="000000"/>
              <w:sz w:val="24"/>
            </w:rPr>
          </w:pPr>
          <w:r w:rsidRPr="007F222B">
            <w:rPr>
              <w:color w:val="000000"/>
              <w:sz w:val="24"/>
            </w:rPr>
            <w:t xml:space="preserve">Hudde, A. (2024). Have cycling-friendly cities achieved cycling equity? Analyses of the educational gradient in cycling in Dutch and German cities. </w:t>
          </w:r>
          <w:r w:rsidRPr="007F222B">
            <w:rPr>
              <w:i/>
              <w:iCs/>
              <w:color w:val="000000"/>
              <w:sz w:val="24"/>
            </w:rPr>
            <w:t>Urban Studies</w:t>
          </w:r>
          <w:r w:rsidRPr="007F222B">
            <w:rPr>
              <w:color w:val="000000"/>
              <w:sz w:val="24"/>
            </w:rPr>
            <w:t xml:space="preserve">, </w:t>
          </w:r>
          <w:r w:rsidRPr="007F222B">
            <w:rPr>
              <w:i/>
              <w:iCs/>
              <w:color w:val="000000"/>
              <w:sz w:val="24"/>
            </w:rPr>
            <w:t>61</w:t>
          </w:r>
          <w:r w:rsidRPr="007F222B">
            <w:rPr>
              <w:color w:val="000000"/>
              <w:sz w:val="24"/>
            </w:rPr>
            <w:t xml:space="preserve">(1), 78–94. </w:t>
          </w:r>
          <w:hyperlink r:id="rId184" w:history="1">
            <w:r w:rsidR="00D170A1" w:rsidRPr="00B82894">
              <w:rPr>
                <w:rStyle w:val="Hyperlink"/>
                <w:sz w:val="24"/>
              </w:rPr>
              <w:t>https://doi.org/10.1177/00420980231172313</w:t>
            </w:r>
          </w:hyperlink>
          <w:r w:rsidR="00D170A1">
            <w:rPr>
              <w:color w:val="000000"/>
              <w:sz w:val="24"/>
            </w:rPr>
            <w:t xml:space="preserve"> </w:t>
          </w:r>
        </w:p>
        <w:p w14:paraId="569CFCFB" w14:textId="7E7383FE" w:rsidR="007F222B" w:rsidRPr="007F222B" w:rsidRDefault="007F222B">
          <w:pPr>
            <w:autoSpaceDE w:val="0"/>
            <w:autoSpaceDN w:val="0"/>
            <w:ind w:hanging="480"/>
            <w:divId w:val="2035300341"/>
            <w:rPr>
              <w:color w:val="000000"/>
              <w:sz w:val="24"/>
            </w:rPr>
          </w:pPr>
          <w:r w:rsidRPr="007F222B">
            <w:rPr>
              <w:color w:val="000000"/>
              <w:sz w:val="24"/>
            </w:rPr>
            <w:t xml:space="preserve">Hwang, H., Haddad, A. J., &amp; Bhat, C. R. (2025). Multivariate analysis of frequency, duration and companionship in walking behaviors among adults over 50. </w:t>
          </w:r>
          <w:r w:rsidRPr="007F222B">
            <w:rPr>
              <w:i/>
              <w:iCs/>
              <w:color w:val="000000"/>
              <w:sz w:val="24"/>
            </w:rPr>
            <w:t>Journal of Transport and Health</w:t>
          </w:r>
          <w:r w:rsidRPr="007F222B">
            <w:rPr>
              <w:color w:val="000000"/>
              <w:sz w:val="24"/>
            </w:rPr>
            <w:t xml:space="preserve">, </w:t>
          </w:r>
          <w:r w:rsidRPr="007F222B">
            <w:rPr>
              <w:i/>
              <w:iCs/>
              <w:color w:val="000000"/>
              <w:sz w:val="24"/>
            </w:rPr>
            <w:t>44</w:t>
          </w:r>
          <w:r w:rsidR="00F772A7">
            <w:rPr>
              <w:i/>
              <w:iCs/>
              <w:color w:val="000000"/>
              <w:sz w:val="24"/>
            </w:rPr>
            <w:t xml:space="preserve">, </w:t>
          </w:r>
          <w:r w:rsidR="00F772A7">
            <w:rPr>
              <w:color w:val="000000"/>
              <w:sz w:val="24"/>
            </w:rPr>
            <w:t>102161</w:t>
          </w:r>
          <w:r w:rsidRPr="007F222B">
            <w:rPr>
              <w:color w:val="000000"/>
              <w:sz w:val="24"/>
            </w:rPr>
            <w:t xml:space="preserve">. </w:t>
          </w:r>
          <w:hyperlink r:id="rId185" w:history="1">
            <w:r w:rsidR="002F7C39" w:rsidRPr="00B82894">
              <w:rPr>
                <w:rStyle w:val="Hyperlink"/>
                <w:sz w:val="24"/>
              </w:rPr>
              <w:t>https://doi.org/10.1016/j.jth.2025.102161</w:t>
            </w:r>
          </w:hyperlink>
          <w:r w:rsidR="002F7C39">
            <w:rPr>
              <w:color w:val="000000"/>
              <w:sz w:val="24"/>
            </w:rPr>
            <w:t xml:space="preserve"> </w:t>
          </w:r>
        </w:p>
        <w:p w14:paraId="5FA20019" w14:textId="7BDB0E24" w:rsidR="007F222B" w:rsidRPr="007F222B" w:rsidRDefault="007F222B">
          <w:pPr>
            <w:autoSpaceDE w:val="0"/>
            <w:autoSpaceDN w:val="0"/>
            <w:ind w:hanging="480"/>
            <w:divId w:val="1204098582"/>
            <w:rPr>
              <w:color w:val="000000"/>
              <w:sz w:val="24"/>
            </w:rPr>
          </w:pPr>
          <w:r w:rsidRPr="007F222B">
            <w:rPr>
              <w:color w:val="000000"/>
              <w:sz w:val="24"/>
            </w:rPr>
            <w:t xml:space="preserve">Ingram, M., Adkins, A., Hansen, K., Cascio, V., &amp; Somnez, E. (2017). Sociocultural perceptions of walkability in Mexican American neighborhoods: Implications for policy and practice. </w:t>
          </w:r>
          <w:r w:rsidRPr="007F222B">
            <w:rPr>
              <w:i/>
              <w:iCs/>
              <w:color w:val="000000"/>
              <w:sz w:val="24"/>
            </w:rPr>
            <w:t>Journal of Transport and Health</w:t>
          </w:r>
          <w:r w:rsidRPr="007F222B">
            <w:rPr>
              <w:color w:val="000000"/>
              <w:sz w:val="24"/>
            </w:rPr>
            <w:t xml:space="preserve">, </w:t>
          </w:r>
          <w:r w:rsidRPr="007F222B">
            <w:rPr>
              <w:i/>
              <w:iCs/>
              <w:color w:val="000000"/>
              <w:sz w:val="24"/>
            </w:rPr>
            <w:t>7</w:t>
          </w:r>
          <w:r w:rsidRPr="007F222B">
            <w:rPr>
              <w:color w:val="000000"/>
              <w:sz w:val="24"/>
            </w:rPr>
            <w:t xml:space="preserve">, 172–180. </w:t>
          </w:r>
          <w:hyperlink r:id="rId186" w:history="1">
            <w:r w:rsidR="002F7C39" w:rsidRPr="00B82894">
              <w:rPr>
                <w:rStyle w:val="Hyperlink"/>
                <w:sz w:val="24"/>
              </w:rPr>
              <w:t>https://doi.org/10.1016/j.jth.2017.10.001</w:t>
            </w:r>
          </w:hyperlink>
          <w:r w:rsidR="002F7C39">
            <w:rPr>
              <w:color w:val="000000"/>
              <w:sz w:val="24"/>
            </w:rPr>
            <w:t xml:space="preserve"> </w:t>
          </w:r>
        </w:p>
        <w:p w14:paraId="64EAB3E5" w14:textId="5FCFA32F" w:rsidR="007F222B" w:rsidRPr="007F222B" w:rsidRDefault="007F222B">
          <w:pPr>
            <w:autoSpaceDE w:val="0"/>
            <w:autoSpaceDN w:val="0"/>
            <w:ind w:hanging="480"/>
            <w:divId w:val="234708873"/>
            <w:rPr>
              <w:color w:val="000000"/>
              <w:sz w:val="24"/>
            </w:rPr>
          </w:pPr>
          <w:r w:rsidRPr="007F222B">
            <w:rPr>
              <w:color w:val="000000"/>
              <w:sz w:val="24"/>
            </w:rPr>
            <w:t xml:space="preserve">Ito, K., Bansal, P., &amp; Biljecki, F. (2024). Examining the causal impacts of the built environment on cycling activities using time-series street view imagery. </w:t>
          </w:r>
          <w:r w:rsidRPr="007F222B">
            <w:rPr>
              <w:i/>
              <w:iCs/>
              <w:color w:val="000000"/>
              <w:sz w:val="24"/>
            </w:rPr>
            <w:t>Transportation Research Part A: Policy and Practice</w:t>
          </w:r>
          <w:r w:rsidRPr="007F222B">
            <w:rPr>
              <w:color w:val="000000"/>
              <w:sz w:val="24"/>
            </w:rPr>
            <w:t xml:space="preserve">, </w:t>
          </w:r>
          <w:r w:rsidRPr="007F222B">
            <w:rPr>
              <w:i/>
              <w:iCs/>
              <w:color w:val="000000"/>
              <w:sz w:val="24"/>
            </w:rPr>
            <w:t>190</w:t>
          </w:r>
          <w:r w:rsidR="00AA75E4">
            <w:rPr>
              <w:i/>
              <w:iCs/>
              <w:color w:val="000000"/>
              <w:sz w:val="24"/>
            </w:rPr>
            <w:t xml:space="preserve">, </w:t>
          </w:r>
          <w:r w:rsidR="00AA75E4">
            <w:rPr>
              <w:color w:val="000000"/>
              <w:sz w:val="24"/>
            </w:rPr>
            <w:t>104286</w:t>
          </w:r>
          <w:r w:rsidRPr="007F222B">
            <w:rPr>
              <w:color w:val="000000"/>
              <w:sz w:val="24"/>
            </w:rPr>
            <w:t xml:space="preserve">. </w:t>
          </w:r>
          <w:hyperlink r:id="rId187" w:history="1">
            <w:r w:rsidR="002F7C39" w:rsidRPr="00B82894">
              <w:rPr>
                <w:rStyle w:val="Hyperlink"/>
                <w:sz w:val="24"/>
              </w:rPr>
              <w:t>https://doi.org/10.1016/j.tra.2024.104286</w:t>
            </w:r>
          </w:hyperlink>
          <w:r w:rsidR="002F7C39">
            <w:rPr>
              <w:color w:val="000000"/>
              <w:sz w:val="24"/>
            </w:rPr>
            <w:t xml:space="preserve"> </w:t>
          </w:r>
        </w:p>
        <w:p w14:paraId="1B0438DA" w14:textId="28CD511F" w:rsidR="007F222B" w:rsidRPr="007F222B" w:rsidRDefault="007F222B">
          <w:pPr>
            <w:autoSpaceDE w:val="0"/>
            <w:autoSpaceDN w:val="0"/>
            <w:ind w:hanging="480"/>
            <w:divId w:val="1148210331"/>
            <w:rPr>
              <w:color w:val="000000"/>
              <w:sz w:val="24"/>
            </w:rPr>
          </w:pPr>
          <w:r w:rsidRPr="007F222B">
            <w:rPr>
              <w:color w:val="000000"/>
              <w:sz w:val="24"/>
            </w:rPr>
            <w:t>Jauregui, C., Trinidad, A., &amp; Vozmediano, L. (2025). Women</w:t>
          </w:r>
          <w:r w:rsidR="000D7001">
            <w:rPr>
              <w:color w:val="000000"/>
              <w:sz w:val="24"/>
            </w:rPr>
            <w:t>’</w:t>
          </w:r>
          <w:r w:rsidRPr="007F222B">
            <w:rPr>
              <w:color w:val="000000"/>
              <w:sz w:val="24"/>
            </w:rPr>
            <w:t xml:space="preserve">s Safety Perception Before and After the Reconstruction of an Urban Area: A Mixed-Method Research. </w:t>
          </w:r>
          <w:r w:rsidRPr="007F222B">
            <w:rPr>
              <w:i/>
              <w:iCs/>
              <w:color w:val="000000"/>
              <w:sz w:val="24"/>
            </w:rPr>
            <w:t>Violence Against Women</w:t>
          </w:r>
          <w:r w:rsidRPr="007F222B">
            <w:rPr>
              <w:color w:val="000000"/>
              <w:sz w:val="24"/>
            </w:rPr>
            <w:t xml:space="preserve">. </w:t>
          </w:r>
          <w:hyperlink r:id="rId188" w:history="1">
            <w:r w:rsidR="002F7C39" w:rsidRPr="00B82894">
              <w:rPr>
                <w:rStyle w:val="Hyperlink"/>
                <w:sz w:val="24"/>
              </w:rPr>
              <w:t>https://doi.org/10.1177/10778012251362225</w:t>
            </w:r>
          </w:hyperlink>
          <w:r w:rsidR="002F7C39">
            <w:rPr>
              <w:color w:val="000000"/>
              <w:sz w:val="24"/>
            </w:rPr>
            <w:t xml:space="preserve"> </w:t>
          </w:r>
        </w:p>
        <w:p w14:paraId="0C05C2D0" w14:textId="629A070C" w:rsidR="007F222B" w:rsidRPr="007F222B" w:rsidRDefault="007F222B">
          <w:pPr>
            <w:autoSpaceDE w:val="0"/>
            <w:autoSpaceDN w:val="0"/>
            <w:ind w:hanging="480"/>
            <w:divId w:val="2101215579"/>
            <w:rPr>
              <w:color w:val="000000"/>
              <w:sz w:val="24"/>
            </w:rPr>
          </w:pPr>
          <w:r w:rsidRPr="007F222B">
            <w:rPr>
              <w:color w:val="000000"/>
              <w:sz w:val="24"/>
            </w:rPr>
            <w:t xml:space="preserve">Johnson, N., Fitch-Polse, D. T., &amp; Handy, S. L. (2023). Impacts of e-bike ownership on travel behavior: Evidence from three northern California rebate programs. </w:t>
          </w:r>
          <w:r w:rsidRPr="007F222B">
            <w:rPr>
              <w:i/>
              <w:iCs/>
              <w:color w:val="000000"/>
              <w:sz w:val="24"/>
            </w:rPr>
            <w:t>Transport Policy</w:t>
          </w:r>
          <w:r w:rsidRPr="007F222B">
            <w:rPr>
              <w:color w:val="000000"/>
              <w:sz w:val="24"/>
            </w:rPr>
            <w:t xml:space="preserve">, </w:t>
          </w:r>
          <w:r w:rsidRPr="007F222B">
            <w:rPr>
              <w:i/>
              <w:iCs/>
              <w:color w:val="000000"/>
              <w:sz w:val="24"/>
            </w:rPr>
            <w:t>140</w:t>
          </w:r>
          <w:r w:rsidRPr="007F222B">
            <w:rPr>
              <w:color w:val="000000"/>
              <w:sz w:val="24"/>
            </w:rPr>
            <w:t xml:space="preserve">, 163–174. </w:t>
          </w:r>
          <w:hyperlink r:id="rId189" w:history="1">
            <w:r w:rsidR="002F7C39" w:rsidRPr="00B82894">
              <w:rPr>
                <w:rStyle w:val="Hyperlink"/>
                <w:sz w:val="24"/>
              </w:rPr>
              <w:t>https://doi.org/10.1016/j.tranpol.2023.06.014</w:t>
            </w:r>
          </w:hyperlink>
          <w:r w:rsidR="002F7C39">
            <w:rPr>
              <w:color w:val="000000"/>
              <w:sz w:val="24"/>
            </w:rPr>
            <w:t xml:space="preserve"> </w:t>
          </w:r>
        </w:p>
        <w:p w14:paraId="540F6134" w14:textId="1253A0A5" w:rsidR="007F222B" w:rsidRPr="007F222B" w:rsidRDefault="007F222B">
          <w:pPr>
            <w:autoSpaceDE w:val="0"/>
            <w:autoSpaceDN w:val="0"/>
            <w:ind w:hanging="480"/>
            <w:divId w:val="183594777"/>
            <w:rPr>
              <w:color w:val="000000"/>
              <w:sz w:val="24"/>
            </w:rPr>
          </w:pPr>
          <w:r w:rsidRPr="007F222B">
            <w:rPr>
              <w:color w:val="000000"/>
              <w:sz w:val="24"/>
            </w:rPr>
            <w:t>Jones, S. A., Li, Q., Aiello, A. E., O</w:t>
          </w:r>
          <w:r w:rsidR="000D7001">
            <w:rPr>
              <w:color w:val="000000"/>
              <w:sz w:val="24"/>
            </w:rPr>
            <w:t>’</w:t>
          </w:r>
          <w:r w:rsidRPr="007F222B">
            <w:rPr>
              <w:color w:val="000000"/>
              <w:sz w:val="24"/>
            </w:rPr>
            <w:t xml:space="preserve">Rand, A. M., &amp; Evenson, K. R. (2018). Correlates of changes in walking during the retirement transition: The Multi-Ethnic Study of Atherosclerosis. </w:t>
          </w:r>
          <w:r w:rsidRPr="007F222B">
            <w:rPr>
              <w:i/>
              <w:iCs/>
              <w:color w:val="000000"/>
              <w:sz w:val="24"/>
            </w:rPr>
            <w:t>Preventive Medicine Reports</w:t>
          </w:r>
          <w:r w:rsidRPr="007F222B">
            <w:rPr>
              <w:color w:val="000000"/>
              <w:sz w:val="24"/>
            </w:rPr>
            <w:t xml:space="preserve">, </w:t>
          </w:r>
          <w:r w:rsidRPr="007F222B">
            <w:rPr>
              <w:i/>
              <w:iCs/>
              <w:color w:val="000000"/>
              <w:sz w:val="24"/>
            </w:rPr>
            <w:t>11</w:t>
          </w:r>
          <w:r w:rsidRPr="007F222B">
            <w:rPr>
              <w:color w:val="000000"/>
              <w:sz w:val="24"/>
            </w:rPr>
            <w:t xml:space="preserve">, 221–230. </w:t>
          </w:r>
          <w:hyperlink r:id="rId190" w:history="1">
            <w:r w:rsidR="002F7C39" w:rsidRPr="00B82894">
              <w:rPr>
                <w:rStyle w:val="Hyperlink"/>
                <w:sz w:val="24"/>
              </w:rPr>
              <w:t>https://doi.org/10.1016/j.pmedr.2018.07.002</w:t>
            </w:r>
          </w:hyperlink>
          <w:r w:rsidR="002F7C39">
            <w:rPr>
              <w:color w:val="000000"/>
              <w:sz w:val="24"/>
            </w:rPr>
            <w:t xml:space="preserve"> </w:t>
          </w:r>
        </w:p>
        <w:p w14:paraId="6D10F835" w14:textId="3DAB713B" w:rsidR="007F222B" w:rsidRPr="007F222B" w:rsidRDefault="007F222B">
          <w:pPr>
            <w:autoSpaceDE w:val="0"/>
            <w:autoSpaceDN w:val="0"/>
            <w:ind w:hanging="480"/>
            <w:divId w:val="1725563831"/>
            <w:rPr>
              <w:color w:val="000000"/>
              <w:sz w:val="24"/>
            </w:rPr>
          </w:pPr>
          <w:r w:rsidRPr="007F222B">
            <w:rPr>
              <w:color w:val="000000"/>
              <w:sz w:val="24"/>
            </w:rPr>
            <w:t xml:space="preserve">Kärmeniemi, M., Lankila, T., Ikäheimo, T., Puhakka, S., Niemelä, M., Jämsä, T., Koivumaa-Honkanen, H., &amp; Korpelainen, R. (2019). Residential relocation trajectories and neighborhood density, mixed land use and access networks as predictors of walking and bicycling in the Northern Finland Birth Cohort 1966. </w:t>
          </w:r>
          <w:r w:rsidRPr="007F222B">
            <w:rPr>
              <w:i/>
              <w:iCs/>
              <w:color w:val="000000"/>
              <w:sz w:val="24"/>
            </w:rPr>
            <w:t>International Journal of Behavioral Nutrition and Physical Activity</w:t>
          </w:r>
          <w:r w:rsidR="00482B24">
            <w:rPr>
              <w:i/>
              <w:iCs/>
              <w:color w:val="000000"/>
              <w:sz w:val="24"/>
            </w:rPr>
            <w:t>,</w:t>
          </w:r>
          <w:r w:rsidRPr="007F222B">
            <w:rPr>
              <w:color w:val="000000"/>
              <w:sz w:val="24"/>
            </w:rPr>
            <w:t xml:space="preserve"> </w:t>
          </w:r>
          <w:r w:rsidRPr="007F222B">
            <w:rPr>
              <w:i/>
              <w:iCs/>
              <w:color w:val="000000"/>
              <w:sz w:val="24"/>
            </w:rPr>
            <w:t>16</w:t>
          </w:r>
          <w:r w:rsidRPr="007F222B">
            <w:rPr>
              <w:color w:val="000000"/>
              <w:sz w:val="24"/>
            </w:rPr>
            <w:t xml:space="preserve">(1), 88. </w:t>
          </w:r>
          <w:hyperlink r:id="rId191" w:history="1">
            <w:r w:rsidR="002F7C39" w:rsidRPr="00B82894">
              <w:rPr>
                <w:rStyle w:val="Hyperlink"/>
                <w:sz w:val="24"/>
              </w:rPr>
              <w:t>https://doi.org/10.1186/s12966-019-0856-8</w:t>
            </w:r>
          </w:hyperlink>
          <w:r w:rsidR="002F7C39">
            <w:rPr>
              <w:color w:val="000000"/>
              <w:sz w:val="24"/>
            </w:rPr>
            <w:t xml:space="preserve"> </w:t>
          </w:r>
        </w:p>
        <w:p w14:paraId="3F0EEDCF" w14:textId="597EB14A" w:rsidR="007F222B" w:rsidRPr="007F222B" w:rsidRDefault="007F222B">
          <w:pPr>
            <w:autoSpaceDE w:val="0"/>
            <w:autoSpaceDN w:val="0"/>
            <w:ind w:hanging="480"/>
            <w:divId w:val="899511799"/>
            <w:rPr>
              <w:color w:val="000000"/>
              <w:sz w:val="24"/>
            </w:rPr>
          </w:pPr>
          <w:r w:rsidRPr="007F222B">
            <w:rPr>
              <w:color w:val="000000"/>
              <w:sz w:val="24"/>
            </w:rPr>
            <w:t xml:space="preserve">Kerr, J., Emond, J. A., Badland, H., Reis, R., Sarmiento, O., Carlson, J., Sallis, J. F., Cerin, E., Cain, K., Conway, T., Schofield, G., Macfarlane, D. J., Christiansen, L. B., Van Dyck, D., Davey, R., Aguinaga-Ontoso, I., Salvo, D., Sugiyama, T., Mitáš, J., … Natarajan, L. (2016). Perceived neighborhood environmental attributes associated with walking and cycling for transport among adult residents of 17 cities in 12 countries: The IPEN study. </w:t>
          </w:r>
          <w:r w:rsidRPr="007F222B">
            <w:rPr>
              <w:i/>
              <w:iCs/>
              <w:color w:val="000000"/>
              <w:sz w:val="24"/>
            </w:rPr>
            <w:t>Environmental Health Perspectives</w:t>
          </w:r>
          <w:r w:rsidRPr="007F222B">
            <w:rPr>
              <w:color w:val="000000"/>
              <w:sz w:val="24"/>
            </w:rPr>
            <w:t xml:space="preserve">, </w:t>
          </w:r>
          <w:r w:rsidRPr="007F222B">
            <w:rPr>
              <w:i/>
              <w:iCs/>
              <w:color w:val="000000"/>
              <w:sz w:val="24"/>
            </w:rPr>
            <w:t>124</w:t>
          </w:r>
          <w:r w:rsidRPr="007F222B">
            <w:rPr>
              <w:color w:val="000000"/>
              <w:sz w:val="24"/>
            </w:rPr>
            <w:t xml:space="preserve">(3), 290–298. </w:t>
          </w:r>
          <w:hyperlink r:id="rId192" w:history="1">
            <w:r w:rsidR="002F7C39" w:rsidRPr="00B82894">
              <w:rPr>
                <w:rStyle w:val="Hyperlink"/>
                <w:sz w:val="24"/>
              </w:rPr>
              <w:t>https://doi.org/10.1289/ehp.1409466</w:t>
            </w:r>
          </w:hyperlink>
          <w:r w:rsidR="002F7C39">
            <w:rPr>
              <w:color w:val="000000"/>
              <w:sz w:val="24"/>
            </w:rPr>
            <w:t xml:space="preserve"> </w:t>
          </w:r>
        </w:p>
        <w:p w14:paraId="3AC5EF0C" w14:textId="0586E0BD" w:rsidR="007F222B" w:rsidRPr="007F222B" w:rsidRDefault="007F222B">
          <w:pPr>
            <w:autoSpaceDE w:val="0"/>
            <w:autoSpaceDN w:val="0"/>
            <w:ind w:hanging="480"/>
            <w:divId w:val="643236340"/>
            <w:rPr>
              <w:color w:val="000000"/>
              <w:sz w:val="24"/>
            </w:rPr>
          </w:pPr>
          <w:r w:rsidRPr="007F222B">
            <w:rPr>
              <w:color w:val="000000"/>
              <w:sz w:val="24"/>
            </w:rPr>
            <w:t>Kritz, M., Thøgersen-Ntoumani, C., Mullan, B., Stathi, A.,</w:t>
          </w:r>
          <w:r w:rsidR="00EF19DF">
            <w:rPr>
              <w:color w:val="000000"/>
              <w:sz w:val="24"/>
            </w:rPr>
            <w:t xml:space="preserve"> &amp;</w:t>
          </w:r>
          <w:r w:rsidRPr="007F222B">
            <w:rPr>
              <w:color w:val="000000"/>
              <w:sz w:val="24"/>
            </w:rPr>
            <w:t xml:space="preserve"> Ntoumanis, N. (2020). “It</w:t>
          </w:r>
          <w:r w:rsidR="000D7001">
            <w:rPr>
              <w:color w:val="000000"/>
              <w:sz w:val="24"/>
            </w:rPr>
            <w:t>’</w:t>
          </w:r>
          <w:r w:rsidRPr="007F222B">
            <w:rPr>
              <w:color w:val="000000"/>
              <w:sz w:val="24"/>
            </w:rPr>
            <w:t xml:space="preserve">s Better Together”: A Nested Longitudinal Study Examining the Benefits of Walking Regularly With Peers Versus Primarily Alone in Older Adults. </w:t>
          </w:r>
          <w:r w:rsidRPr="007F222B">
            <w:rPr>
              <w:i/>
              <w:iCs/>
              <w:color w:val="000000"/>
              <w:sz w:val="24"/>
            </w:rPr>
            <w:t>Journal of Aging and Physical Activity</w:t>
          </w:r>
          <w:r w:rsidRPr="007F222B">
            <w:rPr>
              <w:color w:val="000000"/>
              <w:sz w:val="24"/>
            </w:rPr>
            <w:t xml:space="preserve">, </w:t>
          </w:r>
          <w:r w:rsidRPr="007F222B">
            <w:rPr>
              <w:i/>
              <w:iCs/>
              <w:color w:val="000000"/>
              <w:sz w:val="24"/>
            </w:rPr>
            <w:t>29</w:t>
          </w:r>
          <w:r w:rsidRPr="007F222B">
            <w:rPr>
              <w:color w:val="000000"/>
              <w:sz w:val="24"/>
            </w:rPr>
            <w:t xml:space="preserve">(3), 455–465. </w:t>
          </w:r>
          <w:hyperlink r:id="rId193" w:history="1">
            <w:r w:rsidR="002F7C39" w:rsidRPr="00B82894">
              <w:rPr>
                <w:rStyle w:val="Hyperlink"/>
                <w:sz w:val="24"/>
              </w:rPr>
              <w:t>https://doi.org/10.1123/japa.2020-0091</w:t>
            </w:r>
          </w:hyperlink>
          <w:r w:rsidR="002F7C39">
            <w:rPr>
              <w:color w:val="000000"/>
              <w:sz w:val="24"/>
            </w:rPr>
            <w:t xml:space="preserve"> </w:t>
          </w:r>
        </w:p>
        <w:p w14:paraId="567078D3" w14:textId="18749828" w:rsidR="007F222B" w:rsidRPr="007F222B" w:rsidRDefault="007F222B">
          <w:pPr>
            <w:autoSpaceDE w:val="0"/>
            <w:autoSpaceDN w:val="0"/>
            <w:ind w:hanging="480"/>
            <w:divId w:val="1439108027"/>
            <w:rPr>
              <w:color w:val="000000"/>
              <w:sz w:val="24"/>
            </w:rPr>
          </w:pPr>
          <w:r w:rsidRPr="007F222B">
            <w:rPr>
              <w:color w:val="000000"/>
              <w:sz w:val="24"/>
            </w:rPr>
            <w:t xml:space="preserve">Lättman, K., Olsson, L. E., &amp; Friman, M. (2018). A new approach to accessibility – Examining perceived accessibility in contrast to objectively measured accessibility in daily travel. </w:t>
          </w:r>
          <w:r w:rsidRPr="007F222B">
            <w:rPr>
              <w:i/>
              <w:iCs/>
              <w:color w:val="000000"/>
              <w:sz w:val="24"/>
            </w:rPr>
            <w:t>Research in Transportation Economics</w:t>
          </w:r>
          <w:r w:rsidRPr="007F222B">
            <w:rPr>
              <w:color w:val="000000"/>
              <w:sz w:val="24"/>
            </w:rPr>
            <w:t xml:space="preserve">, </w:t>
          </w:r>
          <w:r w:rsidRPr="007F222B">
            <w:rPr>
              <w:i/>
              <w:iCs/>
              <w:color w:val="000000"/>
              <w:sz w:val="24"/>
            </w:rPr>
            <w:t>69</w:t>
          </w:r>
          <w:r w:rsidRPr="007F222B">
            <w:rPr>
              <w:color w:val="000000"/>
              <w:sz w:val="24"/>
            </w:rPr>
            <w:t xml:space="preserve">, 501–511. </w:t>
          </w:r>
          <w:hyperlink r:id="rId194" w:history="1">
            <w:r w:rsidR="002F7C39" w:rsidRPr="00B82894">
              <w:rPr>
                <w:rStyle w:val="Hyperlink"/>
                <w:sz w:val="24"/>
              </w:rPr>
              <w:t>https://doi.org/10.1016/j.retrec.2018.06.002</w:t>
            </w:r>
          </w:hyperlink>
          <w:r w:rsidR="002F7C39">
            <w:rPr>
              <w:color w:val="000000"/>
              <w:sz w:val="24"/>
            </w:rPr>
            <w:t xml:space="preserve"> </w:t>
          </w:r>
        </w:p>
        <w:p w14:paraId="33D80BD9" w14:textId="684C235E" w:rsidR="007F222B" w:rsidRPr="007F222B" w:rsidRDefault="007F222B">
          <w:pPr>
            <w:autoSpaceDE w:val="0"/>
            <w:autoSpaceDN w:val="0"/>
            <w:ind w:hanging="480"/>
            <w:divId w:val="719790579"/>
            <w:rPr>
              <w:color w:val="000000"/>
              <w:sz w:val="24"/>
            </w:rPr>
          </w:pPr>
          <w:r w:rsidRPr="007F222B">
            <w:rPr>
              <w:color w:val="000000"/>
              <w:sz w:val="24"/>
            </w:rPr>
            <w:lastRenderedPageBreak/>
            <w:t xml:space="preserve">Lee, S., Lee, C., Won Nam, J., Vernez Moudon, A., &amp; Mendoza, J. A. (2023). Street environments and crime around low-income and minority schools: Adopting an environmental audit tool to assess crime prevention through environmental design (CPTED). </w:t>
          </w:r>
          <w:r w:rsidRPr="007F222B">
            <w:rPr>
              <w:i/>
              <w:iCs/>
              <w:color w:val="000000"/>
              <w:sz w:val="24"/>
            </w:rPr>
            <w:t>Landscape and Urban Planning</w:t>
          </w:r>
          <w:r w:rsidRPr="007F222B">
            <w:rPr>
              <w:color w:val="000000"/>
              <w:sz w:val="24"/>
            </w:rPr>
            <w:t xml:space="preserve">, </w:t>
          </w:r>
          <w:r w:rsidRPr="007F222B">
            <w:rPr>
              <w:i/>
              <w:iCs/>
              <w:color w:val="000000"/>
              <w:sz w:val="24"/>
            </w:rPr>
            <w:t>232</w:t>
          </w:r>
          <w:r w:rsidR="00AA75E4">
            <w:rPr>
              <w:i/>
              <w:iCs/>
              <w:color w:val="000000"/>
              <w:sz w:val="24"/>
            </w:rPr>
            <w:t xml:space="preserve">, </w:t>
          </w:r>
          <w:r w:rsidR="00AA75E4">
            <w:rPr>
              <w:color w:val="000000"/>
              <w:sz w:val="24"/>
            </w:rPr>
            <w:t>104676</w:t>
          </w:r>
          <w:r w:rsidRPr="007F222B">
            <w:rPr>
              <w:color w:val="000000"/>
              <w:sz w:val="24"/>
            </w:rPr>
            <w:t xml:space="preserve">. </w:t>
          </w:r>
          <w:hyperlink r:id="rId195" w:history="1">
            <w:r w:rsidR="002F7C39" w:rsidRPr="00B82894">
              <w:rPr>
                <w:rStyle w:val="Hyperlink"/>
                <w:sz w:val="24"/>
              </w:rPr>
              <w:t>https://doi.org/10.1016/j.landurbplan.2022.104676</w:t>
            </w:r>
          </w:hyperlink>
          <w:r w:rsidR="002F7C39">
            <w:rPr>
              <w:color w:val="000000"/>
              <w:sz w:val="24"/>
            </w:rPr>
            <w:t xml:space="preserve"> </w:t>
          </w:r>
        </w:p>
        <w:p w14:paraId="024B4B78" w14:textId="00D6E818" w:rsidR="007F222B" w:rsidRPr="007F222B" w:rsidRDefault="007F222B">
          <w:pPr>
            <w:autoSpaceDE w:val="0"/>
            <w:autoSpaceDN w:val="0"/>
            <w:ind w:hanging="480"/>
            <w:divId w:val="1367559126"/>
            <w:rPr>
              <w:color w:val="000000"/>
              <w:sz w:val="24"/>
            </w:rPr>
          </w:pPr>
          <w:r w:rsidRPr="007F222B">
            <w:rPr>
              <w:color w:val="000000"/>
              <w:sz w:val="24"/>
            </w:rPr>
            <w:t xml:space="preserve">Loo, B. P. Y. (2021). Walking towards a happy city. </w:t>
          </w:r>
          <w:r w:rsidRPr="007F222B">
            <w:rPr>
              <w:i/>
              <w:iCs/>
              <w:color w:val="000000"/>
              <w:sz w:val="24"/>
            </w:rPr>
            <w:t>Journal of Transport Geography</w:t>
          </w:r>
          <w:r w:rsidRPr="007F222B">
            <w:rPr>
              <w:color w:val="000000"/>
              <w:sz w:val="24"/>
            </w:rPr>
            <w:t xml:space="preserve">, </w:t>
          </w:r>
          <w:r w:rsidRPr="007F222B">
            <w:rPr>
              <w:i/>
              <w:iCs/>
              <w:color w:val="000000"/>
              <w:sz w:val="24"/>
            </w:rPr>
            <w:t>93</w:t>
          </w:r>
          <w:r w:rsidR="00AA75E4">
            <w:rPr>
              <w:i/>
              <w:iCs/>
              <w:color w:val="000000"/>
              <w:sz w:val="24"/>
            </w:rPr>
            <w:t xml:space="preserve">, </w:t>
          </w:r>
          <w:r w:rsidR="004D6DF8">
            <w:rPr>
              <w:color w:val="000000"/>
              <w:sz w:val="24"/>
            </w:rPr>
            <w:t>103078</w:t>
          </w:r>
          <w:r w:rsidRPr="007F222B">
            <w:rPr>
              <w:color w:val="000000"/>
              <w:sz w:val="24"/>
            </w:rPr>
            <w:t xml:space="preserve">. </w:t>
          </w:r>
          <w:hyperlink r:id="rId196" w:history="1">
            <w:r w:rsidR="002F7C39" w:rsidRPr="00B82894">
              <w:rPr>
                <w:rStyle w:val="Hyperlink"/>
                <w:sz w:val="24"/>
              </w:rPr>
              <w:t>https://doi.org/10.1016/j.jtrangeo.2021.103078</w:t>
            </w:r>
          </w:hyperlink>
          <w:r w:rsidR="002F7C39">
            <w:rPr>
              <w:color w:val="000000"/>
              <w:sz w:val="24"/>
            </w:rPr>
            <w:t xml:space="preserve"> </w:t>
          </w:r>
        </w:p>
        <w:p w14:paraId="1D9AE096" w14:textId="5EAF89D1" w:rsidR="007F222B" w:rsidRPr="007F222B" w:rsidRDefault="007F222B">
          <w:pPr>
            <w:autoSpaceDE w:val="0"/>
            <w:autoSpaceDN w:val="0"/>
            <w:ind w:hanging="480"/>
            <w:divId w:val="1584559848"/>
            <w:rPr>
              <w:color w:val="000000"/>
              <w:sz w:val="24"/>
            </w:rPr>
          </w:pPr>
          <w:r w:rsidRPr="007F222B">
            <w:rPr>
              <w:color w:val="000000"/>
              <w:sz w:val="24"/>
            </w:rPr>
            <w:t xml:space="preserve">Lu, X., &amp; White, H. (2014). Robustness checks and robustness tests in applied economics. </w:t>
          </w:r>
          <w:r w:rsidRPr="007F222B">
            <w:rPr>
              <w:i/>
              <w:iCs/>
              <w:color w:val="000000"/>
              <w:sz w:val="24"/>
            </w:rPr>
            <w:t>Journal of Econometrics</w:t>
          </w:r>
          <w:r w:rsidRPr="007F222B">
            <w:rPr>
              <w:color w:val="000000"/>
              <w:sz w:val="24"/>
            </w:rPr>
            <w:t xml:space="preserve">, </w:t>
          </w:r>
          <w:r w:rsidRPr="007F222B">
            <w:rPr>
              <w:i/>
              <w:iCs/>
              <w:color w:val="000000"/>
              <w:sz w:val="24"/>
            </w:rPr>
            <w:t>178</w:t>
          </w:r>
          <w:r w:rsidRPr="007F222B">
            <w:rPr>
              <w:color w:val="000000"/>
              <w:sz w:val="24"/>
            </w:rPr>
            <w:t xml:space="preserve">, 194–206. </w:t>
          </w:r>
          <w:hyperlink r:id="rId197" w:history="1">
            <w:r w:rsidR="002F7C39" w:rsidRPr="00B82894">
              <w:rPr>
                <w:rStyle w:val="Hyperlink"/>
                <w:sz w:val="24"/>
              </w:rPr>
              <w:t>https://doi.org/10.1016/j.jeconom.2013.08.016</w:t>
            </w:r>
          </w:hyperlink>
          <w:r w:rsidR="002F7C39">
            <w:rPr>
              <w:color w:val="000000"/>
              <w:sz w:val="24"/>
            </w:rPr>
            <w:t xml:space="preserve"> </w:t>
          </w:r>
        </w:p>
        <w:p w14:paraId="59A6917E" w14:textId="19D2A203" w:rsidR="007F222B" w:rsidRPr="007F222B" w:rsidRDefault="007F222B">
          <w:pPr>
            <w:autoSpaceDE w:val="0"/>
            <w:autoSpaceDN w:val="0"/>
            <w:ind w:hanging="480"/>
            <w:divId w:val="624434762"/>
            <w:rPr>
              <w:color w:val="000000"/>
              <w:sz w:val="24"/>
            </w:rPr>
          </w:pPr>
          <w:r w:rsidRPr="007F222B">
            <w:rPr>
              <w:color w:val="000000"/>
              <w:sz w:val="24"/>
            </w:rPr>
            <w:t>Ma, L., &amp; Dill, J. (201</w:t>
          </w:r>
          <w:r w:rsidR="000E79E3">
            <w:rPr>
              <w:color w:val="000000"/>
              <w:sz w:val="24"/>
            </w:rPr>
            <w:t>7</w:t>
          </w:r>
          <w:r w:rsidRPr="007F222B">
            <w:rPr>
              <w:color w:val="000000"/>
              <w:sz w:val="24"/>
            </w:rPr>
            <w:t>). Do people</w:t>
          </w:r>
          <w:r w:rsidR="000D7001">
            <w:rPr>
              <w:color w:val="000000"/>
              <w:sz w:val="24"/>
            </w:rPr>
            <w:t>’</w:t>
          </w:r>
          <w:r w:rsidRPr="007F222B">
            <w:rPr>
              <w:color w:val="000000"/>
              <w:sz w:val="24"/>
            </w:rPr>
            <w:t xml:space="preserve">s perceptions of neighborhood bikeability match “Reality”? </w:t>
          </w:r>
          <w:r w:rsidRPr="007F222B">
            <w:rPr>
              <w:i/>
              <w:iCs/>
              <w:color w:val="000000"/>
              <w:sz w:val="24"/>
            </w:rPr>
            <w:t>Journal of Transport and Land Use</w:t>
          </w:r>
          <w:r w:rsidR="00681D4B">
            <w:rPr>
              <w:color w:val="000000"/>
              <w:sz w:val="24"/>
            </w:rPr>
            <w:t xml:space="preserve">, </w:t>
          </w:r>
          <w:r w:rsidR="00681D4B">
            <w:rPr>
              <w:i/>
              <w:iCs/>
              <w:color w:val="000000"/>
              <w:sz w:val="24"/>
            </w:rPr>
            <w:t>10</w:t>
          </w:r>
          <w:r w:rsidR="00681D4B">
            <w:rPr>
              <w:color w:val="000000"/>
              <w:sz w:val="24"/>
            </w:rPr>
            <w:t>(1), 291</w:t>
          </w:r>
          <w:r w:rsidR="001E0767" w:rsidRPr="007F222B">
            <w:rPr>
              <w:color w:val="000000"/>
              <w:sz w:val="24"/>
            </w:rPr>
            <w:t>–</w:t>
          </w:r>
          <w:r w:rsidR="00681D4B">
            <w:rPr>
              <w:color w:val="000000"/>
              <w:sz w:val="24"/>
            </w:rPr>
            <w:t>308</w:t>
          </w:r>
          <w:r w:rsidR="005250D9">
            <w:rPr>
              <w:color w:val="000000"/>
              <w:sz w:val="24"/>
            </w:rPr>
            <w:t>.</w:t>
          </w:r>
          <w:r w:rsidRPr="007F222B">
            <w:rPr>
              <w:color w:val="000000"/>
              <w:sz w:val="24"/>
            </w:rPr>
            <w:t xml:space="preserve"> </w:t>
          </w:r>
          <w:hyperlink r:id="rId198" w:history="1">
            <w:r w:rsidR="002F7C39" w:rsidRPr="00B82894">
              <w:rPr>
                <w:rStyle w:val="Hyperlink"/>
                <w:sz w:val="24"/>
              </w:rPr>
              <w:t>https://doi.org/10.5198/jtlu.2015.796</w:t>
            </w:r>
          </w:hyperlink>
          <w:r w:rsidR="002F7C39">
            <w:rPr>
              <w:color w:val="000000"/>
              <w:sz w:val="24"/>
            </w:rPr>
            <w:t xml:space="preserve"> </w:t>
          </w:r>
        </w:p>
        <w:p w14:paraId="2E774C24" w14:textId="77777777" w:rsidR="002F7C39" w:rsidRDefault="007F222B">
          <w:pPr>
            <w:autoSpaceDE w:val="0"/>
            <w:autoSpaceDN w:val="0"/>
            <w:ind w:hanging="480"/>
            <w:divId w:val="889343541"/>
            <w:rPr>
              <w:color w:val="000000"/>
              <w:sz w:val="24"/>
            </w:rPr>
          </w:pPr>
          <w:r w:rsidRPr="007F222B">
            <w:rPr>
              <w:color w:val="000000"/>
              <w:sz w:val="24"/>
            </w:rPr>
            <w:t xml:space="preserve">Ma, L., Dill, J., &amp; Mohr, C. (2014). The objective versus the perceived environment: what matters for bicycling? </w:t>
          </w:r>
          <w:r w:rsidRPr="007F222B">
            <w:rPr>
              <w:i/>
              <w:iCs/>
              <w:color w:val="000000"/>
              <w:sz w:val="24"/>
            </w:rPr>
            <w:t>Transportation</w:t>
          </w:r>
          <w:r w:rsidR="00134704">
            <w:rPr>
              <w:i/>
              <w:iCs/>
              <w:color w:val="000000"/>
              <w:sz w:val="24"/>
            </w:rPr>
            <w:t>,</w:t>
          </w:r>
          <w:r w:rsidRPr="007F222B">
            <w:rPr>
              <w:color w:val="000000"/>
              <w:sz w:val="24"/>
            </w:rPr>
            <w:t xml:space="preserve"> </w:t>
          </w:r>
          <w:r w:rsidRPr="007F222B">
            <w:rPr>
              <w:i/>
              <w:iCs/>
              <w:color w:val="000000"/>
              <w:sz w:val="24"/>
            </w:rPr>
            <w:t>41</w:t>
          </w:r>
          <w:r w:rsidRPr="007F222B">
            <w:rPr>
              <w:color w:val="000000"/>
              <w:sz w:val="24"/>
            </w:rPr>
            <w:t>(6), 1135–1152.</w:t>
          </w:r>
        </w:p>
        <w:p w14:paraId="662865B0" w14:textId="68102B79" w:rsidR="007F222B" w:rsidRPr="007F222B" w:rsidRDefault="002F7C39">
          <w:pPr>
            <w:autoSpaceDE w:val="0"/>
            <w:autoSpaceDN w:val="0"/>
            <w:ind w:hanging="480"/>
            <w:divId w:val="889343541"/>
            <w:rPr>
              <w:color w:val="000000"/>
              <w:sz w:val="24"/>
            </w:rPr>
          </w:pPr>
          <w:r>
            <w:rPr>
              <w:color w:val="000000"/>
              <w:sz w:val="24"/>
            </w:rPr>
            <w:t xml:space="preserve">       </w:t>
          </w:r>
          <w:r w:rsidR="007F222B" w:rsidRPr="007F222B">
            <w:rPr>
              <w:color w:val="000000"/>
              <w:sz w:val="24"/>
            </w:rPr>
            <w:t xml:space="preserve"> </w:t>
          </w:r>
          <w:hyperlink r:id="rId199" w:history="1">
            <w:r w:rsidRPr="00B82894">
              <w:rPr>
                <w:rStyle w:val="Hyperlink"/>
                <w:sz w:val="24"/>
              </w:rPr>
              <w:t>https://doi.org/10.1007/s11116-014-9520-y</w:t>
            </w:r>
          </w:hyperlink>
          <w:r>
            <w:rPr>
              <w:color w:val="000000"/>
              <w:sz w:val="24"/>
            </w:rPr>
            <w:t xml:space="preserve"> </w:t>
          </w:r>
        </w:p>
        <w:p w14:paraId="36D205C0" w14:textId="78E6BB55" w:rsidR="007F222B" w:rsidRPr="007F222B" w:rsidRDefault="007F222B">
          <w:pPr>
            <w:autoSpaceDE w:val="0"/>
            <w:autoSpaceDN w:val="0"/>
            <w:ind w:hanging="480"/>
            <w:divId w:val="41366137"/>
            <w:rPr>
              <w:color w:val="000000"/>
              <w:sz w:val="24"/>
            </w:rPr>
          </w:pPr>
          <w:r w:rsidRPr="007F222B">
            <w:rPr>
              <w:color w:val="000000"/>
              <w:sz w:val="24"/>
            </w:rPr>
            <w:t xml:space="preserve">Mason, P., Kearns, A., &amp; Livingston, M. (2013). “Safe Going”: The influence of crime rates and perceived crime and safety on walking in deprived neighbourhoods. </w:t>
          </w:r>
          <w:r w:rsidRPr="007F222B">
            <w:rPr>
              <w:i/>
              <w:iCs/>
              <w:color w:val="000000"/>
              <w:sz w:val="24"/>
            </w:rPr>
            <w:t>Social Science and Medicine</w:t>
          </w:r>
          <w:r w:rsidRPr="007F222B">
            <w:rPr>
              <w:color w:val="000000"/>
              <w:sz w:val="24"/>
            </w:rPr>
            <w:t xml:space="preserve">, </w:t>
          </w:r>
          <w:r w:rsidRPr="007F222B">
            <w:rPr>
              <w:i/>
              <w:iCs/>
              <w:color w:val="000000"/>
              <w:sz w:val="24"/>
            </w:rPr>
            <w:t>91</w:t>
          </w:r>
          <w:r w:rsidRPr="007F222B">
            <w:rPr>
              <w:color w:val="000000"/>
              <w:sz w:val="24"/>
            </w:rPr>
            <w:t xml:space="preserve">, 15–24. </w:t>
          </w:r>
          <w:hyperlink r:id="rId200" w:history="1">
            <w:r w:rsidR="002F7C39" w:rsidRPr="00B82894">
              <w:rPr>
                <w:rStyle w:val="Hyperlink"/>
                <w:sz w:val="24"/>
              </w:rPr>
              <w:t>https://doi.org/10.1016/j.socscimed.2013.04.011</w:t>
            </w:r>
          </w:hyperlink>
          <w:r w:rsidR="002F7C39">
            <w:rPr>
              <w:color w:val="000000"/>
              <w:sz w:val="24"/>
            </w:rPr>
            <w:t xml:space="preserve"> </w:t>
          </w:r>
        </w:p>
        <w:p w14:paraId="0087E0A5" w14:textId="77777777" w:rsidR="002F7C39" w:rsidRDefault="007F222B">
          <w:pPr>
            <w:autoSpaceDE w:val="0"/>
            <w:autoSpaceDN w:val="0"/>
            <w:ind w:hanging="480"/>
            <w:divId w:val="121198415"/>
            <w:rPr>
              <w:color w:val="000000"/>
              <w:sz w:val="24"/>
            </w:rPr>
          </w:pPr>
          <w:r w:rsidRPr="007F222B">
            <w:rPr>
              <w:color w:val="000000"/>
              <w:sz w:val="24"/>
            </w:rPr>
            <w:t xml:space="preserve">McCann, B. (2013). </w:t>
          </w:r>
          <w:r w:rsidRPr="007F222B">
            <w:rPr>
              <w:i/>
              <w:iCs/>
              <w:color w:val="000000"/>
              <w:sz w:val="24"/>
            </w:rPr>
            <w:t>Completing Our Streets: The Transition to Safe and Inclusive Transportation Networks</w:t>
          </w:r>
          <w:r w:rsidRPr="007F222B">
            <w:rPr>
              <w:color w:val="000000"/>
              <w:sz w:val="24"/>
            </w:rPr>
            <w:t>. Washington, DC</w:t>
          </w:r>
          <w:r w:rsidR="00A87885">
            <w:rPr>
              <w:color w:val="000000"/>
              <w:sz w:val="24"/>
            </w:rPr>
            <w:t xml:space="preserve">: </w:t>
          </w:r>
          <w:r w:rsidR="00A87885" w:rsidRPr="007F222B">
            <w:rPr>
              <w:color w:val="000000"/>
              <w:sz w:val="24"/>
            </w:rPr>
            <w:t>Island Press</w:t>
          </w:r>
          <w:r w:rsidR="00A87885">
            <w:rPr>
              <w:color w:val="000000"/>
              <w:sz w:val="24"/>
            </w:rPr>
            <w:t>.</w:t>
          </w:r>
          <w:r w:rsidRPr="007F222B">
            <w:rPr>
              <w:color w:val="000000"/>
              <w:sz w:val="24"/>
            </w:rPr>
            <w:t xml:space="preserve"> </w:t>
          </w:r>
        </w:p>
        <w:p w14:paraId="32337769" w14:textId="7C60516E" w:rsidR="007F222B" w:rsidRPr="007F222B" w:rsidRDefault="002F7C39">
          <w:pPr>
            <w:autoSpaceDE w:val="0"/>
            <w:autoSpaceDN w:val="0"/>
            <w:ind w:hanging="480"/>
            <w:divId w:val="121198415"/>
            <w:rPr>
              <w:color w:val="000000"/>
              <w:sz w:val="24"/>
            </w:rPr>
          </w:pPr>
          <w:r>
            <w:rPr>
              <w:color w:val="000000"/>
              <w:sz w:val="24"/>
            </w:rPr>
            <w:t xml:space="preserve">        </w:t>
          </w:r>
          <w:hyperlink r:id="rId201" w:history="1">
            <w:r w:rsidRPr="00B82894">
              <w:rPr>
                <w:rStyle w:val="Hyperlink"/>
                <w:sz w:val="24"/>
              </w:rPr>
              <w:t>https://doi.org/10.5822/978-1-61091-432-1</w:t>
            </w:r>
          </w:hyperlink>
          <w:r>
            <w:rPr>
              <w:color w:val="000000"/>
              <w:sz w:val="24"/>
            </w:rPr>
            <w:t xml:space="preserve"> </w:t>
          </w:r>
        </w:p>
        <w:p w14:paraId="7B78B6C1" w14:textId="4B313972" w:rsidR="007F222B" w:rsidRPr="007F222B" w:rsidRDefault="007F222B">
          <w:pPr>
            <w:autoSpaceDE w:val="0"/>
            <w:autoSpaceDN w:val="0"/>
            <w:ind w:hanging="480"/>
            <w:divId w:val="592132426"/>
            <w:rPr>
              <w:color w:val="000000"/>
              <w:sz w:val="24"/>
            </w:rPr>
          </w:pPr>
          <w:r w:rsidRPr="007F222B">
            <w:rPr>
              <w:color w:val="000000"/>
              <w:sz w:val="24"/>
            </w:rPr>
            <w:t xml:space="preserve">McGuckin, N., &amp; Murakami, E. (1999). Examining trip-chaining behavior: Comparison of travel by men and women. </w:t>
          </w:r>
          <w:r w:rsidRPr="007F222B">
            <w:rPr>
              <w:i/>
              <w:iCs/>
              <w:color w:val="000000"/>
              <w:sz w:val="24"/>
            </w:rPr>
            <w:t>Transportation Research Record</w:t>
          </w:r>
          <w:r w:rsidRPr="007F222B">
            <w:rPr>
              <w:color w:val="000000"/>
              <w:sz w:val="24"/>
            </w:rPr>
            <w:t xml:space="preserve">, </w:t>
          </w:r>
          <w:r w:rsidRPr="00536ADB">
            <w:rPr>
              <w:i/>
              <w:iCs/>
              <w:color w:val="000000"/>
              <w:sz w:val="24"/>
            </w:rPr>
            <w:t>1693</w:t>
          </w:r>
          <w:r w:rsidRPr="007F222B">
            <w:rPr>
              <w:color w:val="000000"/>
              <w:sz w:val="24"/>
            </w:rPr>
            <w:t xml:space="preserve">, 79–85. </w:t>
          </w:r>
          <w:hyperlink r:id="rId202" w:history="1">
            <w:r w:rsidR="002F7C39" w:rsidRPr="00B82894">
              <w:rPr>
                <w:rStyle w:val="Hyperlink"/>
                <w:sz w:val="24"/>
              </w:rPr>
              <w:t>https://doi.org/10.3141/1693-12</w:t>
            </w:r>
          </w:hyperlink>
          <w:r w:rsidR="002F7C39">
            <w:rPr>
              <w:color w:val="000000"/>
              <w:sz w:val="24"/>
            </w:rPr>
            <w:t xml:space="preserve"> </w:t>
          </w:r>
        </w:p>
        <w:p w14:paraId="6108127B" w14:textId="32590EF0" w:rsidR="007F222B" w:rsidRPr="007F222B" w:rsidRDefault="007F222B">
          <w:pPr>
            <w:autoSpaceDE w:val="0"/>
            <w:autoSpaceDN w:val="0"/>
            <w:ind w:hanging="480"/>
            <w:divId w:val="521093083"/>
            <w:rPr>
              <w:color w:val="000000"/>
              <w:sz w:val="24"/>
            </w:rPr>
          </w:pPr>
          <w:r w:rsidRPr="007F222B">
            <w:rPr>
              <w:color w:val="000000"/>
              <w:sz w:val="24"/>
            </w:rPr>
            <w:t xml:space="preserve">McGuckin, N., Zmud, J., &amp; Nakamoto, Y. (2005). Trip-Chaining Trends in the United States: Understanding Travel Behavior for Policy Making. </w:t>
          </w:r>
          <w:r w:rsidRPr="007F222B">
            <w:rPr>
              <w:i/>
              <w:iCs/>
              <w:color w:val="000000"/>
              <w:sz w:val="24"/>
            </w:rPr>
            <w:t>Transportation Research Record</w:t>
          </w:r>
          <w:r w:rsidRPr="007F222B">
            <w:rPr>
              <w:color w:val="000000"/>
              <w:sz w:val="24"/>
            </w:rPr>
            <w:t xml:space="preserve">, </w:t>
          </w:r>
          <w:r w:rsidRPr="007F222B">
            <w:rPr>
              <w:i/>
              <w:iCs/>
              <w:color w:val="000000"/>
              <w:sz w:val="24"/>
            </w:rPr>
            <w:t>1917</w:t>
          </w:r>
          <w:r w:rsidRPr="007F222B">
            <w:rPr>
              <w:color w:val="000000"/>
              <w:sz w:val="24"/>
            </w:rPr>
            <w:t xml:space="preserve">(1), 199–204. </w:t>
          </w:r>
          <w:hyperlink r:id="rId203" w:history="1">
            <w:r w:rsidR="002F7C39" w:rsidRPr="00B82894">
              <w:rPr>
                <w:rStyle w:val="Hyperlink"/>
                <w:sz w:val="24"/>
              </w:rPr>
              <w:t>https://doi.org/10.1177/0361198105191700122</w:t>
            </w:r>
          </w:hyperlink>
          <w:r w:rsidR="002F7C39">
            <w:rPr>
              <w:color w:val="000000"/>
              <w:sz w:val="24"/>
            </w:rPr>
            <w:t xml:space="preserve"> </w:t>
          </w:r>
        </w:p>
        <w:p w14:paraId="0DB9E901" w14:textId="75CC8846" w:rsidR="007F222B" w:rsidRPr="007F222B" w:rsidRDefault="007F222B">
          <w:pPr>
            <w:autoSpaceDE w:val="0"/>
            <w:autoSpaceDN w:val="0"/>
            <w:ind w:hanging="480"/>
            <w:divId w:val="1977224534"/>
            <w:rPr>
              <w:color w:val="000000"/>
              <w:sz w:val="24"/>
            </w:rPr>
          </w:pPr>
          <w:r w:rsidRPr="007F222B">
            <w:rPr>
              <w:color w:val="000000"/>
              <w:sz w:val="24"/>
            </w:rPr>
            <w:t xml:space="preserve">Meng, S., Brown, A., &amp; Schlossberg, M. (2025). Purchase process, travel behavior, and equity implications of e-bike rebates in Eugene, Oregon. </w:t>
          </w:r>
          <w:r w:rsidRPr="007F222B">
            <w:rPr>
              <w:i/>
              <w:iCs/>
              <w:color w:val="000000"/>
              <w:sz w:val="24"/>
            </w:rPr>
            <w:t>Case Studies on Transport Policy</w:t>
          </w:r>
          <w:r w:rsidRPr="007F222B">
            <w:rPr>
              <w:color w:val="000000"/>
              <w:sz w:val="24"/>
            </w:rPr>
            <w:t xml:space="preserve">, </w:t>
          </w:r>
          <w:r w:rsidRPr="007F222B">
            <w:rPr>
              <w:i/>
              <w:iCs/>
              <w:color w:val="000000"/>
              <w:sz w:val="24"/>
            </w:rPr>
            <w:t>22</w:t>
          </w:r>
          <w:r w:rsidR="004D6DF8">
            <w:rPr>
              <w:i/>
              <w:iCs/>
              <w:color w:val="000000"/>
              <w:sz w:val="24"/>
            </w:rPr>
            <w:t xml:space="preserve">, </w:t>
          </w:r>
          <w:r w:rsidR="004D6DF8">
            <w:rPr>
              <w:color w:val="000000"/>
              <w:sz w:val="24"/>
            </w:rPr>
            <w:t>101594</w:t>
          </w:r>
          <w:r w:rsidRPr="007F222B">
            <w:rPr>
              <w:color w:val="000000"/>
              <w:sz w:val="24"/>
            </w:rPr>
            <w:t xml:space="preserve">. </w:t>
          </w:r>
          <w:hyperlink r:id="rId204" w:history="1">
            <w:r w:rsidR="002F7C39" w:rsidRPr="00B82894">
              <w:rPr>
                <w:rStyle w:val="Hyperlink"/>
                <w:sz w:val="24"/>
              </w:rPr>
              <w:t>https://doi.org/10.1016/j.cstp.2025.101594</w:t>
            </w:r>
          </w:hyperlink>
          <w:r w:rsidR="002F7C39">
            <w:rPr>
              <w:color w:val="000000"/>
              <w:sz w:val="24"/>
            </w:rPr>
            <w:t xml:space="preserve"> </w:t>
          </w:r>
        </w:p>
        <w:p w14:paraId="302C898E" w14:textId="7333E3B1" w:rsidR="007F222B" w:rsidRPr="007F222B" w:rsidRDefault="007F222B">
          <w:pPr>
            <w:autoSpaceDE w:val="0"/>
            <w:autoSpaceDN w:val="0"/>
            <w:ind w:hanging="480"/>
            <w:divId w:val="958486464"/>
            <w:rPr>
              <w:color w:val="000000"/>
              <w:sz w:val="24"/>
            </w:rPr>
          </w:pPr>
          <w:r w:rsidRPr="007F222B">
            <w:rPr>
              <w:color w:val="000000"/>
              <w:sz w:val="24"/>
            </w:rPr>
            <w:t xml:space="preserve">Millard-Ball, A., Reginald, M., Yusuf, Y., &amp; Bian, C. (2025). Global health and climate benefits from walking and cycling infrastructure. </w:t>
          </w:r>
          <w:r w:rsidRPr="007F222B">
            <w:rPr>
              <w:i/>
              <w:iCs/>
              <w:color w:val="000000"/>
              <w:sz w:val="24"/>
            </w:rPr>
            <w:t>Proceedings of the National Academy of Sciences of the United States of America</w:t>
          </w:r>
          <w:r w:rsidRPr="007F222B">
            <w:rPr>
              <w:color w:val="000000"/>
              <w:sz w:val="24"/>
            </w:rPr>
            <w:t xml:space="preserve">, </w:t>
          </w:r>
          <w:r w:rsidRPr="007F222B">
            <w:rPr>
              <w:i/>
              <w:iCs/>
              <w:color w:val="000000"/>
              <w:sz w:val="24"/>
            </w:rPr>
            <w:t>122</w:t>
          </w:r>
          <w:r w:rsidRPr="007F222B">
            <w:rPr>
              <w:color w:val="000000"/>
              <w:sz w:val="24"/>
            </w:rPr>
            <w:t>(24)</w:t>
          </w:r>
          <w:r w:rsidR="00D43BB2">
            <w:rPr>
              <w:color w:val="000000"/>
              <w:sz w:val="24"/>
            </w:rPr>
            <w:t>, e2422334122</w:t>
          </w:r>
          <w:r w:rsidRPr="007F222B">
            <w:rPr>
              <w:color w:val="000000"/>
              <w:sz w:val="24"/>
            </w:rPr>
            <w:t xml:space="preserve">. </w:t>
          </w:r>
          <w:hyperlink r:id="rId205" w:history="1">
            <w:r w:rsidR="002F7C39" w:rsidRPr="00B82894">
              <w:rPr>
                <w:rStyle w:val="Hyperlink"/>
                <w:sz w:val="24"/>
              </w:rPr>
              <w:t>https://doi.org/10.1073/pnas.2422334122</w:t>
            </w:r>
          </w:hyperlink>
          <w:r w:rsidR="002F7C39">
            <w:rPr>
              <w:color w:val="000000"/>
              <w:sz w:val="24"/>
            </w:rPr>
            <w:t xml:space="preserve"> </w:t>
          </w:r>
        </w:p>
        <w:p w14:paraId="37A5DD49" w14:textId="784E9BF2" w:rsidR="007F222B" w:rsidRPr="007F222B" w:rsidRDefault="007F222B">
          <w:pPr>
            <w:autoSpaceDE w:val="0"/>
            <w:autoSpaceDN w:val="0"/>
            <w:ind w:hanging="480"/>
            <w:divId w:val="1717776937"/>
            <w:rPr>
              <w:color w:val="000000"/>
              <w:sz w:val="24"/>
            </w:rPr>
          </w:pPr>
          <w:r w:rsidRPr="007F222B">
            <w:rPr>
              <w:color w:val="000000"/>
              <w:sz w:val="24"/>
            </w:rPr>
            <w:t xml:space="preserve">Mitra, S. K., &amp; Saphores, J. D. M. (2017). Carless in California: Green choice or misery? </w:t>
          </w:r>
          <w:r w:rsidRPr="007F222B">
            <w:rPr>
              <w:i/>
              <w:iCs/>
              <w:color w:val="000000"/>
              <w:sz w:val="24"/>
            </w:rPr>
            <w:t>Journal of Transport Geography</w:t>
          </w:r>
          <w:r w:rsidRPr="007F222B">
            <w:rPr>
              <w:color w:val="000000"/>
              <w:sz w:val="24"/>
            </w:rPr>
            <w:t xml:space="preserve">, </w:t>
          </w:r>
          <w:r w:rsidRPr="007F222B">
            <w:rPr>
              <w:i/>
              <w:iCs/>
              <w:color w:val="000000"/>
              <w:sz w:val="24"/>
            </w:rPr>
            <w:t>65</w:t>
          </w:r>
          <w:r w:rsidRPr="007F222B">
            <w:rPr>
              <w:color w:val="000000"/>
              <w:sz w:val="24"/>
            </w:rPr>
            <w:t xml:space="preserve">, 1–12. </w:t>
          </w:r>
          <w:hyperlink r:id="rId206" w:history="1">
            <w:r w:rsidR="002F7C39" w:rsidRPr="00B82894">
              <w:rPr>
                <w:rStyle w:val="Hyperlink"/>
                <w:sz w:val="24"/>
              </w:rPr>
              <w:t>https://doi.org/10.1016/j.jtrangeo.2017.09.016</w:t>
            </w:r>
          </w:hyperlink>
          <w:r w:rsidR="002F7C39">
            <w:rPr>
              <w:color w:val="000000"/>
              <w:sz w:val="24"/>
            </w:rPr>
            <w:t xml:space="preserve"> </w:t>
          </w:r>
        </w:p>
        <w:p w14:paraId="7127050B" w14:textId="2827685F" w:rsidR="007F222B" w:rsidRPr="007F222B" w:rsidRDefault="007F222B">
          <w:pPr>
            <w:autoSpaceDE w:val="0"/>
            <w:autoSpaceDN w:val="0"/>
            <w:ind w:hanging="480"/>
            <w:divId w:val="299504987"/>
            <w:rPr>
              <w:color w:val="000000"/>
              <w:sz w:val="24"/>
            </w:rPr>
          </w:pPr>
          <w:r w:rsidRPr="007F222B">
            <w:rPr>
              <w:color w:val="000000"/>
              <w:sz w:val="24"/>
            </w:rPr>
            <w:t xml:space="preserve">Morency, P., Gauvin, L., Plante, C., Fournier, M., &amp; Morency, C. (2012). Neighborhood social inequalities in road traffic injuries: The influence of traffic volume and road design. </w:t>
          </w:r>
          <w:r w:rsidRPr="007F222B">
            <w:rPr>
              <w:i/>
              <w:iCs/>
              <w:color w:val="000000"/>
              <w:sz w:val="24"/>
            </w:rPr>
            <w:t>American Journal of Public Health</w:t>
          </w:r>
          <w:r w:rsidRPr="007F222B">
            <w:rPr>
              <w:color w:val="000000"/>
              <w:sz w:val="24"/>
            </w:rPr>
            <w:t xml:space="preserve">, </w:t>
          </w:r>
          <w:r w:rsidRPr="007F222B">
            <w:rPr>
              <w:i/>
              <w:iCs/>
              <w:color w:val="000000"/>
              <w:sz w:val="24"/>
            </w:rPr>
            <w:t>102</w:t>
          </w:r>
          <w:r w:rsidRPr="007F222B">
            <w:rPr>
              <w:color w:val="000000"/>
              <w:sz w:val="24"/>
            </w:rPr>
            <w:t xml:space="preserve">(6), 1112–1119. </w:t>
          </w:r>
          <w:r w:rsidR="002F7C39">
            <w:rPr>
              <w:color w:val="000000"/>
              <w:sz w:val="24"/>
            </w:rPr>
            <w:t xml:space="preserve"> </w:t>
          </w:r>
          <w:hyperlink r:id="rId207" w:history="1">
            <w:r w:rsidR="002F7C39" w:rsidRPr="00B82894">
              <w:rPr>
                <w:rStyle w:val="Hyperlink"/>
                <w:sz w:val="24"/>
              </w:rPr>
              <w:t>https://doi.org/10.2105/AJPH.2011.300528</w:t>
            </w:r>
          </w:hyperlink>
          <w:r w:rsidR="002F7C39">
            <w:rPr>
              <w:color w:val="000000"/>
              <w:sz w:val="24"/>
            </w:rPr>
            <w:t xml:space="preserve"> </w:t>
          </w:r>
        </w:p>
        <w:p w14:paraId="00F97ACD" w14:textId="25A100B8" w:rsidR="007F222B" w:rsidRPr="007F222B" w:rsidRDefault="007F222B">
          <w:pPr>
            <w:autoSpaceDE w:val="0"/>
            <w:autoSpaceDN w:val="0"/>
            <w:ind w:hanging="480"/>
            <w:divId w:val="1751459674"/>
            <w:rPr>
              <w:color w:val="000000"/>
              <w:sz w:val="24"/>
            </w:rPr>
          </w:pPr>
          <w:r w:rsidRPr="007F222B">
            <w:rPr>
              <w:color w:val="000000"/>
              <w:sz w:val="24"/>
            </w:rPr>
            <w:t xml:space="preserve">Mwaka, C. R., Best, K. L., Chang, N., Gagnon, M., &amp; Routhier, F. (2026). Travel training program among adults with disabilities: A systematic review. </w:t>
          </w:r>
          <w:r w:rsidRPr="007F222B">
            <w:rPr>
              <w:i/>
              <w:iCs/>
              <w:color w:val="000000"/>
              <w:sz w:val="24"/>
            </w:rPr>
            <w:t>Transportation Research Interdisciplinary Perspectives</w:t>
          </w:r>
          <w:r w:rsidR="006C3A26">
            <w:rPr>
              <w:color w:val="000000"/>
              <w:sz w:val="24"/>
            </w:rPr>
            <w:t xml:space="preserve">, </w:t>
          </w:r>
          <w:r w:rsidR="006C3A26" w:rsidRPr="006C3A26">
            <w:rPr>
              <w:i/>
              <w:iCs/>
              <w:color w:val="000000"/>
              <w:sz w:val="24"/>
            </w:rPr>
            <w:t>36</w:t>
          </w:r>
          <w:r w:rsidR="006C3A26" w:rsidRPr="006C3A26">
            <w:rPr>
              <w:color w:val="000000"/>
              <w:sz w:val="24"/>
            </w:rPr>
            <w:t xml:space="preserve">, 101825. </w:t>
          </w:r>
          <w:hyperlink r:id="rId208" w:history="1">
            <w:r w:rsidR="002F7C39" w:rsidRPr="00B82894">
              <w:rPr>
                <w:rStyle w:val="Hyperlink"/>
                <w:sz w:val="24"/>
              </w:rPr>
              <w:t>https://doi.org/10.1016/j.trip.2025.101825</w:t>
            </w:r>
          </w:hyperlink>
          <w:r w:rsidR="002F7C39">
            <w:rPr>
              <w:color w:val="000000"/>
              <w:sz w:val="24"/>
            </w:rPr>
            <w:t xml:space="preserve"> </w:t>
          </w:r>
        </w:p>
        <w:p w14:paraId="7DE8AB10" w14:textId="338EB856" w:rsidR="007F222B" w:rsidRPr="007F222B" w:rsidRDefault="007F222B">
          <w:pPr>
            <w:autoSpaceDE w:val="0"/>
            <w:autoSpaceDN w:val="0"/>
            <w:ind w:hanging="480"/>
            <w:divId w:val="7602327"/>
            <w:rPr>
              <w:color w:val="000000"/>
              <w:sz w:val="24"/>
            </w:rPr>
          </w:pPr>
          <w:r w:rsidRPr="007F222B">
            <w:rPr>
              <w:color w:val="000000"/>
              <w:sz w:val="24"/>
            </w:rPr>
            <w:t xml:space="preserve">Neves, A., &amp; Brand, C. (2019). Assessing the potential for carbon emissions savings from replacing short car trips with walking and cycling using a mixed GPS-travel diary approach. </w:t>
          </w:r>
          <w:r w:rsidRPr="007F222B">
            <w:rPr>
              <w:i/>
              <w:iCs/>
              <w:color w:val="000000"/>
              <w:sz w:val="24"/>
            </w:rPr>
            <w:t>Transportation Research Part A: Policy and Practice</w:t>
          </w:r>
          <w:r w:rsidRPr="007F222B">
            <w:rPr>
              <w:color w:val="000000"/>
              <w:sz w:val="24"/>
            </w:rPr>
            <w:t xml:space="preserve">, </w:t>
          </w:r>
          <w:r w:rsidRPr="007F222B">
            <w:rPr>
              <w:i/>
              <w:iCs/>
              <w:color w:val="000000"/>
              <w:sz w:val="24"/>
            </w:rPr>
            <w:t>123</w:t>
          </w:r>
          <w:r w:rsidRPr="007F222B">
            <w:rPr>
              <w:color w:val="000000"/>
              <w:sz w:val="24"/>
            </w:rPr>
            <w:t xml:space="preserve">, 130–146. </w:t>
          </w:r>
          <w:hyperlink r:id="rId209" w:history="1">
            <w:r w:rsidR="002F7C39" w:rsidRPr="00B82894">
              <w:rPr>
                <w:rStyle w:val="Hyperlink"/>
                <w:sz w:val="24"/>
              </w:rPr>
              <w:t>https://doi.org/10.1016/j.tra.2018.08.022</w:t>
            </w:r>
          </w:hyperlink>
          <w:r w:rsidR="002F7C39">
            <w:rPr>
              <w:color w:val="000000"/>
              <w:sz w:val="24"/>
            </w:rPr>
            <w:t xml:space="preserve"> </w:t>
          </w:r>
        </w:p>
        <w:p w14:paraId="61F7858A" w14:textId="06460E7A" w:rsidR="007F222B" w:rsidRPr="007F222B" w:rsidRDefault="007F222B">
          <w:pPr>
            <w:autoSpaceDE w:val="0"/>
            <w:autoSpaceDN w:val="0"/>
            <w:ind w:hanging="480"/>
            <w:divId w:val="1370833992"/>
            <w:rPr>
              <w:color w:val="000000"/>
              <w:sz w:val="24"/>
            </w:rPr>
          </w:pPr>
          <w:r w:rsidRPr="007F222B">
            <w:rPr>
              <w:color w:val="000000"/>
              <w:sz w:val="24"/>
            </w:rPr>
            <w:lastRenderedPageBreak/>
            <w:t xml:space="preserve">North American Bikeshare and Scootershare Association. (2025). </w:t>
          </w:r>
          <w:r w:rsidRPr="007F222B">
            <w:rPr>
              <w:i/>
              <w:iCs/>
              <w:color w:val="000000"/>
              <w:sz w:val="24"/>
            </w:rPr>
            <w:t>Shared Micromobility State of the Industry Report</w:t>
          </w:r>
          <w:r w:rsidRPr="007F222B">
            <w:rPr>
              <w:color w:val="000000"/>
              <w:sz w:val="24"/>
            </w:rPr>
            <w:t>.</w:t>
          </w:r>
          <w:r w:rsidR="00C20CF3">
            <w:rPr>
              <w:color w:val="000000"/>
              <w:sz w:val="24"/>
            </w:rPr>
            <w:t xml:space="preserve"> </w:t>
          </w:r>
          <w:hyperlink r:id="rId210" w:history="1">
            <w:r w:rsidR="002F7C39" w:rsidRPr="00B82894">
              <w:rPr>
                <w:rStyle w:val="Hyperlink"/>
                <w:sz w:val="24"/>
              </w:rPr>
              <w:t>https://nabsa.net/2025/08/07/2024industryreport/</w:t>
            </w:r>
          </w:hyperlink>
          <w:r w:rsidR="002F7C39">
            <w:rPr>
              <w:color w:val="000000"/>
              <w:sz w:val="24"/>
            </w:rPr>
            <w:t xml:space="preserve"> </w:t>
          </w:r>
        </w:p>
        <w:p w14:paraId="6FCAE6C2" w14:textId="6359E071" w:rsidR="007F222B" w:rsidRPr="007F222B" w:rsidRDefault="007F222B">
          <w:pPr>
            <w:autoSpaceDE w:val="0"/>
            <w:autoSpaceDN w:val="0"/>
            <w:ind w:hanging="480"/>
            <w:divId w:val="1346521164"/>
            <w:rPr>
              <w:color w:val="000000"/>
              <w:sz w:val="24"/>
            </w:rPr>
          </w:pPr>
          <w:r w:rsidRPr="007F222B">
            <w:rPr>
              <w:color w:val="000000"/>
              <w:sz w:val="24"/>
            </w:rPr>
            <w:t xml:space="preserve">Nosal, T., &amp; Miranda-Moreno, L. F. (2014). The effect of weather on the use of North American bicycle facilities: A multi-city analysis using automatic counts. </w:t>
          </w:r>
          <w:r w:rsidRPr="007F222B">
            <w:rPr>
              <w:i/>
              <w:iCs/>
              <w:color w:val="000000"/>
              <w:sz w:val="24"/>
            </w:rPr>
            <w:t>Transportation Research Part A: Policy and Practice</w:t>
          </w:r>
          <w:r w:rsidRPr="007F222B">
            <w:rPr>
              <w:color w:val="000000"/>
              <w:sz w:val="24"/>
            </w:rPr>
            <w:t xml:space="preserve">, </w:t>
          </w:r>
          <w:r w:rsidRPr="007F222B">
            <w:rPr>
              <w:i/>
              <w:iCs/>
              <w:color w:val="000000"/>
              <w:sz w:val="24"/>
            </w:rPr>
            <w:t>66</w:t>
          </w:r>
          <w:r w:rsidRPr="007F222B">
            <w:rPr>
              <w:color w:val="000000"/>
              <w:sz w:val="24"/>
            </w:rPr>
            <w:t xml:space="preserve">(1), 213–225. </w:t>
          </w:r>
          <w:hyperlink r:id="rId211" w:history="1">
            <w:r w:rsidR="002F7C39" w:rsidRPr="00B82894">
              <w:rPr>
                <w:rStyle w:val="Hyperlink"/>
                <w:sz w:val="24"/>
              </w:rPr>
              <w:t>https://doi.org/10.1016/j.tra.2014.04.012</w:t>
            </w:r>
          </w:hyperlink>
          <w:r w:rsidR="002F7C39">
            <w:rPr>
              <w:color w:val="000000"/>
              <w:sz w:val="24"/>
            </w:rPr>
            <w:t xml:space="preserve"> </w:t>
          </w:r>
        </w:p>
        <w:p w14:paraId="56038255" w14:textId="360930A3" w:rsidR="007F222B" w:rsidRPr="007F222B" w:rsidRDefault="007F222B">
          <w:pPr>
            <w:autoSpaceDE w:val="0"/>
            <w:autoSpaceDN w:val="0"/>
            <w:ind w:hanging="480"/>
            <w:divId w:val="2122603917"/>
            <w:rPr>
              <w:color w:val="000000"/>
              <w:sz w:val="24"/>
            </w:rPr>
          </w:pPr>
          <w:r w:rsidRPr="007F222B">
            <w:rPr>
              <w:color w:val="000000"/>
              <w:sz w:val="24"/>
            </w:rPr>
            <w:t xml:space="preserve">Ogilvie, D., Mitchell, R., Mutrie, N., Petticrew, M., &amp; Platt, S. (2010). Shoe leather epidemiology: active travel and transport infrastructure in the urban landscape. </w:t>
          </w:r>
          <w:r w:rsidRPr="007F222B">
            <w:rPr>
              <w:i/>
              <w:iCs/>
              <w:color w:val="000000"/>
              <w:sz w:val="24"/>
            </w:rPr>
            <w:t>International Journal of Behavioral Nutrition and Physical Activity</w:t>
          </w:r>
          <w:r w:rsidR="00057F24">
            <w:rPr>
              <w:color w:val="000000"/>
              <w:sz w:val="24"/>
            </w:rPr>
            <w:t xml:space="preserve">, </w:t>
          </w:r>
          <w:r w:rsidR="00057F24" w:rsidRPr="00057F24">
            <w:rPr>
              <w:i/>
              <w:iCs/>
              <w:color w:val="000000"/>
              <w:sz w:val="24"/>
            </w:rPr>
            <w:t>7</w:t>
          </w:r>
          <w:r w:rsidR="00057F24" w:rsidRPr="00057F24">
            <w:rPr>
              <w:color w:val="000000"/>
              <w:sz w:val="24"/>
            </w:rPr>
            <w:t xml:space="preserve">(1), 43. </w:t>
          </w:r>
          <w:hyperlink r:id="rId212" w:history="1">
            <w:r w:rsidR="002F7C39" w:rsidRPr="00B82894">
              <w:rPr>
                <w:rStyle w:val="Hyperlink"/>
                <w:sz w:val="24"/>
              </w:rPr>
              <w:t>https://doi.org/10.1186/1479-5868-7-43</w:t>
            </w:r>
          </w:hyperlink>
          <w:r w:rsidR="002F7C39">
            <w:rPr>
              <w:color w:val="000000"/>
              <w:sz w:val="24"/>
            </w:rPr>
            <w:t xml:space="preserve"> </w:t>
          </w:r>
        </w:p>
        <w:p w14:paraId="5FABD968" w14:textId="547802D2" w:rsidR="007F222B" w:rsidRPr="007F222B" w:rsidRDefault="007F222B">
          <w:pPr>
            <w:autoSpaceDE w:val="0"/>
            <w:autoSpaceDN w:val="0"/>
            <w:ind w:hanging="480"/>
            <w:divId w:val="899443384"/>
            <w:rPr>
              <w:color w:val="000000"/>
              <w:sz w:val="24"/>
            </w:rPr>
          </w:pPr>
          <w:r w:rsidRPr="007F222B">
            <w:rPr>
              <w:color w:val="000000"/>
              <w:sz w:val="24"/>
            </w:rPr>
            <w:t xml:space="preserve">Oluyomi, A. O., Lee, C., Nehme, E., Dowdy, D., Ory, M. G., &amp; Hoelscher, D. M. (2014). Parental safety concerns and active school commute: Correlates across multiple domains in the home-to-school journey. </w:t>
          </w:r>
          <w:r w:rsidRPr="007F222B">
            <w:rPr>
              <w:i/>
              <w:iCs/>
              <w:color w:val="000000"/>
              <w:sz w:val="24"/>
            </w:rPr>
            <w:t>International Journal of Behavioral Nutrition and Physical Activity</w:t>
          </w:r>
          <w:r w:rsidRPr="007F222B">
            <w:rPr>
              <w:color w:val="000000"/>
              <w:sz w:val="24"/>
            </w:rPr>
            <w:t xml:space="preserve">, </w:t>
          </w:r>
          <w:r w:rsidRPr="007F222B">
            <w:rPr>
              <w:i/>
              <w:iCs/>
              <w:color w:val="000000"/>
              <w:sz w:val="24"/>
            </w:rPr>
            <w:t>11</w:t>
          </w:r>
          <w:r w:rsidRPr="007F222B">
            <w:rPr>
              <w:color w:val="000000"/>
              <w:sz w:val="24"/>
            </w:rPr>
            <w:t>(1)</w:t>
          </w:r>
          <w:r w:rsidR="00347CD5">
            <w:rPr>
              <w:color w:val="000000"/>
              <w:sz w:val="24"/>
            </w:rPr>
            <w:t>, 32</w:t>
          </w:r>
          <w:r w:rsidRPr="007F222B">
            <w:rPr>
              <w:color w:val="000000"/>
              <w:sz w:val="24"/>
            </w:rPr>
            <w:t xml:space="preserve">. </w:t>
          </w:r>
          <w:hyperlink r:id="rId213" w:history="1">
            <w:r w:rsidR="002F7C39" w:rsidRPr="00B82894">
              <w:rPr>
                <w:rStyle w:val="Hyperlink"/>
                <w:sz w:val="24"/>
              </w:rPr>
              <w:t>https://doi.org/10.1186/1479-5868-11-32</w:t>
            </w:r>
          </w:hyperlink>
          <w:r w:rsidR="002F7C39">
            <w:rPr>
              <w:color w:val="000000"/>
              <w:sz w:val="24"/>
            </w:rPr>
            <w:t xml:space="preserve"> </w:t>
          </w:r>
        </w:p>
        <w:p w14:paraId="5EC06583" w14:textId="20690CBF" w:rsidR="007F222B" w:rsidRPr="007F222B" w:rsidRDefault="007F222B">
          <w:pPr>
            <w:autoSpaceDE w:val="0"/>
            <w:autoSpaceDN w:val="0"/>
            <w:ind w:hanging="480"/>
            <w:divId w:val="793210200"/>
            <w:rPr>
              <w:color w:val="000000"/>
              <w:sz w:val="24"/>
            </w:rPr>
          </w:pPr>
          <w:r w:rsidRPr="007F222B">
            <w:rPr>
              <w:color w:val="000000"/>
              <w:sz w:val="24"/>
            </w:rPr>
            <w:t xml:space="preserve">Ory, M. G., Towne, S. D., Won, J., Forjuoh, S. N., &amp; Lee, C. (2016). Social and environmental predictors of walking among older adults. </w:t>
          </w:r>
          <w:r w:rsidRPr="007F222B">
            <w:rPr>
              <w:i/>
              <w:iCs/>
              <w:color w:val="000000"/>
              <w:sz w:val="24"/>
            </w:rPr>
            <w:t>BMC Geriatrics</w:t>
          </w:r>
          <w:r w:rsidRPr="007F222B">
            <w:rPr>
              <w:color w:val="000000"/>
              <w:sz w:val="24"/>
            </w:rPr>
            <w:t xml:space="preserve">, </w:t>
          </w:r>
          <w:r w:rsidRPr="007F222B">
            <w:rPr>
              <w:i/>
              <w:iCs/>
              <w:color w:val="000000"/>
              <w:sz w:val="24"/>
            </w:rPr>
            <w:t>16</w:t>
          </w:r>
          <w:r w:rsidRPr="007F222B">
            <w:rPr>
              <w:color w:val="000000"/>
              <w:sz w:val="24"/>
            </w:rPr>
            <w:t xml:space="preserve">(1), 155. </w:t>
          </w:r>
          <w:hyperlink r:id="rId214" w:history="1">
            <w:r w:rsidR="002F7C39" w:rsidRPr="00B82894">
              <w:rPr>
                <w:rStyle w:val="Hyperlink"/>
                <w:sz w:val="24"/>
              </w:rPr>
              <w:t>https://doi.org/10.1186/s12877-016-0327-x</w:t>
            </w:r>
          </w:hyperlink>
          <w:r w:rsidR="002F7C39">
            <w:rPr>
              <w:color w:val="000000"/>
              <w:sz w:val="24"/>
            </w:rPr>
            <w:t xml:space="preserve"> </w:t>
          </w:r>
        </w:p>
        <w:p w14:paraId="160340AA" w14:textId="3717269E" w:rsidR="007F222B" w:rsidRPr="007F222B" w:rsidRDefault="007F222B">
          <w:pPr>
            <w:autoSpaceDE w:val="0"/>
            <w:autoSpaceDN w:val="0"/>
            <w:ind w:hanging="480"/>
            <w:divId w:val="1824353327"/>
            <w:rPr>
              <w:color w:val="000000"/>
              <w:sz w:val="24"/>
            </w:rPr>
          </w:pPr>
          <w:r w:rsidRPr="007F222B">
            <w:rPr>
              <w:color w:val="000000"/>
              <w:sz w:val="24"/>
            </w:rPr>
            <w:t xml:space="preserve">Pearson, L., Page, M. J., Gerhard, R., Clarke, N., Winters, M., Bauman, A., Arogundade, L., &amp; Beck, B. (2025). Effectiveness of interventions for modal shift to walking and bike riding: a systematic review with meta-analysis. </w:t>
          </w:r>
          <w:r w:rsidRPr="007F222B">
            <w:rPr>
              <w:i/>
              <w:iCs/>
              <w:color w:val="000000"/>
              <w:sz w:val="24"/>
            </w:rPr>
            <w:t>Transport Reviews</w:t>
          </w:r>
          <w:r w:rsidRPr="007F222B">
            <w:rPr>
              <w:color w:val="000000"/>
              <w:sz w:val="24"/>
            </w:rPr>
            <w:t xml:space="preserve">, </w:t>
          </w:r>
          <w:r w:rsidRPr="007F222B">
            <w:rPr>
              <w:i/>
              <w:iCs/>
              <w:color w:val="000000"/>
              <w:sz w:val="24"/>
            </w:rPr>
            <w:t>45</w:t>
          </w:r>
          <w:r w:rsidRPr="007F222B">
            <w:rPr>
              <w:color w:val="000000"/>
              <w:sz w:val="24"/>
            </w:rPr>
            <w:t xml:space="preserve">(4), 482–513. </w:t>
          </w:r>
          <w:hyperlink r:id="rId215" w:history="1">
            <w:r w:rsidR="002F7C39" w:rsidRPr="00B82894">
              <w:rPr>
                <w:rStyle w:val="Hyperlink"/>
                <w:sz w:val="24"/>
              </w:rPr>
              <w:t>https://doi.org/10.1080/01441647.2025.2480292</w:t>
            </w:r>
          </w:hyperlink>
          <w:r w:rsidR="002F7C39">
            <w:rPr>
              <w:color w:val="000000"/>
              <w:sz w:val="24"/>
            </w:rPr>
            <w:t xml:space="preserve"> </w:t>
          </w:r>
        </w:p>
        <w:p w14:paraId="15D466B8" w14:textId="3519F325" w:rsidR="007F222B" w:rsidRPr="007F222B" w:rsidRDefault="007F222B">
          <w:pPr>
            <w:autoSpaceDE w:val="0"/>
            <w:autoSpaceDN w:val="0"/>
            <w:ind w:hanging="480"/>
            <w:divId w:val="333610887"/>
            <w:rPr>
              <w:color w:val="000000"/>
              <w:sz w:val="24"/>
            </w:rPr>
          </w:pPr>
          <w:r w:rsidRPr="007F222B">
            <w:rPr>
              <w:color w:val="000000"/>
              <w:sz w:val="24"/>
            </w:rPr>
            <w:t xml:space="preserve">Porter, A. K., Kontou, E., McDonald, N. C., &amp; Evenson, K. R. (2020). Perceived barriers to commuter and exercise bicycling in U.S. adults: The 2017 National Household Travel Survey. </w:t>
          </w:r>
          <w:r w:rsidRPr="007F222B">
            <w:rPr>
              <w:i/>
              <w:iCs/>
              <w:color w:val="000000"/>
              <w:sz w:val="24"/>
            </w:rPr>
            <w:t xml:space="preserve">Journal of Transport </w:t>
          </w:r>
          <w:r w:rsidR="00405C1A">
            <w:rPr>
              <w:i/>
              <w:iCs/>
              <w:color w:val="000000"/>
              <w:sz w:val="24"/>
            </w:rPr>
            <w:t>and</w:t>
          </w:r>
          <w:r w:rsidRPr="007F222B">
            <w:rPr>
              <w:i/>
              <w:iCs/>
              <w:color w:val="000000"/>
              <w:sz w:val="24"/>
            </w:rPr>
            <w:t xml:space="preserve"> Health</w:t>
          </w:r>
          <w:r w:rsidRPr="007F222B">
            <w:rPr>
              <w:color w:val="000000"/>
              <w:sz w:val="24"/>
            </w:rPr>
            <w:t xml:space="preserve">, </w:t>
          </w:r>
          <w:r w:rsidRPr="007F222B">
            <w:rPr>
              <w:i/>
              <w:iCs/>
              <w:color w:val="000000"/>
              <w:sz w:val="24"/>
            </w:rPr>
            <w:t>16</w:t>
          </w:r>
          <w:r w:rsidRPr="007F222B">
            <w:rPr>
              <w:color w:val="000000"/>
              <w:sz w:val="24"/>
            </w:rPr>
            <w:t xml:space="preserve">, 100820. </w:t>
          </w:r>
          <w:hyperlink r:id="rId216" w:history="1">
            <w:r w:rsidR="002F7C39" w:rsidRPr="00B82894">
              <w:rPr>
                <w:rStyle w:val="Hyperlink"/>
                <w:sz w:val="24"/>
              </w:rPr>
              <w:t>https://doi.org/10.1016/j.jth.2020.100820</w:t>
            </w:r>
          </w:hyperlink>
          <w:r w:rsidR="002F7C39">
            <w:rPr>
              <w:color w:val="000000"/>
              <w:sz w:val="24"/>
            </w:rPr>
            <w:t xml:space="preserve"> </w:t>
          </w:r>
        </w:p>
        <w:p w14:paraId="107553B9" w14:textId="0D5E533C" w:rsidR="007F222B" w:rsidRPr="007F222B" w:rsidRDefault="007F222B">
          <w:pPr>
            <w:autoSpaceDE w:val="0"/>
            <w:autoSpaceDN w:val="0"/>
            <w:ind w:hanging="480"/>
            <w:divId w:val="62066039"/>
            <w:rPr>
              <w:color w:val="000000"/>
              <w:sz w:val="24"/>
            </w:rPr>
          </w:pPr>
          <w:r w:rsidRPr="007F222B">
            <w:rPr>
              <w:color w:val="000000"/>
              <w:sz w:val="24"/>
            </w:rPr>
            <w:t xml:space="preserve">Prati, G., Fraboni, F., De Angelis, M., Pietrantoni, L., Johnson, D., &amp; Shires, J. (2019). Gender differences in cycling patterns and attitudes towards cycling in a sample of European regular cyclists. </w:t>
          </w:r>
          <w:r w:rsidRPr="007F222B">
            <w:rPr>
              <w:i/>
              <w:iCs/>
              <w:color w:val="000000"/>
              <w:sz w:val="24"/>
            </w:rPr>
            <w:t>Journal of Transport Geography</w:t>
          </w:r>
          <w:r w:rsidRPr="007F222B">
            <w:rPr>
              <w:color w:val="000000"/>
              <w:sz w:val="24"/>
            </w:rPr>
            <w:t xml:space="preserve">, </w:t>
          </w:r>
          <w:r w:rsidRPr="007F222B">
            <w:rPr>
              <w:i/>
              <w:iCs/>
              <w:color w:val="000000"/>
              <w:sz w:val="24"/>
            </w:rPr>
            <w:t>78</w:t>
          </w:r>
          <w:r w:rsidRPr="007F222B">
            <w:rPr>
              <w:color w:val="000000"/>
              <w:sz w:val="24"/>
            </w:rPr>
            <w:t xml:space="preserve">, 1–7. </w:t>
          </w:r>
          <w:hyperlink r:id="rId217" w:history="1">
            <w:r w:rsidR="002F7C39" w:rsidRPr="00B82894">
              <w:rPr>
                <w:rStyle w:val="Hyperlink"/>
                <w:sz w:val="24"/>
              </w:rPr>
              <w:t>https://doi.org/10.1016/j.jtrangeo.2019.05.006</w:t>
            </w:r>
          </w:hyperlink>
          <w:r w:rsidR="002F7C39">
            <w:rPr>
              <w:color w:val="000000"/>
              <w:sz w:val="24"/>
            </w:rPr>
            <w:t xml:space="preserve"> </w:t>
          </w:r>
        </w:p>
        <w:p w14:paraId="0019A080" w14:textId="031EB9D4" w:rsidR="007F222B" w:rsidRDefault="007F222B">
          <w:pPr>
            <w:autoSpaceDE w:val="0"/>
            <w:autoSpaceDN w:val="0"/>
            <w:ind w:hanging="480"/>
            <w:divId w:val="623271192"/>
            <w:rPr>
              <w:color w:val="000000"/>
              <w:sz w:val="24"/>
            </w:rPr>
          </w:pPr>
          <w:r w:rsidRPr="007F222B">
            <w:rPr>
              <w:color w:val="000000"/>
              <w:sz w:val="24"/>
            </w:rPr>
            <w:t xml:space="preserve">Pucher, J., Buehler, R., Merom, D., &amp; Bauman, A. (2011). Walking and cycling in the United States, 2001-2009: Evidence from the National Household Travel Surveys. </w:t>
          </w:r>
          <w:r w:rsidRPr="007F222B">
            <w:rPr>
              <w:i/>
              <w:iCs/>
              <w:color w:val="000000"/>
              <w:sz w:val="24"/>
            </w:rPr>
            <w:t>American Journal of Public Health</w:t>
          </w:r>
          <w:r w:rsidRPr="007F222B">
            <w:rPr>
              <w:color w:val="000000"/>
              <w:sz w:val="24"/>
            </w:rPr>
            <w:t xml:space="preserve">, </w:t>
          </w:r>
          <w:r w:rsidRPr="007F222B">
            <w:rPr>
              <w:i/>
              <w:iCs/>
              <w:color w:val="000000"/>
              <w:sz w:val="24"/>
            </w:rPr>
            <w:t>101</w:t>
          </w:r>
          <w:r w:rsidRPr="007F222B">
            <w:rPr>
              <w:color w:val="000000"/>
              <w:sz w:val="24"/>
            </w:rPr>
            <w:t>(</w:t>
          </w:r>
          <w:r w:rsidR="00D80794">
            <w:rPr>
              <w:color w:val="000000"/>
              <w:sz w:val="24"/>
            </w:rPr>
            <w:t>S</w:t>
          </w:r>
          <w:r w:rsidRPr="007F222B">
            <w:rPr>
              <w:color w:val="000000"/>
              <w:sz w:val="24"/>
            </w:rPr>
            <w:t>1)</w:t>
          </w:r>
          <w:r w:rsidR="00C36F01">
            <w:rPr>
              <w:color w:val="000000"/>
              <w:sz w:val="24"/>
            </w:rPr>
            <w:t xml:space="preserve">, </w:t>
          </w:r>
          <w:r w:rsidR="00C36F01" w:rsidRPr="00C36F01">
            <w:rPr>
              <w:color w:val="000000"/>
              <w:sz w:val="24"/>
            </w:rPr>
            <w:t>S310</w:t>
          </w:r>
          <w:r w:rsidR="001E0767" w:rsidRPr="007F222B">
            <w:rPr>
              <w:color w:val="000000"/>
              <w:sz w:val="24"/>
            </w:rPr>
            <w:t>–</w:t>
          </w:r>
          <w:r w:rsidR="00C36F01" w:rsidRPr="00C36F01">
            <w:rPr>
              <w:color w:val="000000"/>
              <w:sz w:val="24"/>
            </w:rPr>
            <w:t>S317</w:t>
          </w:r>
          <w:r w:rsidRPr="007F222B">
            <w:rPr>
              <w:color w:val="000000"/>
              <w:sz w:val="24"/>
            </w:rPr>
            <w:t xml:space="preserve">. </w:t>
          </w:r>
          <w:hyperlink r:id="rId218" w:history="1">
            <w:r w:rsidR="002F7C39" w:rsidRPr="00B82894">
              <w:rPr>
                <w:rStyle w:val="Hyperlink"/>
                <w:sz w:val="24"/>
              </w:rPr>
              <w:t>https://doi.org/10.2105/AJPH.2010.300067</w:t>
            </w:r>
          </w:hyperlink>
          <w:r w:rsidR="002F7C39">
            <w:rPr>
              <w:color w:val="000000"/>
              <w:sz w:val="24"/>
            </w:rPr>
            <w:t xml:space="preserve"> </w:t>
          </w:r>
        </w:p>
        <w:p w14:paraId="707BE2AE" w14:textId="07DCCE77" w:rsidR="00A404B8" w:rsidRPr="007F222B" w:rsidRDefault="00A404B8" w:rsidP="00347CD5">
          <w:pPr>
            <w:autoSpaceDE w:val="0"/>
            <w:autoSpaceDN w:val="0"/>
            <w:ind w:hanging="480"/>
            <w:divId w:val="623271192"/>
            <w:rPr>
              <w:color w:val="000000"/>
              <w:sz w:val="24"/>
            </w:rPr>
          </w:pPr>
          <w:r w:rsidRPr="007F222B">
            <w:rPr>
              <w:color w:val="000000"/>
              <w:sz w:val="24"/>
            </w:rPr>
            <w:t>Ravensbergen, L., Buliung, R., &amp; Sersli, S. (2020</w:t>
          </w:r>
          <w:r>
            <w:rPr>
              <w:color w:val="000000"/>
              <w:sz w:val="24"/>
            </w:rPr>
            <w:t>a</w:t>
          </w:r>
          <w:r w:rsidRPr="007F222B">
            <w:rPr>
              <w:color w:val="000000"/>
              <w:sz w:val="24"/>
            </w:rPr>
            <w:t xml:space="preserve">). Vélomobilities of care in a low-cycling city. </w:t>
          </w:r>
          <w:r w:rsidRPr="007F222B">
            <w:rPr>
              <w:i/>
              <w:iCs/>
              <w:color w:val="000000"/>
              <w:sz w:val="24"/>
            </w:rPr>
            <w:t>Transportation Research Part A: Policy and Practice</w:t>
          </w:r>
          <w:r w:rsidRPr="007F222B">
            <w:rPr>
              <w:color w:val="000000"/>
              <w:sz w:val="24"/>
            </w:rPr>
            <w:t xml:space="preserve">, </w:t>
          </w:r>
          <w:r w:rsidRPr="007F222B">
            <w:rPr>
              <w:i/>
              <w:iCs/>
              <w:color w:val="000000"/>
              <w:sz w:val="24"/>
            </w:rPr>
            <w:t>134</w:t>
          </w:r>
          <w:r w:rsidRPr="007F222B">
            <w:rPr>
              <w:color w:val="000000"/>
              <w:sz w:val="24"/>
            </w:rPr>
            <w:t xml:space="preserve">, 336–347. </w:t>
          </w:r>
          <w:hyperlink r:id="rId219" w:history="1">
            <w:r w:rsidR="002F7C39" w:rsidRPr="00B82894">
              <w:rPr>
                <w:rStyle w:val="Hyperlink"/>
                <w:sz w:val="24"/>
              </w:rPr>
              <w:t>https://doi.org/10.1016/j.tra.2020.02.014</w:t>
            </w:r>
          </w:hyperlink>
          <w:r w:rsidR="002F7C39">
            <w:rPr>
              <w:color w:val="000000"/>
              <w:sz w:val="24"/>
            </w:rPr>
            <w:t xml:space="preserve"> </w:t>
          </w:r>
        </w:p>
        <w:p w14:paraId="722EFC21" w14:textId="3C0CF6EB" w:rsidR="007F222B" w:rsidRPr="007F222B" w:rsidRDefault="007F222B">
          <w:pPr>
            <w:autoSpaceDE w:val="0"/>
            <w:autoSpaceDN w:val="0"/>
            <w:ind w:hanging="480"/>
            <w:divId w:val="1233735228"/>
            <w:rPr>
              <w:color w:val="000000"/>
              <w:sz w:val="24"/>
            </w:rPr>
          </w:pPr>
          <w:r w:rsidRPr="007F222B">
            <w:rPr>
              <w:color w:val="000000"/>
              <w:sz w:val="24"/>
            </w:rPr>
            <w:t>Ravensbergen, L., Buliung, R., &amp; Laliberté, N. (2020</w:t>
          </w:r>
          <w:r w:rsidR="000C5A20">
            <w:rPr>
              <w:color w:val="000000"/>
              <w:sz w:val="24"/>
            </w:rPr>
            <w:t>b</w:t>
          </w:r>
          <w:r w:rsidRPr="007F222B">
            <w:rPr>
              <w:color w:val="000000"/>
              <w:sz w:val="24"/>
            </w:rPr>
            <w:t xml:space="preserve">). Fear of cycling: Social, spatial, and temporal dimensions. </w:t>
          </w:r>
          <w:r w:rsidRPr="007F222B">
            <w:rPr>
              <w:i/>
              <w:iCs/>
              <w:color w:val="000000"/>
              <w:sz w:val="24"/>
            </w:rPr>
            <w:t>Journal of Transport Geography</w:t>
          </w:r>
          <w:r w:rsidRPr="007F222B">
            <w:rPr>
              <w:color w:val="000000"/>
              <w:sz w:val="24"/>
            </w:rPr>
            <w:t xml:space="preserve">, </w:t>
          </w:r>
          <w:r w:rsidRPr="007F222B">
            <w:rPr>
              <w:i/>
              <w:iCs/>
              <w:color w:val="000000"/>
              <w:sz w:val="24"/>
            </w:rPr>
            <w:t>87</w:t>
          </w:r>
          <w:r w:rsidR="003C5B11">
            <w:rPr>
              <w:color w:val="000000"/>
              <w:sz w:val="24"/>
            </w:rPr>
            <w:t xml:space="preserve">, </w:t>
          </w:r>
          <w:r w:rsidR="00955A9E">
            <w:rPr>
              <w:color w:val="000000"/>
              <w:sz w:val="24"/>
            </w:rPr>
            <w:t>102813</w:t>
          </w:r>
          <w:r w:rsidRPr="007F222B">
            <w:rPr>
              <w:color w:val="000000"/>
              <w:sz w:val="24"/>
            </w:rPr>
            <w:t xml:space="preserve">. </w:t>
          </w:r>
          <w:hyperlink r:id="rId220" w:history="1">
            <w:r w:rsidR="002F7C39" w:rsidRPr="00B82894">
              <w:rPr>
                <w:rStyle w:val="Hyperlink"/>
                <w:sz w:val="24"/>
              </w:rPr>
              <w:t>https://doi.org/10.1016/j.jtrangeo.2020.102813</w:t>
            </w:r>
          </w:hyperlink>
          <w:r w:rsidR="002F7C39">
            <w:rPr>
              <w:color w:val="000000"/>
              <w:sz w:val="24"/>
            </w:rPr>
            <w:t xml:space="preserve"> </w:t>
          </w:r>
        </w:p>
        <w:p w14:paraId="7344767A" w14:textId="6FDE857E" w:rsidR="007F222B" w:rsidRPr="007F222B" w:rsidRDefault="007F222B">
          <w:pPr>
            <w:autoSpaceDE w:val="0"/>
            <w:autoSpaceDN w:val="0"/>
            <w:ind w:hanging="480"/>
            <w:divId w:val="1501000776"/>
            <w:rPr>
              <w:color w:val="000000"/>
              <w:sz w:val="24"/>
            </w:rPr>
          </w:pPr>
          <w:r w:rsidRPr="007F222B">
            <w:rPr>
              <w:color w:val="000000"/>
              <w:sz w:val="24"/>
            </w:rPr>
            <w:t xml:space="preserve">Rees-Punia, E., Hathaway, E. D., &amp; Gay, J. L. (2018). Crime, perceived safety, and physical activity: A meta-analysis. </w:t>
          </w:r>
          <w:r w:rsidRPr="007F222B">
            <w:rPr>
              <w:i/>
              <w:iCs/>
              <w:color w:val="000000"/>
              <w:sz w:val="24"/>
            </w:rPr>
            <w:t>Preventive Medicine</w:t>
          </w:r>
          <w:r w:rsidR="00BE1870">
            <w:rPr>
              <w:i/>
              <w:iCs/>
              <w:color w:val="000000"/>
              <w:sz w:val="24"/>
            </w:rPr>
            <w:t>,</w:t>
          </w:r>
          <w:r w:rsidRPr="007F222B">
            <w:rPr>
              <w:color w:val="000000"/>
              <w:sz w:val="24"/>
            </w:rPr>
            <w:t xml:space="preserve"> </w:t>
          </w:r>
          <w:r w:rsidR="00BE1870" w:rsidRPr="00BE1870">
            <w:rPr>
              <w:i/>
              <w:iCs/>
              <w:color w:val="000000"/>
              <w:sz w:val="24"/>
            </w:rPr>
            <w:t>111</w:t>
          </w:r>
          <w:r w:rsidR="00BE1870" w:rsidRPr="00BE1870">
            <w:rPr>
              <w:color w:val="000000"/>
              <w:sz w:val="24"/>
            </w:rPr>
            <w:t>, 307</w:t>
          </w:r>
          <w:r w:rsidR="001E0767" w:rsidRPr="007F222B">
            <w:rPr>
              <w:color w:val="000000"/>
              <w:sz w:val="24"/>
            </w:rPr>
            <w:t>–</w:t>
          </w:r>
          <w:r w:rsidR="00BE1870" w:rsidRPr="00BE1870">
            <w:rPr>
              <w:color w:val="000000"/>
              <w:sz w:val="24"/>
            </w:rPr>
            <w:t>313</w:t>
          </w:r>
          <w:r w:rsidRPr="007F222B">
            <w:rPr>
              <w:color w:val="000000"/>
              <w:sz w:val="24"/>
            </w:rPr>
            <w:t xml:space="preserve">. </w:t>
          </w:r>
          <w:hyperlink r:id="rId221" w:history="1">
            <w:r w:rsidR="002F7C39" w:rsidRPr="00B82894">
              <w:rPr>
                <w:rStyle w:val="Hyperlink"/>
                <w:sz w:val="24"/>
              </w:rPr>
              <w:t>https://doi.org/10.1016/j.ypmed.2017.11.017</w:t>
            </w:r>
          </w:hyperlink>
          <w:r w:rsidR="002F7C39">
            <w:rPr>
              <w:color w:val="000000"/>
              <w:sz w:val="24"/>
            </w:rPr>
            <w:t xml:space="preserve"> </w:t>
          </w:r>
        </w:p>
        <w:p w14:paraId="24820DE0" w14:textId="08F113B0" w:rsidR="007F222B" w:rsidRPr="007F222B" w:rsidRDefault="007F222B">
          <w:pPr>
            <w:autoSpaceDE w:val="0"/>
            <w:autoSpaceDN w:val="0"/>
            <w:ind w:hanging="480"/>
            <w:divId w:val="1422336376"/>
            <w:rPr>
              <w:color w:val="000000"/>
              <w:sz w:val="24"/>
            </w:rPr>
          </w:pPr>
          <w:r w:rsidRPr="007F222B">
            <w:rPr>
              <w:color w:val="000000"/>
              <w:sz w:val="24"/>
            </w:rPr>
            <w:t>Robbennolt, D., Beliveau, A., Batur, I., Pendyala, R. M., Mokhtarian, P. L., Shaw, A. F., Polzin, S. E., Conway, A. J., Chen, C., &amp; Bhat, C.</w:t>
          </w:r>
          <w:r w:rsidR="00A648C6">
            <w:rPr>
              <w:color w:val="000000"/>
              <w:sz w:val="24"/>
            </w:rPr>
            <w:t xml:space="preserve"> </w:t>
          </w:r>
          <w:r w:rsidRPr="007F222B">
            <w:rPr>
              <w:color w:val="000000"/>
              <w:sz w:val="24"/>
            </w:rPr>
            <w:t xml:space="preserve">R. (2025). </w:t>
          </w:r>
          <w:r w:rsidRPr="007F222B">
            <w:rPr>
              <w:i/>
              <w:iCs/>
              <w:color w:val="000000"/>
              <w:sz w:val="24"/>
            </w:rPr>
            <w:t>Transportation Heartbeat of America Survey Wave 1: Findings and Recommendations</w:t>
          </w:r>
          <w:r w:rsidRPr="007F222B">
            <w:rPr>
              <w:color w:val="000000"/>
              <w:sz w:val="24"/>
            </w:rPr>
            <w:t>.</w:t>
          </w:r>
        </w:p>
        <w:p w14:paraId="2C5AFF0D" w14:textId="247732CB" w:rsidR="007F222B" w:rsidRPr="007F222B" w:rsidRDefault="007F222B">
          <w:pPr>
            <w:autoSpaceDE w:val="0"/>
            <w:autoSpaceDN w:val="0"/>
            <w:ind w:hanging="480"/>
            <w:divId w:val="1945187956"/>
            <w:rPr>
              <w:color w:val="000000"/>
              <w:sz w:val="24"/>
            </w:rPr>
          </w:pPr>
          <w:r w:rsidRPr="007F222B">
            <w:rPr>
              <w:color w:val="000000"/>
              <w:sz w:val="24"/>
            </w:rPr>
            <w:t xml:space="preserve">Robbennolt, D., Pendyala, R. M., &amp; Bhat, C. R. (2026). Data collection, weighting, and modeling techniques to estimate consistent population parameters. </w:t>
          </w:r>
          <w:r w:rsidRPr="007F222B">
            <w:rPr>
              <w:i/>
              <w:iCs/>
              <w:color w:val="000000"/>
              <w:sz w:val="24"/>
            </w:rPr>
            <w:t>Transportation Research Part B: Methodological</w:t>
          </w:r>
          <w:r w:rsidRPr="007F222B">
            <w:rPr>
              <w:color w:val="000000"/>
              <w:sz w:val="24"/>
            </w:rPr>
            <w:t xml:space="preserve">, </w:t>
          </w:r>
          <w:r w:rsidRPr="007F222B">
            <w:rPr>
              <w:i/>
              <w:iCs/>
              <w:color w:val="000000"/>
              <w:sz w:val="24"/>
            </w:rPr>
            <w:t>203</w:t>
          </w:r>
          <w:r w:rsidRPr="007F222B">
            <w:rPr>
              <w:color w:val="000000"/>
              <w:sz w:val="24"/>
            </w:rPr>
            <w:t xml:space="preserve">, 103349. </w:t>
          </w:r>
          <w:hyperlink r:id="rId222" w:history="1">
            <w:r w:rsidR="002F7C39" w:rsidRPr="00B82894">
              <w:rPr>
                <w:rStyle w:val="Hyperlink"/>
                <w:sz w:val="24"/>
              </w:rPr>
              <w:t>https://doi.org/10.1016/j.trb.2025.103349</w:t>
            </w:r>
          </w:hyperlink>
          <w:r w:rsidR="002F7C39">
            <w:rPr>
              <w:color w:val="000000"/>
              <w:sz w:val="24"/>
            </w:rPr>
            <w:t xml:space="preserve"> </w:t>
          </w:r>
        </w:p>
        <w:p w14:paraId="39F763CC" w14:textId="39038263" w:rsidR="007F222B" w:rsidRPr="007F222B" w:rsidRDefault="007F222B">
          <w:pPr>
            <w:autoSpaceDE w:val="0"/>
            <w:autoSpaceDN w:val="0"/>
            <w:ind w:hanging="480"/>
            <w:divId w:val="97263405"/>
            <w:rPr>
              <w:color w:val="000000"/>
              <w:sz w:val="24"/>
            </w:rPr>
          </w:pPr>
          <w:r w:rsidRPr="007F222B">
            <w:rPr>
              <w:color w:val="000000"/>
              <w:sz w:val="24"/>
            </w:rPr>
            <w:lastRenderedPageBreak/>
            <w:t xml:space="preserve">Saelens, B. E., &amp; Handy, S. L. (2008). Built environment correlates of walking: a review. </w:t>
          </w:r>
          <w:r w:rsidRPr="007F222B">
            <w:rPr>
              <w:i/>
              <w:iCs/>
              <w:color w:val="000000"/>
              <w:sz w:val="24"/>
            </w:rPr>
            <w:t>Medicine and Science in Sports and Exercise</w:t>
          </w:r>
          <w:r w:rsidRPr="007F222B">
            <w:rPr>
              <w:color w:val="000000"/>
              <w:sz w:val="24"/>
            </w:rPr>
            <w:t xml:space="preserve">, </w:t>
          </w:r>
          <w:r w:rsidRPr="007F222B">
            <w:rPr>
              <w:i/>
              <w:iCs/>
              <w:color w:val="000000"/>
              <w:sz w:val="24"/>
            </w:rPr>
            <w:t>40</w:t>
          </w:r>
          <w:r w:rsidRPr="007F222B">
            <w:rPr>
              <w:color w:val="000000"/>
              <w:sz w:val="24"/>
            </w:rPr>
            <w:t>(7 Suppl)</w:t>
          </w:r>
          <w:r w:rsidR="008F46D3">
            <w:rPr>
              <w:color w:val="000000"/>
              <w:sz w:val="24"/>
            </w:rPr>
            <w:t xml:space="preserve">, </w:t>
          </w:r>
          <w:r w:rsidR="008F46D3" w:rsidRPr="008F46D3">
            <w:rPr>
              <w:color w:val="000000"/>
              <w:sz w:val="24"/>
            </w:rPr>
            <w:t>S550</w:t>
          </w:r>
          <w:r w:rsidR="008F46D3" w:rsidRPr="007F222B">
            <w:rPr>
              <w:color w:val="000000"/>
              <w:sz w:val="24"/>
            </w:rPr>
            <w:t>–</w:t>
          </w:r>
          <w:r w:rsidR="008F46D3" w:rsidRPr="008F46D3">
            <w:rPr>
              <w:color w:val="000000"/>
              <w:sz w:val="24"/>
            </w:rPr>
            <w:t>66</w:t>
          </w:r>
          <w:r w:rsidRPr="007F222B">
            <w:rPr>
              <w:color w:val="000000"/>
              <w:sz w:val="24"/>
            </w:rPr>
            <w:t xml:space="preserve">. </w:t>
          </w:r>
          <w:hyperlink r:id="rId223" w:history="1">
            <w:r w:rsidR="002F7C39" w:rsidRPr="00B82894">
              <w:rPr>
                <w:rStyle w:val="Hyperlink"/>
                <w:sz w:val="24"/>
              </w:rPr>
              <w:t>https://doi.org/10.1249/MSS.0b013e31817c67a4</w:t>
            </w:r>
          </w:hyperlink>
          <w:r w:rsidR="002F7C39">
            <w:rPr>
              <w:color w:val="000000"/>
              <w:sz w:val="24"/>
            </w:rPr>
            <w:t xml:space="preserve"> </w:t>
          </w:r>
        </w:p>
        <w:p w14:paraId="62BC6D49" w14:textId="56846B85" w:rsidR="007F222B" w:rsidRPr="007F222B" w:rsidRDefault="007F222B">
          <w:pPr>
            <w:autoSpaceDE w:val="0"/>
            <w:autoSpaceDN w:val="0"/>
            <w:ind w:hanging="480"/>
            <w:divId w:val="113865784"/>
            <w:rPr>
              <w:color w:val="000000"/>
              <w:sz w:val="24"/>
            </w:rPr>
          </w:pPr>
          <w:r w:rsidRPr="007F222B">
            <w:rPr>
              <w:color w:val="000000"/>
              <w:sz w:val="24"/>
            </w:rPr>
            <w:t xml:space="preserve">Sahlqvist, S., Song, Y., &amp; Ogilvie, D. (2012). Is active travel associated with greater physical activity? The contribution of commuting and non-commuting active travel to total physical activity in adults. </w:t>
          </w:r>
          <w:r w:rsidRPr="007F222B">
            <w:rPr>
              <w:i/>
              <w:iCs/>
              <w:color w:val="000000"/>
              <w:sz w:val="24"/>
            </w:rPr>
            <w:t>Preventive Medicine</w:t>
          </w:r>
          <w:r w:rsidRPr="007F222B">
            <w:rPr>
              <w:color w:val="000000"/>
              <w:sz w:val="24"/>
            </w:rPr>
            <w:t xml:space="preserve">, </w:t>
          </w:r>
          <w:r w:rsidRPr="007F222B">
            <w:rPr>
              <w:i/>
              <w:iCs/>
              <w:color w:val="000000"/>
              <w:sz w:val="24"/>
            </w:rPr>
            <w:t>55</w:t>
          </w:r>
          <w:r w:rsidRPr="007F222B">
            <w:rPr>
              <w:color w:val="000000"/>
              <w:sz w:val="24"/>
            </w:rPr>
            <w:t xml:space="preserve">(3), 206–211. </w:t>
          </w:r>
          <w:hyperlink r:id="rId224" w:history="1">
            <w:r w:rsidR="002F7C39" w:rsidRPr="00B82894">
              <w:rPr>
                <w:rStyle w:val="Hyperlink"/>
                <w:sz w:val="24"/>
              </w:rPr>
              <w:t>https://doi.org/10.1016/j.ypmed.2012.06.028</w:t>
            </w:r>
          </w:hyperlink>
          <w:r w:rsidR="002F7C39">
            <w:rPr>
              <w:color w:val="000000"/>
              <w:sz w:val="24"/>
            </w:rPr>
            <w:t xml:space="preserve"> </w:t>
          </w:r>
        </w:p>
        <w:p w14:paraId="71B98419" w14:textId="58525696" w:rsidR="007F222B" w:rsidRPr="007F222B" w:rsidRDefault="007F222B">
          <w:pPr>
            <w:autoSpaceDE w:val="0"/>
            <w:autoSpaceDN w:val="0"/>
            <w:ind w:hanging="480"/>
            <w:divId w:val="445975994"/>
            <w:rPr>
              <w:color w:val="000000"/>
              <w:sz w:val="24"/>
            </w:rPr>
          </w:pPr>
          <w:r w:rsidRPr="007F222B">
            <w:rPr>
              <w:color w:val="000000"/>
              <w:sz w:val="24"/>
            </w:rPr>
            <w:t xml:space="preserve">Sanders, R. L. (2015). Perceived traffic risk for cyclists: The impact of near miss and collision experiences. </w:t>
          </w:r>
          <w:r w:rsidRPr="007F222B">
            <w:rPr>
              <w:i/>
              <w:iCs/>
              <w:color w:val="000000"/>
              <w:sz w:val="24"/>
            </w:rPr>
            <w:t>Accident Analysis and Prevention</w:t>
          </w:r>
          <w:r w:rsidRPr="007F222B">
            <w:rPr>
              <w:color w:val="000000"/>
              <w:sz w:val="24"/>
            </w:rPr>
            <w:t xml:space="preserve">, </w:t>
          </w:r>
          <w:r w:rsidRPr="007F222B">
            <w:rPr>
              <w:i/>
              <w:iCs/>
              <w:color w:val="000000"/>
              <w:sz w:val="24"/>
            </w:rPr>
            <w:t>75</w:t>
          </w:r>
          <w:r w:rsidRPr="007F222B">
            <w:rPr>
              <w:color w:val="000000"/>
              <w:sz w:val="24"/>
            </w:rPr>
            <w:t xml:space="preserve">, 26–34. </w:t>
          </w:r>
          <w:hyperlink r:id="rId225" w:history="1">
            <w:r w:rsidR="002F7C39" w:rsidRPr="00B82894">
              <w:rPr>
                <w:rStyle w:val="Hyperlink"/>
                <w:sz w:val="24"/>
              </w:rPr>
              <w:t>https://doi.org/10.1016/j.aap.2014.11.004</w:t>
            </w:r>
          </w:hyperlink>
          <w:r w:rsidR="002F7C39">
            <w:rPr>
              <w:color w:val="000000"/>
              <w:sz w:val="24"/>
            </w:rPr>
            <w:t xml:space="preserve"> </w:t>
          </w:r>
        </w:p>
        <w:p w14:paraId="750DB993" w14:textId="0DC29295" w:rsidR="007F222B" w:rsidRPr="007F222B" w:rsidRDefault="007F222B">
          <w:pPr>
            <w:autoSpaceDE w:val="0"/>
            <w:autoSpaceDN w:val="0"/>
            <w:ind w:hanging="480"/>
            <w:divId w:val="283928508"/>
            <w:rPr>
              <w:color w:val="000000"/>
              <w:sz w:val="24"/>
            </w:rPr>
          </w:pPr>
          <w:r w:rsidRPr="007F222B">
            <w:rPr>
              <w:color w:val="000000"/>
              <w:sz w:val="24"/>
            </w:rPr>
            <w:t xml:space="preserve">Sanders, R. L., Branion-Calles, M., &amp; Nelson, T. A. (2020). To scoot or not to scoot: Findings from a recent survey about the benefits and barriers of using E-scooters for riders and non-riders. </w:t>
          </w:r>
          <w:r w:rsidRPr="007F222B">
            <w:rPr>
              <w:i/>
              <w:iCs/>
              <w:color w:val="000000"/>
              <w:sz w:val="24"/>
            </w:rPr>
            <w:t>Transportation Research Part A: Policy and Practice</w:t>
          </w:r>
          <w:r w:rsidRPr="007F222B">
            <w:rPr>
              <w:color w:val="000000"/>
              <w:sz w:val="24"/>
            </w:rPr>
            <w:t xml:space="preserve">, </w:t>
          </w:r>
          <w:r w:rsidRPr="007F222B">
            <w:rPr>
              <w:i/>
              <w:iCs/>
              <w:color w:val="000000"/>
              <w:sz w:val="24"/>
            </w:rPr>
            <w:t>139</w:t>
          </w:r>
          <w:r w:rsidRPr="007F222B">
            <w:rPr>
              <w:color w:val="000000"/>
              <w:sz w:val="24"/>
            </w:rPr>
            <w:t xml:space="preserve">, 217–227. </w:t>
          </w:r>
          <w:hyperlink r:id="rId226" w:history="1">
            <w:r w:rsidR="002F7C39" w:rsidRPr="00B82894">
              <w:rPr>
                <w:rStyle w:val="Hyperlink"/>
                <w:sz w:val="24"/>
              </w:rPr>
              <w:t>https://doi.org/10.1016/j.tra.2020.07.009</w:t>
            </w:r>
          </w:hyperlink>
          <w:r w:rsidR="002F7C39">
            <w:rPr>
              <w:color w:val="000000"/>
              <w:sz w:val="24"/>
            </w:rPr>
            <w:t xml:space="preserve"> </w:t>
          </w:r>
        </w:p>
        <w:p w14:paraId="2A953E68" w14:textId="5CD16817" w:rsidR="007F222B" w:rsidRPr="007F222B" w:rsidRDefault="007F222B">
          <w:pPr>
            <w:autoSpaceDE w:val="0"/>
            <w:autoSpaceDN w:val="0"/>
            <w:ind w:hanging="480"/>
            <w:divId w:val="465314992"/>
            <w:rPr>
              <w:color w:val="000000"/>
              <w:sz w:val="24"/>
            </w:rPr>
          </w:pPr>
          <w:r w:rsidRPr="007F222B">
            <w:rPr>
              <w:color w:val="000000"/>
              <w:sz w:val="24"/>
            </w:rPr>
            <w:t xml:space="preserve">Schneider, R. J., Wiers, H., &amp; Schmitz, A. (2022). Perceived Safety and Security Barriers to Walking and Bicycling: Insights from Milwaukee. </w:t>
          </w:r>
          <w:r w:rsidRPr="007F222B">
            <w:rPr>
              <w:i/>
              <w:iCs/>
              <w:color w:val="000000"/>
              <w:sz w:val="24"/>
            </w:rPr>
            <w:t>Transportation Research Record</w:t>
          </w:r>
          <w:r w:rsidRPr="007F222B">
            <w:rPr>
              <w:color w:val="000000"/>
              <w:sz w:val="24"/>
            </w:rPr>
            <w:t xml:space="preserve">, </w:t>
          </w:r>
          <w:r w:rsidRPr="007F222B">
            <w:rPr>
              <w:i/>
              <w:iCs/>
              <w:color w:val="000000"/>
              <w:sz w:val="24"/>
            </w:rPr>
            <w:t>2676</w:t>
          </w:r>
          <w:r w:rsidRPr="007F222B">
            <w:rPr>
              <w:color w:val="000000"/>
              <w:sz w:val="24"/>
            </w:rPr>
            <w:t xml:space="preserve">(9), 325–338. </w:t>
          </w:r>
          <w:hyperlink r:id="rId227" w:history="1">
            <w:r w:rsidR="002F7C39" w:rsidRPr="00B82894">
              <w:rPr>
                <w:rStyle w:val="Hyperlink"/>
                <w:sz w:val="24"/>
              </w:rPr>
              <w:t>https://doi.org/10.1177/03611981221086646</w:t>
            </w:r>
          </w:hyperlink>
          <w:r w:rsidR="002F7C39">
            <w:rPr>
              <w:color w:val="000000"/>
              <w:sz w:val="24"/>
            </w:rPr>
            <w:t xml:space="preserve"> </w:t>
          </w:r>
        </w:p>
        <w:p w14:paraId="3A87D4F4" w14:textId="0D6873A1" w:rsidR="007F222B" w:rsidRPr="007F222B" w:rsidRDefault="007F222B">
          <w:pPr>
            <w:autoSpaceDE w:val="0"/>
            <w:autoSpaceDN w:val="0"/>
            <w:ind w:hanging="480"/>
            <w:divId w:val="5906740"/>
            <w:rPr>
              <w:color w:val="000000"/>
              <w:sz w:val="24"/>
            </w:rPr>
          </w:pPr>
          <w:r w:rsidRPr="007F222B">
            <w:rPr>
              <w:color w:val="000000"/>
              <w:sz w:val="24"/>
            </w:rPr>
            <w:t xml:space="preserve">Solon, G., Haider, S. J., &amp; Wooldridge, J. M. (2015). What Are We Weighting For? </w:t>
          </w:r>
          <w:r w:rsidRPr="007F222B">
            <w:rPr>
              <w:i/>
              <w:iCs/>
              <w:color w:val="000000"/>
              <w:sz w:val="24"/>
            </w:rPr>
            <w:t>Journal of Human Resources</w:t>
          </w:r>
          <w:r w:rsidRPr="007F222B">
            <w:rPr>
              <w:color w:val="000000"/>
              <w:sz w:val="24"/>
            </w:rPr>
            <w:t xml:space="preserve">, </w:t>
          </w:r>
          <w:r w:rsidRPr="007F222B">
            <w:rPr>
              <w:i/>
              <w:iCs/>
              <w:color w:val="000000"/>
              <w:sz w:val="24"/>
            </w:rPr>
            <w:t>50</w:t>
          </w:r>
          <w:r w:rsidRPr="007F222B">
            <w:rPr>
              <w:color w:val="000000"/>
              <w:sz w:val="24"/>
            </w:rPr>
            <w:t xml:space="preserve">(2), 301–316. </w:t>
          </w:r>
          <w:hyperlink r:id="rId228" w:history="1">
            <w:r w:rsidR="002F7C39" w:rsidRPr="00B82894">
              <w:rPr>
                <w:rStyle w:val="Hyperlink"/>
                <w:sz w:val="24"/>
              </w:rPr>
              <w:t>https://doi.org/10.3368/jhr.50.2.301</w:t>
            </w:r>
          </w:hyperlink>
          <w:r w:rsidR="002F7C39">
            <w:rPr>
              <w:color w:val="000000"/>
              <w:sz w:val="24"/>
            </w:rPr>
            <w:t xml:space="preserve"> </w:t>
          </w:r>
        </w:p>
        <w:p w14:paraId="08015ED3" w14:textId="4B350720" w:rsidR="007F222B" w:rsidRPr="007F222B" w:rsidRDefault="007F222B">
          <w:pPr>
            <w:autoSpaceDE w:val="0"/>
            <w:autoSpaceDN w:val="0"/>
            <w:ind w:hanging="480"/>
            <w:divId w:val="1206604691"/>
            <w:rPr>
              <w:color w:val="000000"/>
              <w:sz w:val="24"/>
            </w:rPr>
          </w:pPr>
          <w:r w:rsidRPr="007F222B">
            <w:rPr>
              <w:color w:val="000000"/>
              <w:sz w:val="24"/>
            </w:rPr>
            <w:t xml:space="preserve">Soto, G. W., Whitfield, G. P., Webber, B. J., Omura, J. D., Chen, T. J., Zaganjor, H., &amp; Rose, K. (2022). Traffic as a barrier to walking safely in the United States: Perceived reasons and potential mitigation strategies. </w:t>
          </w:r>
          <w:r w:rsidRPr="007F222B">
            <w:rPr>
              <w:i/>
              <w:iCs/>
              <w:color w:val="000000"/>
              <w:sz w:val="24"/>
            </w:rPr>
            <w:t>Preventive Medicine Reports</w:t>
          </w:r>
          <w:r w:rsidRPr="007F222B">
            <w:rPr>
              <w:color w:val="000000"/>
              <w:sz w:val="24"/>
            </w:rPr>
            <w:t xml:space="preserve">, </w:t>
          </w:r>
          <w:r w:rsidRPr="007F222B">
            <w:rPr>
              <w:i/>
              <w:iCs/>
              <w:color w:val="000000"/>
              <w:sz w:val="24"/>
            </w:rPr>
            <w:t>30</w:t>
          </w:r>
          <w:r w:rsidR="00347CD5">
            <w:rPr>
              <w:i/>
              <w:iCs/>
              <w:color w:val="000000"/>
              <w:sz w:val="24"/>
            </w:rPr>
            <w:t xml:space="preserve">, </w:t>
          </w:r>
          <w:r w:rsidR="0079537F">
            <w:rPr>
              <w:color w:val="000000"/>
              <w:sz w:val="24"/>
            </w:rPr>
            <w:t>102003</w:t>
          </w:r>
          <w:r w:rsidRPr="007F222B">
            <w:rPr>
              <w:color w:val="000000"/>
              <w:sz w:val="24"/>
            </w:rPr>
            <w:t xml:space="preserve">. </w:t>
          </w:r>
          <w:hyperlink r:id="rId229" w:history="1">
            <w:r w:rsidR="002F7C39" w:rsidRPr="00B82894">
              <w:rPr>
                <w:rStyle w:val="Hyperlink"/>
                <w:sz w:val="24"/>
              </w:rPr>
              <w:t>https://doi.org/10.1016/j.pmedr.2022.102003</w:t>
            </w:r>
          </w:hyperlink>
          <w:r w:rsidR="002F7C39">
            <w:rPr>
              <w:color w:val="000000"/>
              <w:sz w:val="24"/>
            </w:rPr>
            <w:t xml:space="preserve"> </w:t>
          </w:r>
        </w:p>
        <w:p w14:paraId="379F7163" w14:textId="5429DE03" w:rsidR="007F222B" w:rsidRPr="007F222B" w:rsidRDefault="007F222B">
          <w:pPr>
            <w:autoSpaceDE w:val="0"/>
            <w:autoSpaceDN w:val="0"/>
            <w:ind w:hanging="480"/>
            <w:divId w:val="168300573"/>
            <w:rPr>
              <w:color w:val="000000"/>
              <w:sz w:val="24"/>
            </w:rPr>
          </w:pPr>
          <w:r w:rsidRPr="007F222B">
            <w:rPr>
              <w:color w:val="000000"/>
              <w:sz w:val="24"/>
            </w:rPr>
            <w:t xml:space="preserve">Srivastava, A., Van Passel, S., &amp; Laes, E. (2018). Assessing the success of electricity demand response programs: A meta-analysis. </w:t>
          </w:r>
          <w:r w:rsidRPr="007F222B">
            <w:rPr>
              <w:i/>
              <w:iCs/>
              <w:color w:val="000000"/>
              <w:sz w:val="24"/>
            </w:rPr>
            <w:t>Energy Research &amp; Social Science</w:t>
          </w:r>
          <w:r w:rsidRPr="007F222B">
            <w:rPr>
              <w:color w:val="000000"/>
              <w:sz w:val="24"/>
            </w:rPr>
            <w:t xml:space="preserve">, </w:t>
          </w:r>
          <w:r w:rsidRPr="007F222B">
            <w:rPr>
              <w:i/>
              <w:iCs/>
              <w:color w:val="000000"/>
              <w:sz w:val="24"/>
            </w:rPr>
            <w:t>40</w:t>
          </w:r>
          <w:r w:rsidRPr="007F222B">
            <w:rPr>
              <w:color w:val="000000"/>
              <w:sz w:val="24"/>
            </w:rPr>
            <w:t xml:space="preserve">, 110–117. </w:t>
          </w:r>
          <w:hyperlink r:id="rId230" w:history="1">
            <w:r w:rsidR="002F7C39" w:rsidRPr="00B82894">
              <w:rPr>
                <w:rStyle w:val="Hyperlink"/>
                <w:sz w:val="24"/>
              </w:rPr>
              <w:t>https://doi.org/10.1016/j.erss.2017.12.005</w:t>
            </w:r>
          </w:hyperlink>
          <w:r w:rsidR="002F7C39">
            <w:rPr>
              <w:color w:val="000000"/>
              <w:sz w:val="24"/>
            </w:rPr>
            <w:t xml:space="preserve"> </w:t>
          </w:r>
        </w:p>
        <w:p w14:paraId="7ACDA74C" w14:textId="0882CC9C" w:rsidR="007F222B" w:rsidRPr="007F222B" w:rsidRDefault="007F222B">
          <w:pPr>
            <w:autoSpaceDE w:val="0"/>
            <w:autoSpaceDN w:val="0"/>
            <w:ind w:hanging="480"/>
            <w:divId w:val="1155488824"/>
            <w:rPr>
              <w:color w:val="000000"/>
              <w:sz w:val="24"/>
            </w:rPr>
          </w:pPr>
          <w:r w:rsidRPr="007F222B">
            <w:rPr>
              <w:color w:val="000000"/>
              <w:sz w:val="24"/>
            </w:rPr>
            <w:t>Stark, J., &amp; Meschik, M. (2018). Women</w:t>
          </w:r>
          <w:r w:rsidR="000D7001">
            <w:rPr>
              <w:color w:val="000000"/>
              <w:sz w:val="24"/>
            </w:rPr>
            <w:t>’</w:t>
          </w:r>
          <w:r w:rsidRPr="007F222B">
            <w:rPr>
              <w:color w:val="000000"/>
              <w:sz w:val="24"/>
            </w:rPr>
            <w:t xml:space="preserve">s everyday mobility: Frightening situations and their impacts on travel behaviour. </w:t>
          </w:r>
          <w:r w:rsidRPr="007F222B">
            <w:rPr>
              <w:i/>
              <w:iCs/>
              <w:color w:val="000000"/>
              <w:sz w:val="24"/>
            </w:rPr>
            <w:t>Transportation Research Part F: Traffic Psychology and Behaviour</w:t>
          </w:r>
          <w:r w:rsidRPr="007F222B">
            <w:rPr>
              <w:color w:val="000000"/>
              <w:sz w:val="24"/>
            </w:rPr>
            <w:t xml:space="preserve">, </w:t>
          </w:r>
          <w:r w:rsidRPr="007F222B">
            <w:rPr>
              <w:i/>
              <w:iCs/>
              <w:color w:val="000000"/>
              <w:sz w:val="24"/>
            </w:rPr>
            <w:t>54</w:t>
          </w:r>
          <w:r w:rsidRPr="007F222B">
            <w:rPr>
              <w:color w:val="000000"/>
              <w:sz w:val="24"/>
            </w:rPr>
            <w:t xml:space="preserve">, 311–323. </w:t>
          </w:r>
          <w:hyperlink r:id="rId231" w:history="1">
            <w:r w:rsidR="002F7C39" w:rsidRPr="00B82894">
              <w:rPr>
                <w:rStyle w:val="Hyperlink"/>
                <w:sz w:val="24"/>
              </w:rPr>
              <w:t>https://doi.org/10.1016/j.trf.2018.02.017</w:t>
            </w:r>
          </w:hyperlink>
          <w:r w:rsidR="002F7C39">
            <w:rPr>
              <w:color w:val="000000"/>
              <w:sz w:val="24"/>
            </w:rPr>
            <w:t xml:space="preserve"> </w:t>
          </w:r>
        </w:p>
        <w:p w14:paraId="3E9801A0" w14:textId="6F84BDD5" w:rsidR="007F222B" w:rsidRPr="007F222B" w:rsidRDefault="007F222B">
          <w:pPr>
            <w:autoSpaceDE w:val="0"/>
            <w:autoSpaceDN w:val="0"/>
            <w:ind w:hanging="480"/>
            <w:divId w:val="1654405565"/>
            <w:rPr>
              <w:color w:val="000000"/>
              <w:sz w:val="24"/>
            </w:rPr>
          </w:pPr>
          <w:r w:rsidRPr="007F222B">
            <w:rPr>
              <w:color w:val="000000"/>
              <w:sz w:val="24"/>
            </w:rPr>
            <w:t xml:space="preserve">Stearns, J. A., Avedzi, H. M., Yim, D., Spence, J. C., Labbaf, F., Lamboglia, C. G., Ko, F., Farmer, C., Lytvyak, E., Kennedy, M., Kim, Y. B., Ren, H., &amp; Lee, K. K. (2023). An Umbrella Review of the Best and Most Up-to-Date Evidence on the Built Environment and Physical Activity in Older Adults ≥60 Years. </w:t>
          </w:r>
          <w:r w:rsidRPr="007F222B">
            <w:rPr>
              <w:i/>
              <w:iCs/>
              <w:color w:val="000000"/>
              <w:sz w:val="24"/>
            </w:rPr>
            <w:t>Public Health Reviews</w:t>
          </w:r>
          <w:r w:rsidR="00263457">
            <w:rPr>
              <w:color w:val="000000"/>
              <w:sz w:val="24"/>
            </w:rPr>
            <w:t xml:space="preserve">, </w:t>
          </w:r>
          <w:r w:rsidR="00263457" w:rsidRPr="00263457">
            <w:rPr>
              <w:i/>
              <w:iCs/>
              <w:color w:val="000000"/>
              <w:sz w:val="24"/>
            </w:rPr>
            <w:t>44</w:t>
          </w:r>
          <w:r w:rsidR="00263457" w:rsidRPr="00263457">
            <w:rPr>
              <w:color w:val="000000"/>
              <w:sz w:val="24"/>
            </w:rPr>
            <w:t>, 1605474</w:t>
          </w:r>
          <w:r w:rsidRPr="007F222B">
            <w:rPr>
              <w:color w:val="000000"/>
              <w:sz w:val="24"/>
            </w:rPr>
            <w:t>.</w:t>
          </w:r>
          <w:r w:rsidR="00263457">
            <w:rPr>
              <w:color w:val="000000"/>
              <w:sz w:val="24"/>
            </w:rPr>
            <w:t xml:space="preserve"> </w:t>
          </w:r>
          <w:hyperlink r:id="rId232" w:history="1">
            <w:r w:rsidR="002F7C39" w:rsidRPr="00B82894">
              <w:rPr>
                <w:rStyle w:val="Hyperlink"/>
                <w:sz w:val="24"/>
              </w:rPr>
              <w:t>https://doi.org/10.3389/phrs.2023.1605474</w:t>
            </w:r>
          </w:hyperlink>
          <w:r w:rsidR="002F7C39">
            <w:rPr>
              <w:color w:val="000000"/>
              <w:sz w:val="24"/>
            </w:rPr>
            <w:t xml:space="preserve"> </w:t>
          </w:r>
        </w:p>
        <w:p w14:paraId="68832A12" w14:textId="469EE607" w:rsidR="007F222B" w:rsidRPr="007F222B" w:rsidRDefault="007F222B">
          <w:pPr>
            <w:autoSpaceDE w:val="0"/>
            <w:autoSpaceDN w:val="0"/>
            <w:ind w:hanging="480"/>
            <w:divId w:val="180632424"/>
            <w:rPr>
              <w:color w:val="000000"/>
              <w:sz w:val="24"/>
            </w:rPr>
          </w:pPr>
          <w:r w:rsidRPr="007F222B">
            <w:rPr>
              <w:color w:val="000000"/>
              <w:sz w:val="24"/>
            </w:rPr>
            <w:t>Sundling, C., &amp; Jakobsson, M. (2023). How Do Urban Walking Environments Impact Pedestrians</w:t>
          </w:r>
          <w:r w:rsidR="000D7001">
            <w:rPr>
              <w:color w:val="000000"/>
              <w:sz w:val="24"/>
            </w:rPr>
            <w:t>’</w:t>
          </w:r>
          <w:r w:rsidRPr="007F222B">
            <w:rPr>
              <w:color w:val="000000"/>
              <w:sz w:val="24"/>
            </w:rPr>
            <w:t xml:space="preserve"> Experience and Psychological Health? A Systematic Review. </w:t>
          </w:r>
          <w:r w:rsidRPr="007F222B">
            <w:rPr>
              <w:i/>
              <w:iCs/>
              <w:color w:val="000000"/>
              <w:sz w:val="24"/>
            </w:rPr>
            <w:t>Sustainability</w:t>
          </w:r>
          <w:r w:rsidRPr="007F222B">
            <w:rPr>
              <w:color w:val="000000"/>
              <w:sz w:val="24"/>
            </w:rPr>
            <w:t xml:space="preserve">, </w:t>
          </w:r>
          <w:r w:rsidRPr="007F222B">
            <w:rPr>
              <w:i/>
              <w:iCs/>
              <w:color w:val="000000"/>
              <w:sz w:val="24"/>
            </w:rPr>
            <w:t>15</w:t>
          </w:r>
          <w:r w:rsidRPr="007F222B">
            <w:rPr>
              <w:color w:val="000000"/>
              <w:sz w:val="24"/>
            </w:rPr>
            <w:t xml:space="preserve">(14), 10817. </w:t>
          </w:r>
          <w:hyperlink r:id="rId233" w:history="1">
            <w:r w:rsidR="002F7C39" w:rsidRPr="00B82894">
              <w:rPr>
                <w:rStyle w:val="Hyperlink"/>
                <w:sz w:val="24"/>
              </w:rPr>
              <w:t>https://doi.org/10.3390/su151410817</w:t>
            </w:r>
          </w:hyperlink>
          <w:r w:rsidR="002F7C39">
            <w:rPr>
              <w:color w:val="000000"/>
              <w:sz w:val="24"/>
            </w:rPr>
            <w:t xml:space="preserve"> </w:t>
          </w:r>
        </w:p>
        <w:p w14:paraId="0AF1D14E" w14:textId="3A14B384" w:rsidR="007F222B" w:rsidRPr="007F222B" w:rsidRDefault="007F222B">
          <w:pPr>
            <w:autoSpaceDE w:val="0"/>
            <w:autoSpaceDN w:val="0"/>
            <w:ind w:hanging="480"/>
            <w:divId w:val="515996214"/>
            <w:rPr>
              <w:color w:val="000000"/>
              <w:sz w:val="24"/>
            </w:rPr>
          </w:pPr>
          <w:r w:rsidRPr="007F222B">
            <w:rPr>
              <w:color w:val="000000"/>
              <w:sz w:val="24"/>
            </w:rPr>
            <w:t xml:space="preserve">Tao, T., &amp; Cao, J. (2023). Exploring nonlinear and collective influences of regional and local built environment characteristics on travel distances by mode. </w:t>
          </w:r>
          <w:r w:rsidRPr="007F222B">
            <w:rPr>
              <w:i/>
              <w:iCs/>
              <w:color w:val="000000"/>
              <w:sz w:val="24"/>
            </w:rPr>
            <w:t>Journal of Transport Geography</w:t>
          </w:r>
          <w:r w:rsidRPr="007F222B">
            <w:rPr>
              <w:color w:val="000000"/>
              <w:sz w:val="24"/>
            </w:rPr>
            <w:t xml:space="preserve">, </w:t>
          </w:r>
          <w:r w:rsidRPr="007F222B">
            <w:rPr>
              <w:i/>
              <w:iCs/>
              <w:color w:val="000000"/>
              <w:sz w:val="24"/>
            </w:rPr>
            <w:t>109</w:t>
          </w:r>
          <w:r w:rsidR="0079537F">
            <w:rPr>
              <w:i/>
              <w:iCs/>
              <w:color w:val="000000"/>
              <w:sz w:val="24"/>
            </w:rPr>
            <w:t xml:space="preserve">, </w:t>
          </w:r>
          <w:r w:rsidR="0079537F">
            <w:rPr>
              <w:color w:val="000000"/>
              <w:sz w:val="24"/>
            </w:rPr>
            <w:t>103599</w:t>
          </w:r>
          <w:r w:rsidRPr="007F222B">
            <w:rPr>
              <w:color w:val="000000"/>
              <w:sz w:val="24"/>
            </w:rPr>
            <w:t xml:space="preserve">. </w:t>
          </w:r>
          <w:hyperlink r:id="rId234" w:history="1">
            <w:r w:rsidR="002F7C39" w:rsidRPr="00B82894">
              <w:rPr>
                <w:rStyle w:val="Hyperlink"/>
                <w:sz w:val="24"/>
              </w:rPr>
              <w:t>https://doi.org/10.1016/j.jtrangeo.2023.103599</w:t>
            </w:r>
          </w:hyperlink>
          <w:r w:rsidR="002F7C39">
            <w:rPr>
              <w:color w:val="000000"/>
              <w:sz w:val="24"/>
            </w:rPr>
            <w:t xml:space="preserve"> </w:t>
          </w:r>
        </w:p>
        <w:p w14:paraId="79F74BDD" w14:textId="25647902" w:rsidR="007F222B" w:rsidRPr="007F222B" w:rsidRDefault="007F222B">
          <w:pPr>
            <w:autoSpaceDE w:val="0"/>
            <w:autoSpaceDN w:val="0"/>
            <w:ind w:hanging="480"/>
            <w:divId w:val="856848792"/>
            <w:rPr>
              <w:color w:val="000000"/>
              <w:sz w:val="24"/>
            </w:rPr>
          </w:pPr>
          <w:r w:rsidRPr="007F222B">
            <w:rPr>
              <w:color w:val="000000"/>
              <w:sz w:val="24"/>
            </w:rPr>
            <w:t xml:space="preserve">Tao, T., Wu, X., Cao, J., Fan, Y., Das, K., &amp; Ramaswami, A. (2023). Exploring the Nonlinear Relationship between the Built Environment and Active Travel in the Twin Cities. </w:t>
          </w:r>
          <w:r w:rsidRPr="007F222B">
            <w:rPr>
              <w:i/>
              <w:iCs/>
              <w:color w:val="000000"/>
              <w:sz w:val="24"/>
            </w:rPr>
            <w:t>Journal of Planning Education and Research</w:t>
          </w:r>
          <w:r w:rsidRPr="007F222B">
            <w:rPr>
              <w:color w:val="000000"/>
              <w:sz w:val="24"/>
            </w:rPr>
            <w:t xml:space="preserve">, </w:t>
          </w:r>
          <w:r w:rsidRPr="007F222B">
            <w:rPr>
              <w:i/>
              <w:iCs/>
              <w:color w:val="000000"/>
              <w:sz w:val="24"/>
            </w:rPr>
            <w:t>43</w:t>
          </w:r>
          <w:r w:rsidRPr="007F222B">
            <w:rPr>
              <w:color w:val="000000"/>
              <w:sz w:val="24"/>
            </w:rPr>
            <w:t xml:space="preserve">(3), 637–652. </w:t>
          </w:r>
          <w:hyperlink r:id="rId235" w:history="1">
            <w:r w:rsidR="002F7C39" w:rsidRPr="00B82894">
              <w:rPr>
                <w:rStyle w:val="Hyperlink"/>
                <w:sz w:val="24"/>
              </w:rPr>
              <w:t>https://doi.org/10.1177/0739456X20915765</w:t>
            </w:r>
          </w:hyperlink>
          <w:r w:rsidR="002F7C39">
            <w:rPr>
              <w:color w:val="000000"/>
              <w:sz w:val="24"/>
            </w:rPr>
            <w:t xml:space="preserve"> </w:t>
          </w:r>
        </w:p>
        <w:p w14:paraId="1F2655C6" w14:textId="2B3EEE57" w:rsidR="007F222B" w:rsidRPr="007F222B" w:rsidRDefault="007F222B">
          <w:pPr>
            <w:autoSpaceDE w:val="0"/>
            <w:autoSpaceDN w:val="0"/>
            <w:ind w:hanging="480"/>
            <w:divId w:val="458037149"/>
            <w:rPr>
              <w:color w:val="000000"/>
              <w:sz w:val="24"/>
            </w:rPr>
          </w:pPr>
          <w:r w:rsidRPr="007F222B">
            <w:rPr>
              <w:color w:val="000000"/>
              <w:sz w:val="24"/>
            </w:rPr>
            <w:lastRenderedPageBreak/>
            <w:t xml:space="preserve">Tuffour, J. P., Ewing, R., Brewer, S., &amp; Tian, G. (2025). Do mixed-use developments optimize VMT and emissions reduction? Evidence from 36 regions. </w:t>
          </w:r>
          <w:r w:rsidRPr="007F222B">
            <w:rPr>
              <w:i/>
              <w:iCs/>
              <w:color w:val="000000"/>
              <w:sz w:val="24"/>
            </w:rPr>
            <w:t>Transportation Research Part D: Transport and Environment</w:t>
          </w:r>
          <w:r w:rsidRPr="007F222B">
            <w:rPr>
              <w:color w:val="000000"/>
              <w:sz w:val="24"/>
            </w:rPr>
            <w:t xml:space="preserve">, </w:t>
          </w:r>
          <w:r w:rsidRPr="007F222B">
            <w:rPr>
              <w:i/>
              <w:iCs/>
              <w:color w:val="000000"/>
              <w:sz w:val="24"/>
            </w:rPr>
            <w:t>147</w:t>
          </w:r>
          <w:r w:rsidR="00F43D3C">
            <w:rPr>
              <w:i/>
              <w:iCs/>
              <w:color w:val="000000"/>
              <w:sz w:val="24"/>
            </w:rPr>
            <w:t xml:space="preserve">, </w:t>
          </w:r>
          <w:r w:rsidR="00F43D3C">
            <w:rPr>
              <w:color w:val="000000"/>
              <w:sz w:val="24"/>
            </w:rPr>
            <w:t>104944</w:t>
          </w:r>
          <w:r w:rsidRPr="007F222B">
            <w:rPr>
              <w:color w:val="000000"/>
              <w:sz w:val="24"/>
            </w:rPr>
            <w:t xml:space="preserve">. </w:t>
          </w:r>
          <w:hyperlink r:id="rId236" w:history="1">
            <w:r w:rsidR="002F7C39" w:rsidRPr="00B82894">
              <w:rPr>
                <w:rStyle w:val="Hyperlink"/>
                <w:sz w:val="24"/>
              </w:rPr>
              <w:t>https://doi.org/10.1016/j.trd.2025.104944</w:t>
            </w:r>
          </w:hyperlink>
          <w:r w:rsidR="002F7C39">
            <w:rPr>
              <w:color w:val="000000"/>
              <w:sz w:val="24"/>
            </w:rPr>
            <w:t xml:space="preserve"> </w:t>
          </w:r>
        </w:p>
        <w:p w14:paraId="1CB54368" w14:textId="77777777" w:rsidR="007F222B" w:rsidRPr="007F222B" w:rsidRDefault="007F222B">
          <w:pPr>
            <w:autoSpaceDE w:val="0"/>
            <w:autoSpaceDN w:val="0"/>
            <w:ind w:hanging="480"/>
            <w:divId w:val="1234664403"/>
            <w:rPr>
              <w:color w:val="000000"/>
              <w:sz w:val="24"/>
            </w:rPr>
          </w:pPr>
          <w:r w:rsidRPr="007F222B">
            <w:rPr>
              <w:color w:val="000000"/>
              <w:sz w:val="24"/>
            </w:rPr>
            <w:t xml:space="preserve">U.S. Census Bureau. (2026). </w:t>
          </w:r>
          <w:r w:rsidRPr="007F222B">
            <w:rPr>
              <w:i/>
              <w:iCs/>
              <w:color w:val="000000"/>
              <w:sz w:val="24"/>
            </w:rPr>
            <w:t>American Community Survey 2024 (5-Year estimates)</w:t>
          </w:r>
          <w:r w:rsidRPr="007F222B">
            <w:rPr>
              <w:color w:val="000000"/>
              <w:sz w:val="24"/>
            </w:rPr>
            <w:t>.</w:t>
          </w:r>
        </w:p>
        <w:p w14:paraId="2F98FD0E" w14:textId="5ACE716E" w:rsidR="002F7C39" w:rsidRDefault="007F222B">
          <w:pPr>
            <w:autoSpaceDE w:val="0"/>
            <w:autoSpaceDN w:val="0"/>
            <w:ind w:hanging="480"/>
            <w:divId w:val="839587343"/>
            <w:rPr>
              <w:color w:val="000000"/>
              <w:sz w:val="24"/>
            </w:rPr>
          </w:pPr>
          <w:r w:rsidRPr="007F222B">
            <w:rPr>
              <w:color w:val="000000"/>
              <w:sz w:val="24"/>
            </w:rPr>
            <w:t>Van Cauwenberg, J., Van Holle, V., Simons, D., Deridder, R., Clarys, P., Goubert, L., Nasar, J., Salmon, J., De Bourdeaudhuij, I., &amp; Deforche, B. (2012). Environmental factors influencing older adults</w:t>
          </w:r>
          <w:r w:rsidR="000D7001">
            <w:rPr>
              <w:color w:val="000000"/>
              <w:sz w:val="24"/>
            </w:rPr>
            <w:t>’</w:t>
          </w:r>
          <w:r w:rsidRPr="007F222B">
            <w:rPr>
              <w:color w:val="000000"/>
              <w:sz w:val="24"/>
            </w:rPr>
            <w:t xml:space="preserve"> walking for transportation: a study using walk-along interviews. </w:t>
          </w:r>
          <w:r w:rsidRPr="007F222B">
            <w:rPr>
              <w:i/>
              <w:iCs/>
              <w:color w:val="000000"/>
              <w:sz w:val="24"/>
            </w:rPr>
            <w:t>International Journal of Behavioral Nutrition and Physical Activity</w:t>
          </w:r>
          <w:r w:rsidRPr="007F222B">
            <w:rPr>
              <w:color w:val="000000"/>
              <w:sz w:val="24"/>
            </w:rPr>
            <w:t xml:space="preserve">, </w:t>
          </w:r>
          <w:r w:rsidRPr="007F222B">
            <w:rPr>
              <w:i/>
              <w:iCs/>
              <w:color w:val="000000"/>
              <w:sz w:val="24"/>
            </w:rPr>
            <w:t>9</w:t>
          </w:r>
          <w:r w:rsidR="00F43D3C">
            <w:rPr>
              <w:i/>
              <w:iCs/>
              <w:color w:val="000000"/>
              <w:sz w:val="24"/>
            </w:rPr>
            <w:t xml:space="preserve">, </w:t>
          </w:r>
          <w:r w:rsidR="00E373B2">
            <w:rPr>
              <w:color w:val="000000"/>
              <w:sz w:val="24"/>
            </w:rPr>
            <w:t>85</w:t>
          </w:r>
          <w:r w:rsidRPr="007F222B">
            <w:rPr>
              <w:color w:val="000000"/>
              <w:sz w:val="24"/>
            </w:rPr>
            <w:t>.</w:t>
          </w:r>
        </w:p>
        <w:p w14:paraId="70E7A247" w14:textId="59A9B0A3" w:rsidR="007F222B" w:rsidRPr="007F222B" w:rsidRDefault="002F7C39">
          <w:pPr>
            <w:autoSpaceDE w:val="0"/>
            <w:autoSpaceDN w:val="0"/>
            <w:ind w:hanging="480"/>
            <w:divId w:val="839587343"/>
            <w:rPr>
              <w:color w:val="000000"/>
              <w:sz w:val="24"/>
            </w:rPr>
          </w:pPr>
          <w:r>
            <w:rPr>
              <w:color w:val="000000"/>
              <w:sz w:val="24"/>
            </w:rPr>
            <w:t xml:space="preserve">       </w:t>
          </w:r>
          <w:r w:rsidR="007F222B" w:rsidRPr="007F222B">
            <w:rPr>
              <w:color w:val="000000"/>
              <w:sz w:val="24"/>
            </w:rPr>
            <w:t xml:space="preserve"> </w:t>
          </w:r>
          <w:hyperlink r:id="rId237" w:history="1">
            <w:r w:rsidRPr="00B82894">
              <w:rPr>
                <w:rStyle w:val="Hyperlink"/>
                <w:sz w:val="24"/>
              </w:rPr>
              <w:t>https://doi.org/10.1186/1479-5868-9-85</w:t>
            </w:r>
          </w:hyperlink>
          <w:r>
            <w:rPr>
              <w:color w:val="000000"/>
              <w:sz w:val="24"/>
            </w:rPr>
            <w:t xml:space="preserve"> </w:t>
          </w:r>
        </w:p>
        <w:p w14:paraId="01497229" w14:textId="06D560FD" w:rsidR="007F222B" w:rsidRPr="007F222B" w:rsidRDefault="007F222B">
          <w:pPr>
            <w:autoSpaceDE w:val="0"/>
            <w:autoSpaceDN w:val="0"/>
            <w:ind w:hanging="480"/>
            <w:divId w:val="614169168"/>
            <w:rPr>
              <w:color w:val="000000"/>
              <w:sz w:val="24"/>
            </w:rPr>
          </w:pPr>
          <w:r w:rsidRPr="007F222B">
            <w:rPr>
              <w:color w:val="000000"/>
              <w:sz w:val="24"/>
            </w:rPr>
            <w:t xml:space="preserve">van der Vlugt, A. L., Curl, A., &amp; Scheiner, J. (2022). The influence of travel attitudes on perceived walking accessibility and walking behaviour. </w:t>
          </w:r>
          <w:r w:rsidRPr="007F222B">
            <w:rPr>
              <w:i/>
              <w:iCs/>
              <w:color w:val="000000"/>
              <w:sz w:val="24"/>
            </w:rPr>
            <w:t>Travel Behaviour and Society</w:t>
          </w:r>
          <w:r w:rsidRPr="007F222B">
            <w:rPr>
              <w:color w:val="000000"/>
              <w:sz w:val="24"/>
            </w:rPr>
            <w:t xml:space="preserve">, </w:t>
          </w:r>
          <w:r w:rsidRPr="007F222B">
            <w:rPr>
              <w:i/>
              <w:iCs/>
              <w:color w:val="000000"/>
              <w:sz w:val="24"/>
            </w:rPr>
            <w:t>27</w:t>
          </w:r>
          <w:r w:rsidRPr="007F222B">
            <w:rPr>
              <w:color w:val="000000"/>
              <w:sz w:val="24"/>
            </w:rPr>
            <w:t xml:space="preserve">, 47–56. </w:t>
          </w:r>
          <w:hyperlink r:id="rId238" w:history="1">
            <w:r w:rsidR="002F7C39" w:rsidRPr="00B82894">
              <w:rPr>
                <w:rStyle w:val="Hyperlink"/>
                <w:sz w:val="24"/>
              </w:rPr>
              <w:t>https://doi.org/10.1016/j.tbs.2021.11.002</w:t>
            </w:r>
          </w:hyperlink>
          <w:r w:rsidR="002F7C39">
            <w:rPr>
              <w:color w:val="000000"/>
              <w:sz w:val="24"/>
            </w:rPr>
            <w:t xml:space="preserve"> </w:t>
          </w:r>
        </w:p>
        <w:p w14:paraId="79AD45D0" w14:textId="18474E25" w:rsidR="007F222B" w:rsidRPr="007F222B" w:rsidRDefault="007F222B">
          <w:pPr>
            <w:autoSpaceDE w:val="0"/>
            <w:autoSpaceDN w:val="0"/>
            <w:ind w:hanging="480"/>
            <w:divId w:val="2068139793"/>
            <w:rPr>
              <w:color w:val="000000"/>
              <w:sz w:val="24"/>
            </w:rPr>
          </w:pPr>
          <w:r w:rsidRPr="007F222B">
            <w:rPr>
              <w:color w:val="000000"/>
              <w:sz w:val="24"/>
            </w:rPr>
            <w:t xml:space="preserve">Veitch, J., Flowers, E., Ball, K., Deforche, B., &amp; Timperio, A. (2020). Designing parks for older adults: A qualitative study using walk-along interviews. </w:t>
          </w:r>
          <w:r w:rsidRPr="007F222B">
            <w:rPr>
              <w:i/>
              <w:iCs/>
              <w:color w:val="000000"/>
              <w:sz w:val="24"/>
            </w:rPr>
            <w:t>Urban Forestry and Urban Greening</w:t>
          </w:r>
          <w:r w:rsidRPr="007F222B">
            <w:rPr>
              <w:color w:val="000000"/>
              <w:sz w:val="24"/>
            </w:rPr>
            <w:t xml:space="preserve">, </w:t>
          </w:r>
          <w:r w:rsidRPr="007F222B">
            <w:rPr>
              <w:i/>
              <w:iCs/>
              <w:color w:val="000000"/>
              <w:sz w:val="24"/>
            </w:rPr>
            <w:t>54</w:t>
          </w:r>
          <w:r w:rsidR="00E373B2">
            <w:rPr>
              <w:i/>
              <w:iCs/>
              <w:color w:val="000000"/>
              <w:sz w:val="24"/>
            </w:rPr>
            <w:t xml:space="preserve">, </w:t>
          </w:r>
          <w:r w:rsidR="00E373B2">
            <w:rPr>
              <w:color w:val="000000"/>
              <w:sz w:val="24"/>
            </w:rPr>
            <w:t>126768</w:t>
          </w:r>
          <w:r w:rsidRPr="007F222B">
            <w:rPr>
              <w:color w:val="000000"/>
              <w:sz w:val="24"/>
            </w:rPr>
            <w:t xml:space="preserve">. </w:t>
          </w:r>
          <w:hyperlink r:id="rId239" w:history="1">
            <w:r w:rsidR="002F7C39" w:rsidRPr="00B82894">
              <w:rPr>
                <w:rStyle w:val="Hyperlink"/>
                <w:sz w:val="24"/>
              </w:rPr>
              <w:t>https://doi.org/10.1016/j.ufug.2020.126768</w:t>
            </w:r>
          </w:hyperlink>
          <w:r w:rsidR="002F7C39">
            <w:rPr>
              <w:color w:val="000000"/>
              <w:sz w:val="24"/>
            </w:rPr>
            <w:t xml:space="preserve"> </w:t>
          </w:r>
        </w:p>
        <w:p w14:paraId="075C423D" w14:textId="5B0EB6AE" w:rsidR="007F222B" w:rsidRPr="008A56AA" w:rsidRDefault="007F222B">
          <w:pPr>
            <w:autoSpaceDE w:val="0"/>
            <w:autoSpaceDN w:val="0"/>
            <w:ind w:hanging="480"/>
            <w:divId w:val="209342023"/>
            <w:rPr>
              <w:color w:val="000000"/>
              <w:sz w:val="24"/>
            </w:rPr>
          </w:pPr>
          <w:r w:rsidRPr="007F222B">
            <w:rPr>
              <w:color w:val="000000"/>
              <w:sz w:val="24"/>
            </w:rPr>
            <w:t xml:space="preserve">Vespa, J., Medina, L., &amp; Armstrong, D. M. (2020). </w:t>
          </w:r>
          <w:r w:rsidRPr="008A56AA">
            <w:rPr>
              <w:i/>
              <w:iCs/>
              <w:color w:val="000000"/>
              <w:sz w:val="24"/>
            </w:rPr>
            <w:t>Demographic Turning Points for the United States: Population Projections for 2020 to 2060</w:t>
          </w:r>
          <w:r w:rsidRPr="007F222B">
            <w:rPr>
              <w:i/>
              <w:iCs/>
              <w:color w:val="000000"/>
              <w:sz w:val="24"/>
            </w:rPr>
            <w:t xml:space="preserve">. </w:t>
          </w:r>
          <w:r w:rsidRPr="008A56AA">
            <w:rPr>
              <w:color w:val="000000"/>
              <w:sz w:val="24"/>
            </w:rPr>
            <w:t>Current Population Reports, P25-1144, U.S. Census Bureau, Washington, DC.</w:t>
          </w:r>
        </w:p>
        <w:p w14:paraId="7965DEF8" w14:textId="4A1BED7A" w:rsidR="007F222B" w:rsidRPr="007F222B" w:rsidRDefault="007F222B">
          <w:pPr>
            <w:autoSpaceDE w:val="0"/>
            <w:autoSpaceDN w:val="0"/>
            <w:ind w:hanging="480"/>
            <w:divId w:val="1880509815"/>
            <w:rPr>
              <w:color w:val="000000"/>
              <w:sz w:val="24"/>
            </w:rPr>
          </w:pPr>
          <w:r w:rsidRPr="007F222B">
            <w:rPr>
              <w:color w:val="000000"/>
              <w:sz w:val="24"/>
            </w:rPr>
            <w:t xml:space="preserve">Wang, M., &amp; Zhou, X. (2017). Bike-sharing systems and congestion: Evidence from US cities. </w:t>
          </w:r>
          <w:r w:rsidRPr="007F222B">
            <w:rPr>
              <w:i/>
              <w:iCs/>
              <w:color w:val="000000"/>
              <w:sz w:val="24"/>
            </w:rPr>
            <w:t>Journal of Transport Geography</w:t>
          </w:r>
          <w:r w:rsidRPr="007F222B">
            <w:rPr>
              <w:color w:val="000000"/>
              <w:sz w:val="24"/>
            </w:rPr>
            <w:t xml:space="preserve">, </w:t>
          </w:r>
          <w:r w:rsidRPr="007F222B">
            <w:rPr>
              <w:i/>
              <w:iCs/>
              <w:color w:val="000000"/>
              <w:sz w:val="24"/>
            </w:rPr>
            <w:t>65</w:t>
          </w:r>
          <w:r w:rsidRPr="007F222B">
            <w:rPr>
              <w:color w:val="000000"/>
              <w:sz w:val="24"/>
            </w:rPr>
            <w:t xml:space="preserve">, 147–154. </w:t>
          </w:r>
          <w:hyperlink r:id="rId240" w:history="1">
            <w:r w:rsidR="00983013" w:rsidRPr="00B82894">
              <w:rPr>
                <w:rStyle w:val="Hyperlink"/>
                <w:sz w:val="24"/>
              </w:rPr>
              <w:t>https://doi.org/10.1016/j.jtrangeo.2017.10.022</w:t>
            </w:r>
          </w:hyperlink>
          <w:r w:rsidR="00983013">
            <w:rPr>
              <w:color w:val="000000"/>
              <w:sz w:val="24"/>
            </w:rPr>
            <w:t xml:space="preserve"> </w:t>
          </w:r>
        </w:p>
        <w:p w14:paraId="5427D4DE" w14:textId="3EEA210E" w:rsidR="007F222B" w:rsidRPr="007F222B" w:rsidRDefault="007F222B">
          <w:pPr>
            <w:autoSpaceDE w:val="0"/>
            <w:autoSpaceDN w:val="0"/>
            <w:ind w:hanging="480"/>
            <w:divId w:val="1908220089"/>
            <w:rPr>
              <w:color w:val="000000"/>
              <w:sz w:val="24"/>
            </w:rPr>
          </w:pPr>
          <w:r w:rsidRPr="007F222B">
            <w:rPr>
              <w:color w:val="000000"/>
              <w:sz w:val="24"/>
            </w:rPr>
            <w:t xml:space="preserve">Wang, X., Shaw, F. A., Mokhtarian, P. L., Circella, G., &amp; Watkins, K. E. (2023). Combining disparate surveys across time to study satisfaction with life: the effects of study context, sampling method, and transport attributes. </w:t>
          </w:r>
          <w:r w:rsidRPr="007F222B">
            <w:rPr>
              <w:i/>
              <w:iCs/>
              <w:color w:val="000000"/>
              <w:sz w:val="24"/>
            </w:rPr>
            <w:t>Transportation</w:t>
          </w:r>
          <w:r w:rsidRPr="007F222B">
            <w:rPr>
              <w:color w:val="000000"/>
              <w:sz w:val="24"/>
            </w:rPr>
            <w:t xml:space="preserve">, </w:t>
          </w:r>
          <w:r w:rsidRPr="007F222B">
            <w:rPr>
              <w:i/>
              <w:iCs/>
              <w:color w:val="000000"/>
              <w:sz w:val="24"/>
            </w:rPr>
            <w:t>50</w:t>
          </w:r>
          <w:r w:rsidRPr="007F222B">
            <w:rPr>
              <w:color w:val="000000"/>
              <w:sz w:val="24"/>
            </w:rPr>
            <w:t xml:space="preserve">(2), 513–543. </w:t>
          </w:r>
          <w:hyperlink r:id="rId241" w:history="1">
            <w:r w:rsidR="00983013" w:rsidRPr="00B82894">
              <w:rPr>
                <w:rStyle w:val="Hyperlink"/>
                <w:sz w:val="24"/>
              </w:rPr>
              <w:t>https://doi.org/10.1007/s11116-021-10252-x</w:t>
            </w:r>
          </w:hyperlink>
          <w:r w:rsidR="00983013">
            <w:rPr>
              <w:color w:val="000000"/>
              <w:sz w:val="24"/>
            </w:rPr>
            <w:t xml:space="preserve"> </w:t>
          </w:r>
        </w:p>
        <w:p w14:paraId="171E1D65" w14:textId="7D1C43A5" w:rsidR="007F222B" w:rsidRPr="007F222B" w:rsidRDefault="007F222B">
          <w:pPr>
            <w:autoSpaceDE w:val="0"/>
            <w:autoSpaceDN w:val="0"/>
            <w:ind w:hanging="480"/>
            <w:divId w:val="371685631"/>
            <w:rPr>
              <w:color w:val="000000"/>
              <w:sz w:val="24"/>
            </w:rPr>
          </w:pPr>
          <w:r w:rsidRPr="007F222B">
            <w:rPr>
              <w:color w:val="000000"/>
              <w:sz w:val="24"/>
            </w:rPr>
            <w:t xml:space="preserve">Wasserstein, R. L., &amp; Lazar, N. A. (2016). The ASA Statement on p-Values: Context, Process, and Purpose. </w:t>
          </w:r>
          <w:r w:rsidRPr="007F222B">
            <w:rPr>
              <w:i/>
              <w:iCs/>
              <w:color w:val="000000"/>
              <w:sz w:val="24"/>
            </w:rPr>
            <w:t>The American Statistician</w:t>
          </w:r>
          <w:r w:rsidRPr="007F222B">
            <w:rPr>
              <w:color w:val="000000"/>
              <w:sz w:val="24"/>
            </w:rPr>
            <w:t xml:space="preserve">, </w:t>
          </w:r>
          <w:r w:rsidRPr="007F222B">
            <w:rPr>
              <w:i/>
              <w:iCs/>
              <w:color w:val="000000"/>
              <w:sz w:val="24"/>
            </w:rPr>
            <w:t>70</w:t>
          </w:r>
          <w:r w:rsidRPr="007F222B">
            <w:rPr>
              <w:color w:val="000000"/>
              <w:sz w:val="24"/>
            </w:rPr>
            <w:t xml:space="preserve">(2), 129–133. </w:t>
          </w:r>
          <w:hyperlink r:id="rId242" w:history="1">
            <w:r w:rsidR="00983013" w:rsidRPr="00B82894">
              <w:rPr>
                <w:rStyle w:val="Hyperlink"/>
                <w:sz w:val="24"/>
              </w:rPr>
              <w:t>https://doi.org/10.1080/00031305.2016.1154108</w:t>
            </w:r>
          </w:hyperlink>
          <w:r w:rsidR="00983013">
            <w:rPr>
              <w:color w:val="000000"/>
              <w:sz w:val="24"/>
            </w:rPr>
            <w:t xml:space="preserve"> </w:t>
          </w:r>
        </w:p>
        <w:p w14:paraId="795A6FDF" w14:textId="23B3FCFF" w:rsidR="007F222B" w:rsidRPr="007F222B" w:rsidRDefault="007F222B">
          <w:pPr>
            <w:autoSpaceDE w:val="0"/>
            <w:autoSpaceDN w:val="0"/>
            <w:ind w:hanging="480"/>
            <w:divId w:val="1939677268"/>
            <w:rPr>
              <w:color w:val="000000"/>
              <w:sz w:val="24"/>
            </w:rPr>
          </w:pPr>
          <w:r w:rsidRPr="007F222B">
            <w:rPr>
              <w:color w:val="000000"/>
              <w:sz w:val="24"/>
            </w:rPr>
            <w:t xml:space="preserve">Wasserstein, R. L., Schirm, A. L., &amp; Lazar, N. A. (2019). Moving to a World Beyond “p &lt; 0.05.” </w:t>
          </w:r>
          <w:r w:rsidRPr="007F222B">
            <w:rPr>
              <w:i/>
              <w:iCs/>
              <w:color w:val="000000"/>
              <w:sz w:val="24"/>
            </w:rPr>
            <w:t>The American Statistician</w:t>
          </w:r>
          <w:r w:rsidRPr="007F222B">
            <w:rPr>
              <w:color w:val="000000"/>
              <w:sz w:val="24"/>
            </w:rPr>
            <w:t xml:space="preserve">, </w:t>
          </w:r>
          <w:r w:rsidRPr="007F222B">
            <w:rPr>
              <w:i/>
              <w:iCs/>
              <w:color w:val="000000"/>
              <w:sz w:val="24"/>
            </w:rPr>
            <w:t>73</w:t>
          </w:r>
          <w:r w:rsidRPr="007F222B">
            <w:rPr>
              <w:color w:val="000000"/>
              <w:sz w:val="24"/>
            </w:rPr>
            <w:t xml:space="preserve">(sup1), 1–19. </w:t>
          </w:r>
          <w:hyperlink r:id="rId243" w:history="1">
            <w:r w:rsidR="00983013" w:rsidRPr="00B82894">
              <w:rPr>
                <w:rStyle w:val="Hyperlink"/>
                <w:sz w:val="24"/>
              </w:rPr>
              <w:t>https://doi.org/10.1080/00031305.2019.1583913</w:t>
            </w:r>
          </w:hyperlink>
          <w:r w:rsidR="00983013">
            <w:rPr>
              <w:color w:val="000000"/>
              <w:sz w:val="24"/>
            </w:rPr>
            <w:t xml:space="preserve"> </w:t>
          </w:r>
        </w:p>
        <w:p w14:paraId="1D82C975" w14:textId="3E5E589D" w:rsidR="007F222B" w:rsidRPr="007F222B" w:rsidRDefault="007F222B">
          <w:pPr>
            <w:autoSpaceDE w:val="0"/>
            <w:autoSpaceDN w:val="0"/>
            <w:ind w:hanging="480"/>
            <w:divId w:val="2034722374"/>
            <w:rPr>
              <w:color w:val="000000"/>
              <w:sz w:val="24"/>
            </w:rPr>
          </w:pPr>
          <w:r w:rsidRPr="007F222B">
            <w:rPr>
              <w:color w:val="000000"/>
              <w:sz w:val="24"/>
            </w:rPr>
            <w:t xml:space="preserve">Watson, K. B., Whitfield, G. P., Thomas, J. V., Berrigan, D., Fulton, J. E., &amp; Carlson, S. A. (2020). Associations between the National Walkability Index and walking among US Adults — National Health Interview Survey, 2015. </w:t>
          </w:r>
          <w:r w:rsidRPr="007F222B">
            <w:rPr>
              <w:i/>
              <w:iCs/>
              <w:color w:val="000000"/>
              <w:sz w:val="24"/>
            </w:rPr>
            <w:t>Preventive Medicine</w:t>
          </w:r>
          <w:r w:rsidRPr="007F222B">
            <w:rPr>
              <w:color w:val="000000"/>
              <w:sz w:val="24"/>
            </w:rPr>
            <w:t xml:space="preserve">, </w:t>
          </w:r>
          <w:r w:rsidRPr="007F222B">
            <w:rPr>
              <w:i/>
              <w:iCs/>
              <w:color w:val="000000"/>
              <w:sz w:val="24"/>
            </w:rPr>
            <w:t>137</w:t>
          </w:r>
          <w:r w:rsidR="00B8368B">
            <w:rPr>
              <w:i/>
              <w:iCs/>
              <w:color w:val="000000"/>
              <w:sz w:val="24"/>
            </w:rPr>
            <w:t xml:space="preserve">, </w:t>
          </w:r>
          <w:r w:rsidR="00B8368B">
            <w:rPr>
              <w:color w:val="000000"/>
              <w:sz w:val="24"/>
            </w:rPr>
            <w:t>106122</w:t>
          </w:r>
          <w:r w:rsidRPr="007F222B">
            <w:rPr>
              <w:color w:val="000000"/>
              <w:sz w:val="24"/>
            </w:rPr>
            <w:t xml:space="preserve">. </w:t>
          </w:r>
          <w:hyperlink r:id="rId244" w:history="1">
            <w:r w:rsidR="00983013" w:rsidRPr="00B82894">
              <w:rPr>
                <w:rStyle w:val="Hyperlink"/>
                <w:sz w:val="24"/>
              </w:rPr>
              <w:t>https://doi.org/10.1016/j.ypmed.2020.106122</w:t>
            </w:r>
          </w:hyperlink>
          <w:r w:rsidR="00983013">
            <w:rPr>
              <w:color w:val="000000"/>
              <w:sz w:val="24"/>
            </w:rPr>
            <w:t xml:space="preserve"> </w:t>
          </w:r>
        </w:p>
        <w:p w14:paraId="3D774254" w14:textId="54739E74" w:rsidR="007F222B" w:rsidRPr="007F222B" w:rsidRDefault="007F222B">
          <w:pPr>
            <w:autoSpaceDE w:val="0"/>
            <w:autoSpaceDN w:val="0"/>
            <w:ind w:hanging="480"/>
            <w:divId w:val="1664357623"/>
            <w:rPr>
              <w:color w:val="000000"/>
              <w:sz w:val="24"/>
            </w:rPr>
          </w:pPr>
          <w:r w:rsidRPr="007F222B">
            <w:rPr>
              <w:color w:val="000000"/>
              <w:sz w:val="24"/>
            </w:rPr>
            <w:t>Western, M. J., Withall, J., Sheppard, R., Greaves, C., Hillsdon, M., &amp; Stathi, A. (2025). Why didn</w:t>
          </w:r>
          <w:r w:rsidR="000D7001">
            <w:rPr>
              <w:color w:val="000000"/>
              <w:sz w:val="24"/>
            </w:rPr>
            <w:t>’</w:t>
          </w:r>
          <w:r w:rsidRPr="007F222B">
            <w:rPr>
              <w:color w:val="000000"/>
              <w:sz w:val="24"/>
            </w:rPr>
            <w:t xml:space="preserve">t the senior citizen cross the road? Gait speed in community-dwelling older adults with mobility limitations relative to pedestrian crossing times. </w:t>
          </w:r>
          <w:r w:rsidRPr="007F222B">
            <w:rPr>
              <w:i/>
              <w:iCs/>
              <w:color w:val="000000"/>
              <w:sz w:val="24"/>
            </w:rPr>
            <w:t>Age and Ageing</w:t>
          </w:r>
          <w:r w:rsidRPr="007F222B">
            <w:rPr>
              <w:color w:val="000000"/>
              <w:sz w:val="24"/>
            </w:rPr>
            <w:t xml:space="preserve">, </w:t>
          </w:r>
          <w:r w:rsidRPr="007F222B">
            <w:rPr>
              <w:i/>
              <w:iCs/>
              <w:color w:val="000000"/>
              <w:sz w:val="24"/>
            </w:rPr>
            <w:t>54</w:t>
          </w:r>
          <w:r w:rsidRPr="007F222B">
            <w:rPr>
              <w:color w:val="000000"/>
              <w:sz w:val="24"/>
            </w:rPr>
            <w:t xml:space="preserve">(12). </w:t>
          </w:r>
          <w:hyperlink r:id="rId245" w:history="1">
            <w:r w:rsidR="00983013" w:rsidRPr="00B82894">
              <w:rPr>
                <w:rStyle w:val="Hyperlink"/>
                <w:sz w:val="24"/>
              </w:rPr>
              <w:t>https://doi.org/10.1093/ageing/afaf345</w:t>
            </w:r>
          </w:hyperlink>
          <w:r w:rsidR="00983013">
            <w:rPr>
              <w:color w:val="000000"/>
              <w:sz w:val="24"/>
            </w:rPr>
            <w:t xml:space="preserve"> </w:t>
          </w:r>
        </w:p>
        <w:p w14:paraId="23386C88" w14:textId="35227C4E" w:rsidR="007F222B" w:rsidRPr="007F222B" w:rsidRDefault="007F222B">
          <w:pPr>
            <w:autoSpaceDE w:val="0"/>
            <w:autoSpaceDN w:val="0"/>
            <w:ind w:hanging="480"/>
            <w:divId w:val="319699820"/>
            <w:rPr>
              <w:color w:val="000000"/>
              <w:sz w:val="24"/>
            </w:rPr>
          </w:pPr>
          <w:r w:rsidRPr="007F222B">
            <w:rPr>
              <w:color w:val="000000"/>
              <w:sz w:val="24"/>
            </w:rPr>
            <w:t xml:space="preserve">Winters, M., Davidson, G., Kao, D., &amp; Teschke, K. (2011). Motivators and deterrents of bicycling: Comparing influences on decisions to ride. </w:t>
          </w:r>
          <w:r w:rsidRPr="007F222B">
            <w:rPr>
              <w:i/>
              <w:iCs/>
              <w:color w:val="000000"/>
              <w:sz w:val="24"/>
            </w:rPr>
            <w:t>Transportation</w:t>
          </w:r>
          <w:r w:rsidRPr="007F222B">
            <w:rPr>
              <w:color w:val="000000"/>
              <w:sz w:val="24"/>
            </w:rPr>
            <w:t xml:space="preserve">, </w:t>
          </w:r>
          <w:r w:rsidRPr="007F222B">
            <w:rPr>
              <w:i/>
              <w:iCs/>
              <w:color w:val="000000"/>
              <w:sz w:val="24"/>
            </w:rPr>
            <w:t>38</w:t>
          </w:r>
          <w:r w:rsidRPr="007F222B">
            <w:rPr>
              <w:color w:val="000000"/>
              <w:sz w:val="24"/>
            </w:rPr>
            <w:t xml:space="preserve">(1), 153–168. </w:t>
          </w:r>
          <w:hyperlink r:id="rId246" w:history="1">
            <w:r w:rsidR="00983013" w:rsidRPr="00B82894">
              <w:rPr>
                <w:rStyle w:val="Hyperlink"/>
                <w:sz w:val="24"/>
              </w:rPr>
              <w:t>https://doi.org/10.1007/s11116-010-9284-y</w:t>
            </w:r>
          </w:hyperlink>
          <w:r w:rsidR="00983013">
            <w:rPr>
              <w:color w:val="000000"/>
              <w:sz w:val="24"/>
            </w:rPr>
            <w:t xml:space="preserve"> </w:t>
          </w:r>
        </w:p>
        <w:p w14:paraId="46A852FB" w14:textId="0A73BB5A" w:rsidR="007F222B" w:rsidRPr="007F222B" w:rsidRDefault="007F222B">
          <w:pPr>
            <w:autoSpaceDE w:val="0"/>
            <w:autoSpaceDN w:val="0"/>
            <w:ind w:hanging="480"/>
            <w:divId w:val="1646083142"/>
            <w:rPr>
              <w:color w:val="000000"/>
              <w:sz w:val="24"/>
            </w:rPr>
          </w:pPr>
          <w:r w:rsidRPr="007F222B">
            <w:rPr>
              <w:color w:val="000000"/>
              <w:sz w:val="24"/>
            </w:rPr>
            <w:t xml:space="preserve">World Health Organization. (2015). </w:t>
          </w:r>
          <w:r w:rsidRPr="007F222B">
            <w:rPr>
              <w:i/>
              <w:iCs/>
              <w:color w:val="000000"/>
              <w:sz w:val="24"/>
            </w:rPr>
            <w:t>World report on ageing and health</w:t>
          </w:r>
          <w:r w:rsidRPr="007F222B">
            <w:rPr>
              <w:color w:val="000000"/>
              <w:sz w:val="24"/>
            </w:rPr>
            <w:t xml:space="preserve">. </w:t>
          </w:r>
          <w:hyperlink r:id="rId247" w:history="1">
            <w:r w:rsidR="00983013" w:rsidRPr="00B82894">
              <w:rPr>
                <w:rStyle w:val="Hyperlink"/>
                <w:sz w:val="24"/>
              </w:rPr>
              <w:t>https://www.who.int/publications/i/item/9789241565042</w:t>
            </w:r>
          </w:hyperlink>
          <w:r w:rsidR="00983013">
            <w:rPr>
              <w:color w:val="000000"/>
              <w:sz w:val="24"/>
            </w:rPr>
            <w:t xml:space="preserve"> </w:t>
          </w:r>
        </w:p>
        <w:p w14:paraId="42843C27" w14:textId="37E0D894" w:rsidR="007F222B" w:rsidRPr="007F222B" w:rsidRDefault="007F222B">
          <w:pPr>
            <w:autoSpaceDE w:val="0"/>
            <w:autoSpaceDN w:val="0"/>
            <w:ind w:hanging="480"/>
            <w:divId w:val="1049112102"/>
            <w:rPr>
              <w:color w:val="000000"/>
              <w:sz w:val="24"/>
            </w:rPr>
          </w:pPr>
          <w:r w:rsidRPr="007F222B">
            <w:rPr>
              <w:color w:val="000000"/>
              <w:sz w:val="24"/>
            </w:rPr>
            <w:t xml:space="preserve">World Health Organization. (2020). </w:t>
          </w:r>
          <w:r w:rsidRPr="007F222B">
            <w:rPr>
              <w:i/>
              <w:iCs/>
              <w:color w:val="000000"/>
              <w:sz w:val="24"/>
            </w:rPr>
            <w:t>WHO Guidelines on Physical Activity and Sedentary Behaviour</w:t>
          </w:r>
          <w:r w:rsidRPr="007F222B">
            <w:rPr>
              <w:color w:val="000000"/>
              <w:sz w:val="24"/>
            </w:rPr>
            <w:t xml:space="preserve">. </w:t>
          </w:r>
          <w:hyperlink r:id="rId248" w:history="1">
            <w:r w:rsidR="00983013" w:rsidRPr="00B82894">
              <w:rPr>
                <w:rStyle w:val="Hyperlink"/>
                <w:sz w:val="24"/>
              </w:rPr>
              <w:t>https://www.who.int/publications/i/item/9789240015128</w:t>
            </w:r>
          </w:hyperlink>
          <w:r w:rsidR="00983013">
            <w:rPr>
              <w:color w:val="000000"/>
              <w:sz w:val="24"/>
            </w:rPr>
            <w:t xml:space="preserve"> </w:t>
          </w:r>
        </w:p>
        <w:p w14:paraId="66047D41" w14:textId="7FDE1A86" w:rsidR="007F222B" w:rsidRPr="007F222B" w:rsidRDefault="007F222B">
          <w:pPr>
            <w:autoSpaceDE w:val="0"/>
            <w:autoSpaceDN w:val="0"/>
            <w:ind w:hanging="480"/>
            <w:divId w:val="522398471"/>
            <w:rPr>
              <w:color w:val="000000"/>
              <w:sz w:val="24"/>
            </w:rPr>
          </w:pPr>
          <w:r w:rsidRPr="007F222B">
            <w:rPr>
              <w:color w:val="000000"/>
              <w:sz w:val="24"/>
            </w:rPr>
            <w:lastRenderedPageBreak/>
            <w:t>Zadey, S., Roberts, L. E., Bushover, B., Gobaud, A. N., Mehranbod, C. A., Fish, C. S., Eschliman, E. L., Gao, X., Goin, D. E., &amp; Morrison, C. N. (2025). Effectiveness of leading pedestrian intervals for city walkers</w:t>
          </w:r>
          <w:r w:rsidR="000D7001">
            <w:rPr>
              <w:color w:val="000000"/>
              <w:sz w:val="24"/>
            </w:rPr>
            <w:t>’</w:t>
          </w:r>
          <w:r w:rsidRPr="007F222B">
            <w:rPr>
              <w:color w:val="000000"/>
              <w:sz w:val="24"/>
            </w:rPr>
            <w:t xml:space="preserve"> safety. </w:t>
          </w:r>
          <w:r w:rsidRPr="007F222B">
            <w:rPr>
              <w:i/>
              <w:iCs/>
              <w:color w:val="000000"/>
              <w:sz w:val="24"/>
            </w:rPr>
            <w:t>Nature Cities</w:t>
          </w:r>
          <w:r w:rsidRPr="007F222B">
            <w:rPr>
              <w:color w:val="000000"/>
              <w:sz w:val="24"/>
            </w:rPr>
            <w:t xml:space="preserve">, </w:t>
          </w:r>
          <w:r w:rsidRPr="007F222B">
            <w:rPr>
              <w:i/>
              <w:iCs/>
              <w:color w:val="000000"/>
              <w:sz w:val="24"/>
            </w:rPr>
            <w:t>2</w:t>
          </w:r>
          <w:r w:rsidRPr="007F222B">
            <w:rPr>
              <w:color w:val="000000"/>
              <w:sz w:val="24"/>
            </w:rPr>
            <w:t xml:space="preserve">(7), 608–612. </w:t>
          </w:r>
          <w:hyperlink r:id="rId249" w:history="1">
            <w:r w:rsidR="00983013" w:rsidRPr="00B82894">
              <w:rPr>
                <w:rStyle w:val="Hyperlink"/>
                <w:sz w:val="24"/>
              </w:rPr>
              <w:t>https://doi.org/10.1038/s44284-025-00267-1</w:t>
            </w:r>
          </w:hyperlink>
          <w:r w:rsidR="00983013">
            <w:rPr>
              <w:color w:val="000000"/>
              <w:sz w:val="24"/>
            </w:rPr>
            <w:t xml:space="preserve"> </w:t>
          </w:r>
        </w:p>
        <w:p w14:paraId="554625B1" w14:textId="3026EBC0" w:rsidR="007F222B" w:rsidRPr="007F222B" w:rsidRDefault="007F222B">
          <w:pPr>
            <w:autoSpaceDE w:val="0"/>
            <w:autoSpaceDN w:val="0"/>
            <w:ind w:hanging="480"/>
            <w:divId w:val="1164053786"/>
            <w:rPr>
              <w:color w:val="000000"/>
              <w:sz w:val="24"/>
            </w:rPr>
          </w:pPr>
          <w:r w:rsidRPr="007F222B">
            <w:rPr>
              <w:color w:val="000000"/>
              <w:sz w:val="24"/>
            </w:rPr>
            <w:t xml:space="preserve">Zaganjor, H., Chen, T. J., Van Dyke, M. E., Soto, G. W., Whitfield, G. P., Smith, A., Devlin, H. M., Irani, K., Rose, K., &amp; Matjasko, J. L. (2025). Self-Reported Reasons Preventing US Adults From Walking to Places Within 10 Minutes of Home. </w:t>
          </w:r>
          <w:r w:rsidRPr="007F222B">
            <w:rPr>
              <w:i/>
              <w:iCs/>
              <w:color w:val="000000"/>
              <w:sz w:val="24"/>
            </w:rPr>
            <w:t>Preventing Chronic Disease</w:t>
          </w:r>
          <w:r w:rsidRPr="007F222B">
            <w:rPr>
              <w:color w:val="000000"/>
              <w:sz w:val="24"/>
            </w:rPr>
            <w:t xml:space="preserve">, </w:t>
          </w:r>
          <w:r w:rsidRPr="007F222B">
            <w:rPr>
              <w:i/>
              <w:iCs/>
              <w:color w:val="000000"/>
              <w:sz w:val="24"/>
            </w:rPr>
            <w:t>22</w:t>
          </w:r>
          <w:r w:rsidR="00B8368B">
            <w:rPr>
              <w:i/>
              <w:iCs/>
              <w:color w:val="000000"/>
              <w:sz w:val="24"/>
            </w:rPr>
            <w:t xml:space="preserve">, </w:t>
          </w:r>
          <w:r w:rsidR="00B8368B">
            <w:rPr>
              <w:color w:val="000000"/>
              <w:sz w:val="24"/>
            </w:rPr>
            <w:t>240394</w:t>
          </w:r>
          <w:r w:rsidRPr="007F222B">
            <w:rPr>
              <w:color w:val="000000"/>
              <w:sz w:val="24"/>
            </w:rPr>
            <w:t xml:space="preserve">. </w:t>
          </w:r>
          <w:hyperlink r:id="rId250" w:history="1">
            <w:r w:rsidR="00983013" w:rsidRPr="00B82894">
              <w:rPr>
                <w:rStyle w:val="Hyperlink"/>
                <w:sz w:val="24"/>
              </w:rPr>
              <w:t>https://doi.org/10.5888/pcd22.240394</w:t>
            </w:r>
          </w:hyperlink>
          <w:r w:rsidR="00983013">
            <w:rPr>
              <w:color w:val="000000"/>
              <w:sz w:val="24"/>
            </w:rPr>
            <w:t xml:space="preserve"> </w:t>
          </w:r>
        </w:p>
        <w:p w14:paraId="5DEDB5AD" w14:textId="7F20D389" w:rsidR="0066083C" w:rsidRPr="007366EE" w:rsidRDefault="007F222B" w:rsidP="007366EE">
          <w:pPr>
            <w:pStyle w:val="FootnoteText"/>
            <w:tabs>
              <w:tab w:val="left" w:pos="0"/>
            </w:tabs>
            <w:jc w:val="both"/>
            <w:rPr>
              <w:bCs/>
              <w:color w:val="000000"/>
              <w:sz w:val="24"/>
              <w:szCs w:val="24"/>
            </w:rPr>
          </w:pPr>
          <w:r w:rsidRPr="007F222B">
            <w:rPr>
              <w:color w:val="000000"/>
              <w:sz w:val="24"/>
            </w:rPr>
            <w:t> </w:t>
          </w:r>
        </w:p>
      </w:sdtContent>
    </w:sdt>
    <w:sectPr w:rsidR="0066083C" w:rsidRPr="007366EE" w:rsidSect="00B9201B">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490B3" w14:textId="77777777" w:rsidR="008451F1" w:rsidRDefault="008451F1">
      <w:r>
        <w:separator/>
      </w:r>
    </w:p>
  </w:endnote>
  <w:endnote w:type="continuationSeparator" w:id="0">
    <w:p w14:paraId="35ED4C56" w14:textId="77777777" w:rsidR="008451F1" w:rsidRDefault="00845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F758F" w14:textId="77258331" w:rsidR="002F5B5C" w:rsidRDefault="002F5B5C">
    <w:pPr>
      <w:pStyle w:val="Footer"/>
      <w:jc w:val="right"/>
    </w:pPr>
  </w:p>
  <w:p w14:paraId="13D593E6" w14:textId="77777777" w:rsidR="002F5B5C" w:rsidRDefault="002F5B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1032439"/>
      <w:docPartObj>
        <w:docPartGallery w:val="Page Numbers (Bottom of Page)"/>
        <w:docPartUnique/>
      </w:docPartObj>
    </w:sdtPr>
    <w:sdtEndPr>
      <w:rPr>
        <w:noProof/>
      </w:rPr>
    </w:sdtEndPr>
    <w:sdtContent>
      <w:p w14:paraId="755960C5" w14:textId="1AAF8497" w:rsidR="004247F3" w:rsidRDefault="004247F3" w:rsidP="004247F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26ECB" w14:textId="77777777" w:rsidR="008451F1" w:rsidRDefault="008451F1">
      <w:r>
        <w:separator/>
      </w:r>
    </w:p>
  </w:footnote>
  <w:footnote w:type="continuationSeparator" w:id="0">
    <w:p w14:paraId="3908E9D6" w14:textId="77777777" w:rsidR="008451F1" w:rsidRDefault="008451F1">
      <w:r>
        <w:continuationSeparator/>
      </w:r>
    </w:p>
  </w:footnote>
  <w:footnote w:id="1">
    <w:p w14:paraId="2982FE8E" w14:textId="4D4373DF" w:rsidR="000F4E45" w:rsidRDefault="000F4E45" w:rsidP="000F4E45">
      <w:pPr>
        <w:pStyle w:val="FootnoteText"/>
        <w:jc w:val="both"/>
      </w:pPr>
      <w:r>
        <w:rPr>
          <w:rStyle w:val="FootnoteReference"/>
        </w:rPr>
        <w:footnoteRef/>
      </w:r>
      <w:r w:rsidR="00C45BC5">
        <w:t xml:space="preserve"> </w:t>
      </w:r>
      <w:r>
        <w:t xml:space="preserve">This </w:t>
      </w:r>
      <w:r w:rsidR="00F47886">
        <w:t>bar</w:t>
      </w:r>
      <w:r w:rsidR="00536B48">
        <w:t>rier</w:t>
      </w:r>
      <w:r>
        <w:t xml:space="preserve"> relate</w:t>
      </w:r>
      <w:r w:rsidR="0043066D">
        <w:t>s</w:t>
      </w:r>
      <w:r>
        <w:t xml:space="preserve"> to concerns about interactions with law enforcement or security officers</w:t>
      </w:r>
      <w:r w:rsidR="00F47886">
        <w:t>, which we removed</w:t>
      </w:r>
      <w:r>
        <w:t xml:space="preserve"> because </w:t>
      </w:r>
      <w:r w:rsidR="00C82FCB">
        <w:t xml:space="preserve">of </w:t>
      </w:r>
      <w:r>
        <w:t xml:space="preserve">the low number of respondents </w:t>
      </w:r>
      <w:r w:rsidR="00D312D6">
        <w:t>citing</w:t>
      </w:r>
      <w:r>
        <w:t xml:space="preserve"> </w:t>
      </w:r>
      <w:r w:rsidR="00C82FCB">
        <w:t>it</w:t>
      </w:r>
      <w:r w:rsidR="006406E4">
        <w:t xml:space="preserve"> </w:t>
      </w:r>
      <w:r w:rsidR="006406E4" w:rsidRPr="006406E4">
        <w:t>(</w:t>
      </w:r>
      <w:r w:rsidR="006406E4" w:rsidRPr="00661EFA">
        <w:t xml:space="preserve">44, or 2.98% of the 1,476 </w:t>
      </w:r>
      <w:r w:rsidR="0092460E">
        <w:t>NRATs</w:t>
      </w:r>
      <w:r w:rsidR="00C82FCB">
        <w:t xml:space="preserve"> and 0.53% of the entire sample</w:t>
      </w:r>
      <w:r w:rsidR="006406E4" w:rsidRPr="00661EFA">
        <w:t>)</w:t>
      </w:r>
      <w:r w:rsidR="00C82FCB">
        <w:t>, which</w:t>
      </w:r>
      <w:r w:rsidRPr="00661EFA">
        <w:t xml:space="preserve"> was insufficient</w:t>
      </w:r>
      <w:r>
        <w:t xml:space="preserve"> to support reliable estimation</w:t>
      </w:r>
      <w:r w:rsidR="00C82FCB">
        <w:t xml:space="preserve"> of any determinant of this specific barrier</w:t>
      </w:r>
      <w:r>
        <w:t>.</w:t>
      </w:r>
      <w:r w:rsidR="00661EFA">
        <w:t xml:space="preserve"> </w:t>
      </w:r>
      <w:r>
        <w:t>Still, we recommend that future data collection efforts consider th</w:t>
      </w:r>
      <w:r w:rsidR="00C82FCB">
        <w:t xml:space="preserve">is type of </w:t>
      </w:r>
      <w:r>
        <w:t>barrier</w:t>
      </w:r>
      <w:r w:rsidR="00C82FCB">
        <w:t xml:space="preserve"> too</w:t>
      </w:r>
      <w:r>
        <w:t xml:space="preserve">, as </w:t>
      </w:r>
      <w:r w:rsidR="00C82FCB">
        <w:t xml:space="preserve">it </w:t>
      </w:r>
      <w:r>
        <w:t>raise</w:t>
      </w:r>
      <w:r w:rsidR="00C82FCB">
        <w:t>s</w:t>
      </w:r>
      <w:r>
        <w:t xml:space="preserve"> substantively distinct policy and equity implications. </w:t>
      </w:r>
    </w:p>
  </w:footnote>
  <w:footnote w:id="2">
    <w:p w14:paraId="6CDE7337" w14:textId="2F779D3F" w:rsidR="00090A0D" w:rsidRDefault="00090A0D" w:rsidP="00382C7F">
      <w:pPr>
        <w:pStyle w:val="FootnoteText"/>
        <w:jc w:val="both"/>
      </w:pPr>
      <w:r>
        <w:rPr>
          <w:rStyle w:val="FootnoteReference"/>
        </w:rPr>
        <w:footnoteRef/>
      </w:r>
      <w:r>
        <w:t xml:space="preserve"> </w:t>
      </w:r>
      <w:r w:rsidR="004B678E" w:rsidRPr="004B678E">
        <w:t xml:space="preserve">The eight employment sectors considered in this index are retail, office, industrial, service, entertainment, education, health care, and public administration. Please see </w:t>
      </w:r>
      <w:sdt>
        <w:sdtPr>
          <w:rPr>
            <w:color w:val="000000"/>
          </w:rPr>
          <w:tag w:val="MENDELEY_CITATION_v3_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"/>
          <w:id w:val="1608694932"/>
          <w:placeholder>
            <w:docPart w:val="DefaultPlaceholder_-1854013440"/>
          </w:placeholder>
        </w:sdtPr>
        <w:sdtEndPr/>
        <w:sdtContent>
          <w:r w:rsidR="000C5DDA" w:rsidRPr="000C5DDA">
            <w:rPr>
              <w:color w:val="000000"/>
            </w:rPr>
            <w:t>Chapman et al. (2021)</w:t>
          </w:r>
        </w:sdtContent>
      </w:sdt>
      <w:r w:rsidR="004B678E">
        <w:t xml:space="preserve"> </w:t>
      </w:r>
      <w:r w:rsidR="004B678E" w:rsidRPr="004B678E">
        <w:t>for further details of how the entropy index is computed.</w:t>
      </w:r>
    </w:p>
  </w:footnote>
  <w:footnote w:id="3">
    <w:p w14:paraId="2672A902" w14:textId="16124E00" w:rsidR="00F858C9" w:rsidRDefault="00F858C9" w:rsidP="00382C7F">
      <w:pPr>
        <w:pStyle w:val="FootnoteText"/>
        <w:jc w:val="both"/>
      </w:pPr>
      <w:r>
        <w:rPr>
          <w:rStyle w:val="FootnoteReference"/>
        </w:rPr>
        <w:footnoteRef/>
      </w:r>
      <w:r>
        <w:t xml:space="preserve"> </w:t>
      </w:r>
      <w:r w:rsidR="00F764B9" w:rsidRPr="00F764B9">
        <w:t xml:space="preserve">This ratio is computed as total neighborhood employment divided by the number of neighborhood households (again, please see </w:t>
      </w:r>
      <w:sdt>
        <w:sdtPr>
          <w:rPr>
            <w:color w:val="000000"/>
          </w:rPr>
          <w:tag w:val="MENDELEY_CITATION_v3_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"/>
          <w:id w:val="-566880356"/>
          <w:placeholder>
            <w:docPart w:val="DefaultPlaceholder_-1854013440"/>
          </w:placeholder>
        </w:sdtPr>
        <w:sdtEndPr/>
        <w:sdtContent>
          <w:r w:rsidR="000C5DDA" w:rsidRPr="000C5DDA">
            <w:rPr>
              <w:color w:val="000000"/>
            </w:rPr>
            <w:t>Chapman et al., 2021</w:t>
          </w:r>
        </w:sdtContent>
      </w:sdt>
      <w:r w:rsidR="00F764B9" w:rsidRPr="00F764B9">
        <w:t xml:space="preserve"> for details).</w:t>
      </w:r>
    </w:p>
  </w:footnote>
  <w:footnote w:id="4">
    <w:p w14:paraId="62611E57" w14:textId="7669E223" w:rsidR="00F858C9" w:rsidRDefault="00F858C9" w:rsidP="00382C7F">
      <w:pPr>
        <w:pStyle w:val="FootnoteText"/>
        <w:jc w:val="both"/>
      </w:pPr>
      <w:r>
        <w:rPr>
          <w:rStyle w:val="FootnoteReference"/>
        </w:rPr>
        <w:footnoteRef/>
      </w:r>
      <w:r>
        <w:t xml:space="preserve"> </w:t>
      </w:r>
      <w:r w:rsidR="00382C7F" w:rsidRPr="00382C7F">
        <w:t>This land-use mix is based on six categories of activity, namely occupied housing units together with the five employment sectors of retail, office, industrial, service, and entertainment</w:t>
      </w:r>
      <w:r w:rsidR="00382C7F">
        <w:t xml:space="preserve"> </w:t>
      </w:r>
      <w:r w:rsidR="00382C7F" w:rsidRPr="00F764B9">
        <w:t xml:space="preserve">(please see </w:t>
      </w:r>
      <w:sdt>
        <w:sdtPr>
          <w:rPr>
            <w:color w:val="000000"/>
          </w:rPr>
          <w:tag w:val="MENDELEY_CITATION_v3_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"/>
          <w:id w:val="389778540"/>
          <w:placeholder>
            <w:docPart w:val="F114209483354314AB3FCA8240A826CD"/>
          </w:placeholder>
        </w:sdtPr>
        <w:sdtEndPr/>
        <w:sdtContent>
          <w:r w:rsidR="000C5DDA" w:rsidRPr="000C5DDA">
            <w:rPr>
              <w:color w:val="000000"/>
            </w:rPr>
            <w:t>Chapman et al., 2021</w:t>
          </w:r>
        </w:sdtContent>
      </w:sdt>
      <w:r w:rsidR="00382C7F" w:rsidRPr="00F764B9">
        <w:t xml:space="preserve"> for details).</w:t>
      </w:r>
    </w:p>
  </w:footnote>
  <w:footnote w:id="5">
    <w:p w14:paraId="211A405E" w14:textId="4FC8ECF0" w:rsidR="007269A7" w:rsidRDefault="007269A7" w:rsidP="007B47F7">
      <w:pPr>
        <w:pStyle w:val="FootnoteText"/>
        <w:jc w:val="both"/>
      </w:pPr>
      <w:r>
        <w:rPr>
          <w:rStyle w:val="FootnoteReference"/>
        </w:rPr>
        <w:footnoteRef/>
      </w:r>
      <w:r>
        <w:t xml:space="preserve"> Further justification for this threshold is warranted. </w:t>
      </w:r>
      <w:r w:rsidR="007B47F7" w:rsidRPr="007B47F7">
        <w:t xml:space="preserve">Choosing a significance level always </w:t>
      </w:r>
      <w:r w:rsidR="00815B22">
        <w:t xml:space="preserve">entails some </w:t>
      </w:r>
      <w:r w:rsidR="007B47F7" w:rsidRPr="007B47F7">
        <w:t>trade</w:t>
      </w:r>
      <w:r w:rsidR="00815B22">
        <w:t>-</w:t>
      </w:r>
      <w:r w:rsidR="007B47F7" w:rsidRPr="007B47F7">
        <w:t xml:space="preserve">off </w:t>
      </w:r>
      <w:r w:rsidR="00815B22">
        <w:t xml:space="preserve">between </w:t>
      </w:r>
      <w:r w:rsidR="007B47F7" w:rsidRPr="007B47F7">
        <w:t xml:space="preserve">the risk of retaining a variable that has no genuine effect </w:t>
      </w:r>
      <w:r w:rsidR="00815B22">
        <w:t>and</w:t>
      </w:r>
      <w:r w:rsidR="00815B22" w:rsidRPr="007B47F7">
        <w:t xml:space="preserve"> </w:t>
      </w:r>
      <w:r w:rsidR="007B47F7" w:rsidRPr="007B47F7">
        <w:t>the risk of discarding one that does</w:t>
      </w:r>
      <w:r w:rsidR="00815B22">
        <w:t>. In this regard</w:t>
      </w:r>
      <w:r w:rsidR="007B47F7" w:rsidRPr="007B47F7">
        <w:t xml:space="preserve">, the conventional 95% </w:t>
      </w:r>
      <w:r w:rsidR="00C6544B">
        <w:t xml:space="preserve">confidence </w:t>
      </w:r>
      <w:r w:rsidR="007B47F7" w:rsidRPr="007B47F7">
        <w:t>level carries no special status that makes it the right resolution of that trade</w:t>
      </w:r>
      <w:r w:rsidR="001B769A">
        <w:t>-</w:t>
      </w:r>
      <w:r w:rsidR="007B47F7" w:rsidRPr="007B47F7">
        <w:t xml:space="preserve">off in every setting. As the American Statistical Association has emphasized, the level should instead be matched to the data and </w:t>
      </w:r>
      <w:r w:rsidR="008A6EF0">
        <w:t>situation</w:t>
      </w:r>
      <w:r w:rsidR="007B47F7" w:rsidRPr="007B47F7">
        <w:t xml:space="preserve"> at hand rather than defaulting to a fixed cutoff</w:t>
      </w:r>
      <w:r w:rsidR="002C31F0">
        <w:t xml:space="preserve"> </w:t>
      </w:r>
      <w:sdt>
        <w:sdtPr>
          <w:rPr>
            <w:color w:val="000000"/>
          </w:rPr>
          <w:tag w:val="MENDELEY_CITATION_v3_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"/>
          <w:id w:val="-1933975425"/>
          <w:placeholder>
            <w:docPart w:val="DefaultPlaceholder_-1854013440"/>
          </w:placeholder>
        </w:sdtPr>
        <w:sdtEndPr/>
        <w:sdtContent>
          <w:r w:rsidR="000C5DDA" w:rsidRPr="000C5DDA">
            <w:rPr>
              <w:color w:val="000000"/>
            </w:rPr>
            <w:t>(Wasserstein and Lazar, 2016; Wasserstein et al., 2019)</w:t>
          </w:r>
        </w:sdtContent>
      </w:sdt>
      <w:r w:rsidR="007B47F7" w:rsidRPr="007B47F7">
        <w:t xml:space="preserve">. </w:t>
      </w:r>
      <w:r w:rsidR="00C6544B">
        <w:t>In o</w:t>
      </w:r>
      <w:r w:rsidR="007B47F7" w:rsidRPr="007B47F7">
        <w:t xml:space="preserve">ur </w:t>
      </w:r>
      <w:r w:rsidR="00C6544B">
        <w:t xml:space="preserve">current empirical </w:t>
      </w:r>
      <w:r w:rsidR="00D16D51">
        <w:t>context,</w:t>
      </w:r>
      <w:r w:rsidR="007B47F7" w:rsidRPr="007B47F7">
        <w:t xml:space="preserve"> </w:t>
      </w:r>
      <w:r w:rsidR="00E4601F">
        <w:t>we elect to retain variables using</w:t>
      </w:r>
      <w:r w:rsidR="007B47F7" w:rsidRPr="007B47F7">
        <w:t xml:space="preserve"> a </w:t>
      </w:r>
      <w:r w:rsidR="00E4601F">
        <w:t xml:space="preserve">somewhat </w:t>
      </w:r>
      <w:r w:rsidR="007B47F7" w:rsidRPr="007B47F7">
        <w:t xml:space="preserve">more permissive threshold, since the seven barrier outcomes are elicited only from the NRAT subsample and several of them are selected by a small and highly unbalanced share of those respondents, which leaves limited information for pinning down barrier-specific effects with precision. Under these conditions we would rather tolerate a modestly elevated risk of retaining a spurious effect than discard variables that are plausibly informative and can guide future work built on larger or more balanced samples. </w:t>
      </w:r>
      <w:r w:rsidR="00941D33" w:rsidRPr="00941D33">
        <w:t>In practice</w:t>
      </w:r>
      <w:r w:rsidR="006D6B61">
        <w:t>,</w:t>
      </w:r>
      <w:r w:rsidR="00941D33" w:rsidRPr="00941D33">
        <w:t xml:space="preserve"> the reported findings do not hinge on this decision, as removing the more marginally significant coefficients left the sign, magnitude, and significance of the remaining coefficients essentially unchanged, as did re-estimation under a range of alternative specifications</w:t>
      </w:r>
      <w:r w:rsidR="007B47F7" w:rsidRPr="007B47F7">
        <w:t>. The stability of the estimates across these checks supports the robustness of the</w:t>
      </w:r>
      <w:r w:rsidR="009D4BB7">
        <w:t xml:space="preserve"> reported</w:t>
      </w:r>
      <w:r w:rsidR="007B47F7" w:rsidRPr="007B47F7">
        <w:t xml:space="preserve"> results</w:t>
      </w:r>
      <w:r w:rsidR="00B62520">
        <w:t xml:space="preserve"> </w:t>
      </w:r>
      <w:sdt>
        <w:sdtPr>
          <w:rPr>
            <w:color w:val="000000"/>
          </w:rPr>
          <w:tag w:val="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"/>
          <w:id w:val="-1880929084"/>
          <w:placeholder>
            <w:docPart w:val="DefaultPlaceholder_-1854013440"/>
          </w:placeholder>
        </w:sdtPr>
        <w:sdtEndPr/>
        <w:sdtContent>
          <w:r w:rsidR="000C5DDA" w:rsidRPr="000C5DDA">
            <w:rPr>
              <w:color w:val="000000"/>
            </w:rPr>
            <w:t>(Lu and White, 2014; Srivastava et al., 2018; Brennan et al., 2021)</w:t>
          </w:r>
        </w:sdtContent>
      </w:sdt>
      <w:r w:rsidR="007B47F7" w:rsidRPr="007B47F7">
        <w:t xml:space="preserve"> </w:t>
      </w:r>
      <w:r w:rsidR="0072002C">
        <w:t>and</w:t>
      </w:r>
      <w:r w:rsidR="0072002C" w:rsidRPr="0072002C">
        <w:t xml:space="preserve"> bolster</w:t>
      </w:r>
      <w:r w:rsidR="004F0B8A">
        <w:t>s</w:t>
      </w:r>
      <w:r w:rsidR="0072002C" w:rsidRPr="0072002C">
        <w:t xml:space="preserve"> the consideration and inclusion of the retained variables.</w:t>
      </w:r>
    </w:p>
  </w:footnote>
  <w:footnote w:id="6">
    <w:p w14:paraId="7E058FFE" w14:textId="77777777" w:rsidR="00324812" w:rsidRDefault="00324812" w:rsidP="00B9201B">
      <w:pPr>
        <w:pStyle w:val="FootnoteText"/>
        <w:spacing w:after="60"/>
        <w:jc w:val="both"/>
      </w:pPr>
      <w:r>
        <w:rPr>
          <w:rStyle w:val="FootnoteReference"/>
        </w:rPr>
        <w:footnoteRef/>
      </w:r>
      <w:r>
        <w:t xml:space="preserve"> </w:t>
      </w:r>
      <w:r w:rsidRPr="00090372">
        <w:t>To be precise, based on the coefficient estimates in Table 3, and if each respondent were to identify as a woman (with other explanatory variables held at their sample values), the share of NRATs is estimated to be 19.85%. The corresponding proportion if each respondent were to identify as a man (with other explanatory variables held again at their sample values) is estimated to be 15.05%. The ATE is then computed as the percentage change in the NRAT share in moving from the male case to the female case, that is, (19.85 − 15.05) / 15.05 × 100, which equals 31.89%. In other words, women are estimated to be 31.89% more likely than men to be NRATs.</w:t>
      </w:r>
    </w:p>
  </w:footnote>
  <w:footnote w:id="7">
    <w:p w14:paraId="36720487" w14:textId="4B05890D" w:rsidR="00324812" w:rsidRDefault="00324812" w:rsidP="00324812">
      <w:pPr>
        <w:pStyle w:val="FootnoteText"/>
        <w:jc w:val="both"/>
      </w:pPr>
      <w:r>
        <w:rPr>
          <w:rStyle w:val="FootnoteReference"/>
        </w:rPr>
        <w:footnoteRef/>
      </w:r>
      <w:r>
        <w:t xml:space="preserve"> A note here about the ATEs in Table 5, which may seem counter-intuitive for some entries relative to the estimation results in Table 3. For example, Table 3 does not indicate any effect of gender on the “</w:t>
      </w:r>
      <w:r w:rsidR="00DB44A8">
        <w:t>aggressive drivers</w:t>
      </w:r>
      <w:r>
        <w:t>” barrier. However, Table 5 shows a small ATE of -0.0</w:t>
      </w:r>
      <w:r w:rsidR="00DB44A8">
        <w:t>3</w:t>
      </w:r>
      <w:r>
        <w:t xml:space="preserve"> for “</w:t>
      </w:r>
      <w:r w:rsidR="00DB44A8">
        <w:t>aggressive drivers</w:t>
      </w:r>
      <w:r>
        <w:t>”. This is because the ATEs are computed considering the correlation terms discussed in Section 4.3. In the case of the “female” variable, women are more likely to be NRATs than men, and the correlation between NRAT propensity and the propensity to cite “</w:t>
      </w:r>
      <w:r w:rsidR="00A21051">
        <w:t>aggressive drivers</w:t>
      </w:r>
      <w:r>
        <w:t>” is negative. That is, as explained in Section 4.3, unobserved factors that make a person more likely to be an NRAT also decrease the probability that the individual will cite “</w:t>
      </w:r>
      <w:r w:rsidR="00A21051">
        <w:t>aggressive drivers</w:t>
      </w:r>
      <w:r>
        <w:t>”, which contributes to the small negative entry for the “female” ATE corresponding to “</w:t>
      </w:r>
      <w:r w:rsidR="00D254BF">
        <w:t>aggressive drivers</w:t>
      </w:r>
      <w:r>
        <w:t xml:space="preserve">” in Table 5. In general, the correlations in Section 4.3 may act in different directions for different variables, which may get manifested as non-zero ATEs in Table 5 even with a corresponding “zero” entry (that is, a “—” entry) in Table 3. However, any such ATEs will tend to be relatively small in Table 5.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2C36"/>
    <w:multiLevelType w:val="hybridMultilevel"/>
    <w:tmpl w:val="A19C5F1E"/>
    <w:lvl w:ilvl="0" w:tplc="6A9C5A04">
      <w:start w:val="1"/>
      <w:numFmt w:val="bullet"/>
      <w:lvlText w:val="●"/>
      <w:lvlJc w:val="left"/>
      <w:pPr>
        <w:ind w:left="720" w:hanging="360"/>
      </w:pPr>
    </w:lvl>
    <w:lvl w:ilvl="1" w:tplc="D994A9B2">
      <w:start w:val="1"/>
      <w:numFmt w:val="bullet"/>
      <w:lvlText w:val="○"/>
      <w:lvlJc w:val="left"/>
      <w:pPr>
        <w:ind w:left="1440" w:hanging="360"/>
      </w:pPr>
    </w:lvl>
    <w:lvl w:ilvl="2" w:tplc="9732F8DE">
      <w:start w:val="1"/>
      <w:numFmt w:val="bullet"/>
      <w:lvlText w:val="■"/>
      <w:lvlJc w:val="left"/>
      <w:pPr>
        <w:ind w:left="2160" w:hanging="360"/>
      </w:pPr>
    </w:lvl>
    <w:lvl w:ilvl="3" w:tplc="091CEA60">
      <w:start w:val="1"/>
      <w:numFmt w:val="bullet"/>
      <w:lvlText w:val="●"/>
      <w:lvlJc w:val="left"/>
      <w:pPr>
        <w:ind w:left="2880" w:hanging="360"/>
      </w:pPr>
    </w:lvl>
    <w:lvl w:ilvl="4" w:tplc="1A4AE488">
      <w:start w:val="1"/>
      <w:numFmt w:val="bullet"/>
      <w:lvlText w:val="○"/>
      <w:lvlJc w:val="left"/>
      <w:pPr>
        <w:ind w:left="3600" w:hanging="360"/>
      </w:pPr>
    </w:lvl>
    <w:lvl w:ilvl="5" w:tplc="D108D812">
      <w:start w:val="1"/>
      <w:numFmt w:val="bullet"/>
      <w:lvlText w:val="■"/>
      <w:lvlJc w:val="left"/>
      <w:pPr>
        <w:ind w:left="4320" w:hanging="360"/>
      </w:pPr>
    </w:lvl>
    <w:lvl w:ilvl="6" w:tplc="D3F885A6">
      <w:start w:val="1"/>
      <w:numFmt w:val="bullet"/>
      <w:lvlText w:val="●"/>
      <w:lvlJc w:val="left"/>
      <w:pPr>
        <w:ind w:left="5040" w:hanging="360"/>
      </w:pPr>
    </w:lvl>
    <w:lvl w:ilvl="7" w:tplc="C75EE37E">
      <w:start w:val="1"/>
      <w:numFmt w:val="bullet"/>
      <w:lvlText w:val="●"/>
      <w:lvlJc w:val="left"/>
      <w:pPr>
        <w:ind w:left="5760" w:hanging="360"/>
      </w:pPr>
    </w:lvl>
    <w:lvl w:ilvl="8" w:tplc="0B54D15C">
      <w:start w:val="1"/>
      <w:numFmt w:val="bullet"/>
      <w:lvlText w:val="●"/>
      <w:lvlJc w:val="left"/>
      <w:pPr>
        <w:ind w:left="6480" w:hanging="360"/>
      </w:pPr>
    </w:lvl>
  </w:abstractNum>
  <w:abstractNum w:abstractNumId="1" w15:restartNumberingAfterBreak="0">
    <w:nsid w:val="09B75A8A"/>
    <w:multiLevelType w:val="hybridMultilevel"/>
    <w:tmpl w:val="59684848"/>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743C97"/>
    <w:multiLevelType w:val="hybridMultilevel"/>
    <w:tmpl w:val="6F545068"/>
    <w:lvl w:ilvl="0" w:tplc="1528F124">
      <w:start w:val="1"/>
      <w:numFmt w:val="bullet"/>
      <w:lvlText w:val="●"/>
      <w:lvlJc w:val="left"/>
      <w:pPr>
        <w:ind w:left="720" w:hanging="360"/>
      </w:pPr>
    </w:lvl>
    <w:lvl w:ilvl="1" w:tplc="AC4EB1EA">
      <w:start w:val="1"/>
      <w:numFmt w:val="bullet"/>
      <w:lvlText w:val="○"/>
      <w:lvlJc w:val="left"/>
      <w:pPr>
        <w:ind w:left="1440" w:hanging="360"/>
      </w:pPr>
    </w:lvl>
    <w:lvl w:ilvl="2" w:tplc="0A70D2B2">
      <w:start w:val="1"/>
      <w:numFmt w:val="bullet"/>
      <w:lvlText w:val="■"/>
      <w:lvlJc w:val="left"/>
      <w:pPr>
        <w:ind w:left="2160" w:hanging="360"/>
      </w:pPr>
    </w:lvl>
    <w:lvl w:ilvl="3" w:tplc="9B3CF3A4">
      <w:start w:val="1"/>
      <w:numFmt w:val="bullet"/>
      <w:lvlText w:val="●"/>
      <w:lvlJc w:val="left"/>
      <w:pPr>
        <w:ind w:left="2880" w:hanging="360"/>
      </w:pPr>
    </w:lvl>
    <w:lvl w:ilvl="4" w:tplc="67349854">
      <w:start w:val="1"/>
      <w:numFmt w:val="bullet"/>
      <w:lvlText w:val="○"/>
      <w:lvlJc w:val="left"/>
      <w:pPr>
        <w:ind w:left="3600" w:hanging="360"/>
      </w:pPr>
    </w:lvl>
    <w:lvl w:ilvl="5" w:tplc="7EC4C238">
      <w:start w:val="1"/>
      <w:numFmt w:val="bullet"/>
      <w:lvlText w:val="■"/>
      <w:lvlJc w:val="left"/>
      <w:pPr>
        <w:ind w:left="4320" w:hanging="360"/>
      </w:pPr>
    </w:lvl>
    <w:lvl w:ilvl="6" w:tplc="8670E742">
      <w:start w:val="1"/>
      <w:numFmt w:val="bullet"/>
      <w:lvlText w:val="●"/>
      <w:lvlJc w:val="left"/>
      <w:pPr>
        <w:ind w:left="5040" w:hanging="360"/>
      </w:pPr>
    </w:lvl>
    <w:lvl w:ilvl="7" w:tplc="5F34E2D8">
      <w:start w:val="1"/>
      <w:numFmt w:val="bullet"/>
      <w:lvlText w:val="●"/>
      <w:lvlJc w:val="left"/>
      <w:pPr>
        <w:ind w:left="5760" w:hanging="360"/>
      </w:pPr>
    </w:lvl>
    <w:lvl w:ilvl="8" w:tplc="FD0654FA">
      <w:start w:val="1"/>
      <w:numFmt w:val="bullet"/>
      <w:lvlText w:val="●"/>
      <w:lvlJc w:val="left"/>
      <w:pPr>
        <w:ind w:left="6480" w:hanging="360"/>
      </w:pPr>
    </w:lvl>
  </w:abstractNum>
  <w:abstractNum w:abstractNumId="3" w15:restartNumberingAfterBreak="0">
    <w:nsid w:val="1BBC23A2"/>
    <w:multiLevelType w:val="hybridMultilevel"/>
    <w:tmpl w:val="808C229A"/>
    <w:lvl w:ilvl="0" w:tplc="FA5092A6">
      <w:start w:val="1"/>
      <w:numFmt w:val="bullet"/>
      <w:lvlText w:val="●"/>
      <w:lvlJc w:val="left"/>
      <w:pPr>
        <w:ind w:left="720" w:hanging="360"/>
      </w:pPr>
    </w:lvl>
    <w:lvl w:ilvl="1" w:tplc="75EC6E26">
      <w:start w:val="1"/>
      <w:numFmt w:val="bullet"/>
      <w:lvlText w:val="○"/>
      <w:lvlJc w:val="left"/>
      <w:pPr>
        <w:ind w:left="1440" w:hanging="360"/>
      </w:pPr>
    </w:lvl>
    <w:lvl w:ilvl="2" w:tplc="0CA0A7B8">
      <w:start w:val="1"/>
      <w:numFmt w:val="bullet"/>
      <w:lvlText w:val="■"/>
      <w:lvlJc w:val="left"/>
      <w:pPr>
        <w:ind w:left="2160" w:hanging="360"/>
      </w:pPr>
    </w:lvl>
    <w:lvl w:ilvl="3" w:tplc="C3E82A7E">
      <w:start w:val="1"/>
      <w:numFmt w:val="bullet"/>
      <w:lvlText w:val="●"/>
      <w:lvlJc w:val="left"/>
      <w:pPr>
        <w:ind w:left="2880" w:hanging="360"/>
      </w:pPr>
    </w:lvl>
    <w:lvl w:ilvl="4" w:tplc="70980F12">
      <w:start w:val="1"/>
      <w:numFmt w:val="bullet"/>
      <w:lvlText w:val="○"/>
      <w:lvlJc w:val="left"/>
      <w:pPr>
        <w:ind w:left="3600" w:hanging="360"/>
      </w:pPr>
    </w:lvl>
    <w:lvl w:ilvl="5" w:tplc="6C7A16EA">
      <w:start w:val="1"/>
      <w:numFmt w:val="bullet"/>
      <w:lvlText w:val="■"/>
      <w:lvlJc w:val="left"/>
      <w:pPr>
        <w:ind w:left="4320" w:hanging="360"/>
      </w:pPr>
    </w:lvl>
    <w:lvl w:ilvl="6" w:tplc="7F9602AE">
      <w:start w:val="1"/>
      <w:numFmt w:val="bullet"/>
      <w:lvlText w:val="●"/>
      <w:lvlJc w:val="left"/>
      <w:pPr>
        <w:ind w:left="5040" w:hanging="360"/>
      </w:pPr>
    </w:lvl>
    <w:lvl w:ilvl="7" w:tplc="4E64ACE0">
      <w:start w:val="1"/>
      <w:numFmt w:val="bullet"/>
      <w:lvlText w:val="●"/>
      <w:lvlJc w:val="left"/>
      <w:pPr>
        <w:ind w:left="5760" w:hanging="360"/>
      </w:pPr>
    </w:lvl>
    <w:lvl w:ilvl="8" w:tplc="A1AEF7D2">
      <w:start w:val="1"/>
      <w:numFmt w:val="bullet"/>
      <w:lvlText w:val="●"/>
      <w:lvlJc w:val="left"/>
      <w:pPr>
        <w:ind w:left="6480" w:hanging="360"/>
      </w:pPr>
    </w:lvl>
  </w:abstractNum>
  <w:abstractNum w:abstractNumId="4" w15:restartNumberingAfterBreak="0">
    <w:nsid w:val="31BD63A7"/>
    <w:multiLevelType w:val="hybridMultilevel"/>
    <w:tmpl w:val="64603488"/>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1F5F98"/>
    <w:multiLevelType w:val="hybridMultilevel"/>
    <w:tmpl w:val="4F164E56"/>
    <w:lvl w:ilvl="0" w:tplc="90989432">
      <w:start w:val="1"/>
      <w:numFmt w:val="bullet"/>
      <w:lvlText w:val="●"/>
      <w:lvlJc w:val="left"/>
      <w:pPr>
        <w:ind w:left="720" w:hanging="360"/>
      </w:pPr>
    </w:lvl>
    <w:lvl w:ilvl="1" w:tplc="EFBC9122">
      <w:start w:val="1"/>
      <w:numFmt w:val="bullet"/>
      <w:lvlText w:val="○"/>
      <w:lvlJc w:val="left"/>
      <w:pPr>
        <w:ind w:left="1440" w:hanging="360"/>
      </w:pPr>
    </w:lvl>
    <w:lvl w:ilvl="2" w:tplc="3548883C">
      <w:start w:val="1"/>
      <w:numFmt w:val="bullet"/>
      <w:lvlText w:val="■"/>
      <w:lvlJc w:val="left"/>
      <w:pPr>
        <w:ind w:left="2160" w:hanging="360"/>
      </w:pPr>
    </w:lvl>
    <w:lvl w:ilvl="3" w:tplc="E4AE9E6E">
      <w:start w:val="1"/>
      <w:numFmt w:val="bullet"/>
      <w:lvlText w:val="●"/>
      <w:lvlJc w:val="left"/>
      <w:pPr>
        <w:ind w:left="2880" w:hanging="360"/>
      </w:pPr>
    </w:lvl>
    <w:lvl w:ilvl="4" w:tplc="58309AB4">
      <w:start w:val="1"/>
      <w:numFmt w:val="bullet"/>
      <w:lvlText w:val="○"/>
      <w:lvlJc w:val="left"/>
      <w:pPr>
        <w:ind w:left="3600" w:hanging="360"/>
      </w:pPr>
    </w:lvl>
    <w:lvl w:ilvl="5" w:tplc="862A7CE2">
      <w:start w:val="1"/>
      <w:numFmt w:val="bullet"/>
      <w:lvlText w:val="■"/>
      <w:lvlJc w:val="left"/>
      <w:pPr>
        <w:ind w:left="4320" w:hanging="360"/>
      </w:pPr>
    </w:lvl>
    <w:lvl w:ilvl="6" w:tplc="8EEA4C06">
      <w:start w:val="1"/>
      <w:numFmt w:val="bullet"/>
      <w:lvlText w:val="●"/>
      <w:lvlJc w:val="left"/>
      <w:pPr>
        <w:ind w:left="5040" w:hanging="360"/>
      </w:pPr>
    </w:lvl>
    <w:lvl w:ilvl="7" w:tplc="E18EC8E6">
      <w:start w:val="1"/>
      <w:numFmt w:val="bullet"/>
      <w:lvlText w:val="●"/>
      <w:lvlJc w:val="left"/>
      <w:pPr>
        <w:ind w:left="5760" w:hanging="360"/>
      </w:pPr>
    </w:lvl>
    <w:lvl w:ilvl="8" w:tplc="B40CB8AC">
      <w:start w:val="1"/>
      <w:numFmt w:val="bullet"/>
      <w:lvlText w:val="●"/>
      <w:lvlJc w:val="left"/>
      <w:pPr>
        <w:ind w:left="6480" w:hanging="360"/>
      </w:pPr>
    </w:lvl>
  </w:abstractNum>
  <w:abstractNum w:abstractNumId="6" w15:restartNumberingAfterBreak="0">
    <w:nsid w:val="71FC1051"/>
    <w:multiLevelType w:val="hybridMultilevel"/>
    <w:tmpl w:val="3B188CBE"/>
    <w:lvl w:ilvl="0" w:tplc="C9925BB0">
      <w:start w:val="1"/>
      <w:numFmt w:val="bullet"/>
      <w:lvlText w:val="●"/>
      <w:lvlJc w:val="left"/>
      <w:pPr>
        <w:ind w:left="720" w:hanging="360"/>
      </w:pPr>
    </w:lvl>
    <w:lvl w:ilvl="1" w:tplc="F5CA1030">
      <w:start w:val="1"/>
      <w:numFmt w:val="bullet"/>
      <w:lvlText w:val="○"/>
      <w:lvlJc w:val="left"/>
      <w:pPr>
        <w:ind w:left="1440" w:hanging="360"/>
      </w:pPr>
    </w:lvl>
    <w:lvl w:ilvl="2" w:tplc="7CC86222">
      <w:start w:val="1"/>
      <w:numFmt w:val="bullet"/>
      <w:lvlText w:val="■"/>
      <w:lvlJc w:val="left"/>
      <w:pPr>
        <w:ind w:left="2160" w:hanging="360"/>
      </w:pPr>
    </w:lvl>
    <w:lvl w:ilvl="3" w:tplc="46DAA384">
      <w:start w:val="1"/>
      <w:numFmt w:val="bullet"/>
      <w:lvlText w:val="●"/>
      <w:lvlJc w:val="left"/>
      <w:pPr>
        <w:ind w:left="2880" w:hanging="360"/>
      </w:pPr>
    </w:lvl>
    <w:lvl w:ilvl="4" w:tplc="963C2A82">
      <w:start w:val="1"/>
      <w:numFmt w:val="bullet"/>
      <w:lvlText w:val="○"/>
      <w:lvlJc w:val="left"/>
      <w:pPr>
        <w:ind w:left="3600" w:hanging="360"/>
      </w:pPr>
    </w:lvl>
    <w:lvl w:ilvl="5" w:tplc="2C66A472">
      <w:start w:val="1"/>
      <w:numFmt w:val="bullet"/>
      <w:lvlText w:val="■"/>
      <w:lvlJc w:val="left"/>
      <w:pPr>
        <w:ind w:left="4320" w:hanging="360"/>
      </w:pPr>
    </w:lvl>
    <w:lvl w:ilvl="6" w:tplc="558427CA">
      <w:start w:val="1"/>
      <w:numFmt w:val="bullet"/>
      <w:lvlText w:val="●"/>
      <w:lvlJc w:val="left"/>
      <w:pPr>
        <w:ind w:left="5040" w:hanging="360"/>
      </w:pPr>
    </w:lvl>
    <w:lvl w:ilvl="7" w:tplc="D02A73D8">
      <w:start w:val="1"/>
      <w:numFmt w:val="bullet"/>
      <w:lvlText w:val="●"/>
      <w:lvlJc w:val="left"/>
      <w:pPr>
        <w:ind w:left="5760" w:hanging="360"/>
      </w:pPr>
    </w:lvl>
    <w:lvl w:ilvl="8" w:tplc="A5649126">
      <w:start w:val="1"/>
      <w:numFmt w:val="bullet"/>
      <w:lvlText w:val="●"/>
      <w:lvlJc w:val="left"/>
      <w:pPr>
        <w:ind w:left="6480" w:hanging="360"/>
      </w:pPr>
    </w:lvl>
  </w:abstractNum>
  <w:abstractNum w:abstractNumId="7" w15:restartNumberingAfterBreak="0">
    <w:nsid w:val="74955634"/>
    <w:multiLevelType w:val="hybridMultilevel"/>
    <w:tmpl w:val="C2CCC630"/>
    <w:lvl w:ilvl="0" w:tplc="CD2EF81E">
      <w:start w:val="1"/>
      <w:numFmt w:val="bullet"/>
      <w:lvlText w:val="●"/>
      <w:lvlJc w:val="left"/>
      <w:pPr>
        <w:ind w:left="720" w:hanging="360"/>
      </w:pPr>
    </w:lvl>
    <w:lvl w:ilvl="1" w:tplc="2A241D86">
      <w:start w:val="1"/>
      <w:numFmt w:val="bullet"/>
      <w:lvlText w:val="○"/>
      <w:lvlJc w:val="left"/>
      <w:pPr>
        <w:ind w:left="1440" w:hanging="360"/>
      </w:pPr>
    </w:lvl>
    <w:lvl w:ilvl="2" w:tplc="EE96A9F4">
      <w:start w:val="1"/>
      <w:numFmt w:val="bullet"/>
      <w:lvlText w:val="■"/>
      <w:lvlJc w:val="left"/>
      <w:pPr>
        <w:ind w:left="2160" w:hanging="360"/>
      </w:pPr>
    </w:lvl>
    <w:lvl w:ilvl="3" w:tplc="9698CDB8">
      <w:start w:val="1"/>
      <w:numFmt w:val="bullet"/>
      <w:lvlText w:val="●"/>
      <w:lvlJc w:val="left"/>
      <w:pPr>
        <w:ind w:left="2880" w:hanging="360"/>
      </w:pPr>
    </w:lvl>
    <w:lvl w:ilvl="4" w:tplc="BA7A9320">
      <w:start w:val="1"/>
      <w:numFmt w:val="bullet"/>
      <w:lvlText w:val="○"/>
      <w:lvlJc w:val="left"/>
      <w:pPr>
        <w:ind w:left="3600" w:hanging="360"/>
      </w:pPr>
    </w:lvl>
    <w:lvl w:ilvl="5" w:tplc="B6BAACFE">
      <w:start w:val="1"/>
      <w:numFmt w:val="bullet"/>
      <w:lvlText w:val="■"/>
      <w:lvlJc w:val="left"/>
      <w:pPr>
        <w:ind w:left="4320" w:hanging="360"/>
      </w:pPr>
    </w:lvl>
    <w:lvl w:ilvl="6" w:tplc="25D4A722">
      <w:start w:val="1"/>
      <w:numFmt w:val="bullet"/>
      <w:lvlText w:val="●"/>
      <w:lvlJc w:val="left"/>
      <w:pPr>
        <w:ind w:left="5040" w:hanging="360"/>
      </w:pPr>
    </w:lvl>
    <w:lvl w:ilvl="7" w:tplc="3BCC89D0">
      <w:start w:val="1"/>
      <w:numFmt w:val="bullet"/>
      <w:lvlText w:val="●"/>
      <w:lvlJc w:val="left"/>
      <w:pPr>
        <w:ind w:left="5760" w:hanging="360"/>
      </w:pPr>
    </w:lvl>
    <w:lvl w:ilvl="8" w:tplc="680E6924">
      <w:start w:val="1"/>
      <w:numFmt w:val="bullet"/>
      <w:lvlText w:val="●"/>
      <w:lvlJc w:val="left"/>
      <w:pPr>
        <w:ind w:left="6480" w:hanging="360"/>
      </w:pPr>
    </w:lvl>
  </w:abstractNum>
  <w:abstractNum w:abstractNumId="8" w15:restartNumberingAfterBreak="0">
    <w:nsid w:val="757D0614"/>
    <w:multiLevelType w:val="hybridMultilevel"/>
    <w:tmpl w:val="9484F1D6"/>
    <w:lvl w:ilvl="0" w:tplc="58A8AE62">
      <w:start w:val="1"/>
      <w:numFmt w:val="bullet"/>
      <w:lvlText w:val="●"/>
      <w:lvlJc w:val="left"/>
      <w:pPr>
        <w:ind w:left="720" w:hanging="360"/>
      </w:pPr>
    </w:lvl>
    <w:lvl w:ilvl="1" w:tplc="8E92FF6E">
      <w:start w:val="1"/>
      <w:numFmt w:val="bullet"/>
      <w:lvlText w:val="○"/>
      <w:lvlJc w:val="left"/>
      <w:pPr>
        <w:ind w:left="1440" w:hanging="360"/>
      </w:pPr>
    </w:lvl>
    <w:lvl w:ilvl="2" w:tplc="BAE6AC12">
      <w:start w:val="1"/>
      <w:numFmt w:val="bullet"/>
      <w:lvlText w:val="■"/>
      <w:lvlJc w:val="left"/>
      <w:pPr>
        <w:ind w:left="2160" w:hanging="360"/>
      </w:pPr>
    </w:lvl>
    <w:lvl w:ilvl="3" w:tplc="D3EC8570">
      <w:start w:val="1"/>
      <w:numFmt w:val="bullet"/>
      <w:lvlText w:val="●"/>
      <w:lvlJc w:val="left"/>
      <w:pPr>
        <w:ind w:left="2880" w:hanging="360"/>
      </w:pPr>
    </w:lvl>
    <w:lvl w:ilvl="4" w:tplc="9B2667E0">
      <w:start w:val="1"/>
      <w:numFmt w:val="bullet"/>
      <w:lvlText w:val="○"/>
      <w:lvlJc w:val="left"/>
      <w:pPr>
        <w:ind w:left="3600" w:hanging="360"/>
      </w:pPr>
    </w:lvl>
    <w:lvl w:ilvl="5" w:tplc="53E053F4">
      <w:start w:val="1"/>
      <w:numFmt w:val="bullet"/>
      <w:lvlText w:val="■"/>
      <w:lvlJc w:val="left"/>
      <w:pPr>
        <w:ind w:left="4320" w:hanging="360"/>
      </w:pPr>
    </w:lvl>
    <w:lvl w:ilvl="6" w:tplc="5364AF94">
      <w:start w:val="1"/>
      <w:numFmt w:val="bullet"/>
      <w:lvlText w:val="●"/>
      <w:lvlJc w:val="left"/>
      <w:pPr>
        <w:ind w:left="5040" w:hanging="360"/>
      </w:pPr>
    </w:lvl>
    <w:lvl w:ilvl="7" w:tplc="4D285D4C">
      <w:start w:val="1"/>
      <w:numFmt w:val="bullet"/>
      <w:lvlText w:val="●"/>
      <w:lvlJc w:val="left"/>
      <w:pPr>
        <w:ind w:left="5760" w:hanging="360"/>
      </w:pPr>
    </w:lvl>
    <w:lvl w:ilvl="8" w:tplc="B30E9056">
      <w:start w:val="1"/>
      <w:numFmt w:val="bullet"/>
      <w:lvlText w:val="●"/>
      <w:lvlJc w:val="left"/>
      <w:pPr>
        <w:ind w:left="6480" w:hanging="360"/>
      </w:pPr>
    </w:lvl>
  </w:abstractNum>
  <w:abstractNum w:abstractNumId="9" w15:restartNumberingAfterBreak="0">
    <w:nsid w:val="7E205C51"/>
    <w:multiLevelType w:val="hybridMultilevel"/>
    <w:tmpl w:val="C124F6B6"/>
    <w:lvl w:ilvl="0" w:tplc="56BA7F6E">
      <w:start w:val="1"/>
      <w:numFmt w:val="bullet"/>
      <w:lvlText w:val="●"/>
      <w:lvlJc w:val="left"/>
      <w:pPr>
        <w:ind w:left="720" w:hanging="360"/>
      </w:pPr>
    </w:lvl>
    <w:lvl w:ilvl="1" w:tplc="30767BDC">
      <w:start w:val="1"/>
      <w:numFmt w:val="bullet"/>
      <w:lvlText w:val="○"/>
      <w:lvlJc w:val="left"/>
      <w:pPr>
        <w:ind w:left="1440" w:hanging="360"/>
      </w:pPr>
    </w:lvl>
    <w:lvl w:ilvl="2" w:tplc="389ACC16">
      <w:start w:val="1"/>
      <w:numFmt w:val="bullet"/>
      <w:lvlText w:val="■"/>
      <w:lvlJc w:val="left"/>
      <w:pPr>
        <w:ind w:left="2160" w:hanging="360"/>
      </w:pPr>
    </w:lvl>
    <w:lvl w:ilvl="3" w:tplc="F83A85C2">
      <w:start w:val="1"/>
      <w:numFmt w:val="bullet"/>
      <w:lvlText w:val="●"/>
      <w:lvlJc w:val="left"/>
      <w:pPr>
        <w:ind w:left="2880" w:hanging="360"/>
      </w:pPr>
    </w:lvl>
    <w:lvl w:ilvl="4" w:tplc="F1F858DA">
      <w:start w:val="1"/>
      <w:numFmt w:val="bullet"/>
      <w:lvlText w:val="○"/>
      <w:lvlJc w:val="left"/>
      <w:pPr>
        <w:ind w:left="3600" w:hanging="360"/>
      </w:pPr>
    </w:lvl>
    <w:lvl w:ilvl="5" w:tplc="3B7EC550">
      <w:start w:val="1"/>
      <w:numFmt w:val="bullet"/>
      <w:lvlText w:val="■"/>
      <w:lvlJc w:val="left"/>
      <w:pPr>
        <w:ind w:left="4320" w:hanging="360"/>
      </w:pPr>
    </w:lvl>
    <w:lvl w:ilvl="6" w:tplc="4484E770">
      <w:start w:val="1"/>
      <w:numFmt w:val="bullet"/>
      <w:lvlText w:val="●"/>
      <w:lvlJc w:val="left"/>
      <w:pPr>
        <w:ind w:left="5040" w:hanging="360"/>
      </w:pPr>
    </w:lvl>
    <w:lvl w:ilvl="7" w:tplc="4C5CC54A">
      <w:start w:val="1"/>
      <w:numFmt w:val="bullet"/>
      <w:lvlText w:val="●"/>
      <w:lvlJc w:val="left"/>
      <w:pPr>
        <w:ind w:left="5760" w:hanging="360"/>
      </w:pPr>
    </w:lvl>
    <w:lvl w:ilvl="8" w:tplc="1AA467F8">
      <w:start w:val="1"/>
      <w:numFmt w:val="bullet"/>
      <w:lvlText w:val="●"/>
      <w:lvlJc w:val="left"/>
      <w:pPr>
        <w:ind w:left="6480" w:hanging="360"/>
      </w:pPr>
    </w:lvl>
  </w:abstractNum>
  <w:abstractNum w:abstractNumId="10" w15:restartNumberingAfterBreak="0">
    <w:nsid w:val="7F066A24"/>
    <w:multiLevelType w:val="hybridMultilevel"/>
    <w:tmpl w:val="8ED63C60"/>
    <w:lvl w:ilvl="0" w:tplc="A0EACE60">
      <w:start w:val="1"/>
      <w:numFmt w:val="bullet"/>
      <w:lvlText w:val="●"/>
      <w:lvlJc w:val="left"/>
      <w:pPr>
        <w:ind w:left="720" w:hanging="360"/>
      </w:pPr>
    </w:lvl>
    <w:lvl w:ilvl="1" w:tplc="CB5074EE">
      <w:start w:val="1"/>
      <w:numFmt w:val="bullet"/>
      <w:lvlText w:val="○"/>
      <w:lvlJc w:val="left"/>
      <w:pPr>
        <w:ind w:left="1440" w:hanging="360"/>
      </w:pPr>
    </w:lvl>
    <w:lvl w:ilvl="2" w:tplc="35160AF4">
      <w:start w:val="1"/>
      <w:numFmt w:val="bullet"/>
      <w:lvlText w:val="■"/>
      <w:lvlJc w:val="left"/>
      <w:pPr>
        <w:ind w:left="2160" w:hanging="360"/>
      </w:pPr>
    </w:lvl>
    <w:lvl w:ilvl="3" w:tplc="6F9ACD44">
      <w:start w:val="1"/>
      <w:numFmt w:val="bullet"/>
      <w:lvlText w:val="●"/>
      <w:lvlJc w:val="left"/>
      <w:pPr>
        <w:ind w:left="2880" w:hanging="360"/>
      </w:pPr>
    </w:lvl>
    <w:lvl w:ilvl="4" w:tplc="34840794">
      <w:start w:val="1"/>
      <w:numFmt w:val="bullet"/>
      <w:lvlText w:val="○"/>
      <w:lvlJc w:val="left"/>
      <w:pPr>
        <w:ind w:left="3600" w:hanging="360"/>
      </w:pPr>
    </w:lvl>
    <w:lvl w:ilvl="5" w:tplc="192C35FC">
      <w:start w:val="1"/>
      <w:numFmt w:val="bullet"/>
      <w:lvlText w:val="■"/>
      <w:lvlJc w:val="left"/>
      <w:pPr>
        <w:ind w:left="4320" w:hanging="360"/>
      </w:pPr>
    </w:lvl>
    <w:lvl w:ilvl="6" w:tplc="861456CC">
      <w:start w:val="1"/>
      <w:numFmt w:val="bullet"/>
      <w:lvlText w:val="●"/>
      <w:lvlJc w:val="left"/>
      <w:pPr>
        <w:ind w:left="5040" w:hanging="360"/>
      </w:pPr>
    </w:lvl>
    <w:lvl w:ilvl="7" w:tplc="4228597A">
      <w:start w:val="1"/>
      <w:numFmt w:val="bullet"/>
      <w:lvlText w:val="●"/>
      <w:lvlJc w:val="left"/>
      <w:pPr>
        <w:ind w:left="5760" w:hanging="360"/>
      </w:pPr>
    </w:lvl>
    <w:lvl w:ilvl="8" w:tplc="26CE2FF0">
      <w:start w:val="1"/>
      <w:numFmt w:val="bullet"/>
      <w:lvlText w:val="●"/>
      <w:lvlJc w:val="left"/>
      <w:pPr>
        <w:ind w:left="6480" w:hanging="360"/>
      </w:pPr>
    </w:lvl>
  </w:abstractNum>
  <w:num w:numId="1" w16cid:durableId="1500196937">
    <w:abstractNumId w:val="6"/>
    <w:lvlOverride w:ilvl="0">
      <w:startOverride w:val="1"/>
    </w:lvlOverride>
  </w:num>
  <w:num w:numId="2" w16cid:durableId="420299669">
    <w:abstractNumId w:val="3"/>
    <w:lvlOverride w:ilvl="0">
      <w:startOverride w:val="1"/>
    </w:lvlOverride>
  </w:num>
  <w:num w:numId="3" w16cid:durableId="960501535">
    <w:abstractNumId w:val="7"/>
    <w:lvlOverride w:ilvl="0">
      <w:startOverride w:val="1"/>
    </w:lvlOverride>
  </w:num>
  <w:num w:numId="4" w16cid:durableId="1985428009">
    <w:abstractNumId w:val="5"/>
    <w:lvlOverride w:ilvl="0">
      <w:startOverride w:val="1"/>
    </w:lvlOverride>
  </w:num>
  <w:num w:numId="5" w16cid:durableId="1668752906">
    <w:abstractNumId w:val="9"/>
    <w:lvlOverride w:ilvl="0">
      <w:startOverride w:val="1"/>
    </w:lvlOverride>
  </w:num>
  <w:num w:numId="6" w16cid:durableId="307054823">
    <w:abstractNumId w:val="8"/>
    <w:lvlOverride w:ilvl="0">
      <w:startOverride w:val="1"/>
    </w:lvlOverride>
  </w:num>
  <w:num w:numId="7" w16cid:durableId="524826616">
    <w:abstractNumId w:val="10"/>
    <w:lvlOverride w:ilvl="0">
      <w:startOverride w:val="1"/>
    </w:lvlOverride>
  </w:num>
  <w:num w:numId="8" w16cid:durableId="1847746775">
    <w:abstractNumId w:val="2"/>
    <w:lvlOverride w:ilvl="0">
      <w:startOverride w:val="1"/>
    </w:lvlOverride>
  </w:num>
  <w:num w:numId="9" w16cid:durableId="605040217">
    <w:abstractNumId w:val="0"/>
    <w:lvlOverride w:ilvl="0">
      <w:startOverride w:val="1"/>
    </w:lvlOverride>
  </w:num>
  <w:num w:numId="10" w16cid:durableId="1269923374">
    <w:abstractNumId w:val="4"/>
  </w:num>
  <w:num w:numId="11" w16cid:durableId="21429934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9A1"/>
    <w:rsid w:val="000002B5"/>
    <w:rsid w:val="000006AF"/>
    <w:rsid w:val="00000749"/>
    <w:rsid w:val="000009B1"/>
    <w:rsid w:val="000011F9"/>
    <w:rsid w:val="0000203B"/>
    <w:rsid w:val="000020C8"/>
    <w:rsid w:val="0000261F"/>
    <w:rsid w:val="000026CE"/>
    <w:rsid w:val="00002DE7"/>
    <w:rsid w:val="000038E1"/>
    <w:rsid w:val="000042FC"/>
    <w:rsid w:val="000044FA"/>
    <w:rsid w:val="000053E1"/>
    <w:rsid w:val="00005695"/>
    <w:rsid w:val="00005E64"/>
    <w:rsid w:val="00006556"/>
    <w:rsid w:val="000065FE"/>
    <w:rsid w:val="00006765"/>
    <w:rsid w:val="0000728C"/>
    <w:rsid w:val="00007313"/>
    <w:rsid w:val="000076CD"/>
    <w:rsid w:val="000078A5"/>
    <w:rsid w:val="00010FFB"/>
    <w:rsid w:val="0001161D"/>
    <w:rsid w:val="00011924"/>
    <w:rsid w:val="00012574"/>
    <w:rsid w:val="000125AB"/>
    <w:rsid w:val="000129C1"/>
    <w:rsid w:val="00015B33"/>
    <w:rsid w:val="00015E9A"/>
    <w:rsid w:val="000160AB"/>
    <w:rsid w:val="0001619C"/>
    <w:rsid w:val="0001757B"/>
    <w:rsid w:val="000175BA"/>
    <w:rsid w:val="000203CC"/>
    <w:rsid w:val="00020BFC"/>
    <w:rsid w:val="0002160D"/>
    <w:rsid w:val="0002206B"/>
    <w:rsid w:val="000220B2"/>
    <w:rsid w:val="0002243D"/>
    <w:rsid w:val="000225E7"/>
    <w:rsid w:val="00022A8D"/>
    <w:rsid w:val="00022B8B"/>
    <w:rsid w:val="00022BEA"/>
    <w:rsid w:val="00022C87"/>
    <w:rsid w:val="00022F47"/>
    <w:rsid w:val="0002321C"/>
    <w:rsid w:val="00023CDC"/>
    <w:rsid w:val="00024A61"/>
    <w:rsid w:val="00025310"/>
    <w:rsid w:val="00025723"/>
    <w:rsid w:val="00025E44"/>
    <w:rsid w:val="00026472"/>
    <w:rsid w:val="00026C54"/>
    <w:rsid w:val="0002706A"/>
    <w:rsid w:val="000275EC"/>
    <w:rsid w:val="00027C9A"/>
    <w:rsid w:val="00027E1F"/>
    <w:rsid w:val="000303DF"/>
    <w:rsid w:val="0003181E"/>
    <w:rsid w:val="00031B7E"/>
    <w:rsid w:val="00032ACA"/>
    <w:rsid w:val="00032EA3"/>
    <w:rsid w:val="00033EE4"/>
    <w:rsid w:val="00033F32"/>
    <w:rsid w:val="0003434D"/>
    <w:rsid w:val="00035C45"/>
    <w:rsid w:val="0003656D"/>
    <w:rsid w:val="00036761"/>
    <w:rsid w:val="00037237"/>
    <w:rsid w:val="0004045F"/>
    <w:rsid w:val="00040E33"/>
    <w:rsid w:val="00041427"/>
    <w:rsid w:val="000418D4"/>
    <w:rsid w:val="00041965"/>
    <w:rsid w:val="00041A1F"/>
    <w:rsid w:val="00041B54"/>
    <w:rsid w:val="00041F70"/>
    <w:rsid w:val="00042017"/>
    <w:rsid w:val="000424CD"/>
    <w:rsid w:val="00042CBC"/>
    <w:rsid w:val="00042FF4"/>
    <w:rsid w:val="00043A41"/>
    <w:rsid w:val="00044058"/>
    <w:rsid w:val="0004437B"/>
    <w:rsid w:val="00044A80"/>
    <w:rsid w:val="00044F87"/>
    <w:rsid w:val="00044FC4"/>
    <w:rsid w:val="0004546E"/>
    <w:rsid w:val="00046198"/>
    <w:rsid w:val="00046FCD"/>
    <w:rsid w:val="000470B2"/>
    <w:rsid w:val="00047EC0"/>
    <w:rsid w:val="00051868"/>
    <w:rsid w:val="0005191B"/>
    <w:rsid w:val="00051DFF"/>
    <w:rsid w:val="00052413"/>
    <w:rsid w:val="000524A0"/>
    <w:rsid w:val="0005286D"/>
    <w:rsid w:val="00052977"/>
    <w:rsid w:val="00053421"/>
    <w:rsid w:val="000537DA"/>
    <w:rsid w:val="00053C9E"/>
    <w:rsid w:val="000541F3"/>
    <w:rsid w:val="00054832"/>
    <w:rsid w:val="00055203"/>
    <w:rsid w:val="0005527E"/>
    <w:rsid w:val="000553AE"/>
    <w:rsid w:val="00055596"/>
    <w:rsid w:val="000556D0"/>
    <w:rsid w:val="00055D8D"/>
    <w:rsid w:val="0005615F"/>
    <w:rsid w:val="00056AD9"/>
    <w:rsid w:val="00057F24"/>
    <w:rsid w:val="00061500"/>
    <w:rsid w:val="000615FF"/>
    <w:rsid w:val="00061D5C"/>
    <w:rsid w:val="00062E93"/>
    <w:rsid w:val="00063682"/>
    <w:rsid w:val="00063779"/>
    <w:rsid w:val="00063EAC"/>
    <w:rsid w:val="00064382"/>
    <w:rsid w:val="000643D9"/>
    <w:rsid w:val="00064414"/>
    <w:rsid w:val="00064C65"/>
    <w:rsid w:val="00064DA5"/>
    <w:rsid w:val="00065B53"/>
    <w:rsid w:val="00065E1A"/>
    <w:rsid w:val="00066634"/>
    <w:rsid w:val="000666AB"/>
    <w:rsid w:val="000679BA"/>
    <w:rsid w:val="00067E77"/>
    <w:rsid w:val="000703E7"/>
    <w:rsid w:val="0007056F"/>
    <w:rsid w:val="00070C0B"/>
    <w:rsid w:val="00071049"/>
    <w:rsid w:val="0007181A"/>
    <w:rsid w:val="00071B0F"/>
    <w:rsid w:val="00072083"/>
    <w:rsid w:val="00072188"/>
    <w:rsid w:val="00073111"/>
    <w:rsid w:val="00073D45"/>
    <w:rsid w:val="00074316"/>
    <w:rsid w:val="0007663D"/>
    <w:rsid w:val="00076D2A"/>
    <w:rsid w:val="0007700D"/>
    <w:rsid w:val="000777DC"/>
    <w:rsid w:val="00077D6A"/>
    <w:rsid w:val="000815C2"/>
    <w:rsid w:val="00081639"/>
    <w:rsid w:val="00081FE4"/>
    <w:rsid w:val="000824F9"/>
    <w:rsid w:val="00082CA2"/>
    <w:rsid w:val="00083A72"/>
    <w:rsid w:val="00083CC1"/>
    <w:rsid w:val="00083DBF"/>
    <w:rsid w:val="0008433F"/>
    <w:rsid w:val="0008692A"/>
    <w:rsid w:val="00086BF6"/>
    <w:rsid w:val="000870DF"/>
    <w:rsid w:val="000875A5"/>
    <w:rsid w:val="00090372"/>
    <w:rsid w:val="000905B9"/>
    <w:rsid w:val="00090A0D"/>
    <w:rsid w:val="00090D5B"/>
    <w:rsid w:val="00090DB6"/>
    <w:rsid w:val="00091E54"/>
    <w:rsid w:val="00092758"/>
    <w:rsid w:val="000934BF"/>
    <w:rsid w:val="00093712"/>
    <w:rsid w:val="00093B0A"/>
    <w:rsid w:val="00093B75"/>
    <w:rsid w:val="00093EDE"/>
    <w:rsid w:val="000952C3"/>
    <w:rsid w:val="00095386"/>
    <w:rsid w:val="000953CF"/>
    <w:rsid w:val="00095E77"/>
    <w:rsid w:val="00095E85"/>
    <w:rsid w:val="00096E11"/>
    <w:rsid w:val="00097396"/>
    <w:rsid w:val="000979BE"/>
    <w:rsid w:val="00097AE6"/>
    <w:rsid w:val="00097D91"/>
    <w:rsid w:val="000A0667"/>
    <w:rsid w:val="000A1131"/>
    <w:rsid w:val="000A125C"/>
    <w:rsid w:val="000A14BA"/>
    <w:rsid w:val="000A30F4"/>
    <w:rsid w:val="000A32FF"/>
    <w:rsid w:val="000A34D2"/>
    <w:rsid w:val="000A558C"/>
    <w:rsid w:val="000A5B56"/>
    <w:rsid w:val="000A5DEE"/>
    <w:rsid w:val="000A6FB6"/>
    <w:rsid w:val="000A7544"/>
    <w:rsid w:val="000A7D8B"/>
    <w:rsid w:val="000B0374"/>
    <w:rsid w:val="000B03E7"/>
    <w:rsid w:val="000B0459"/>
    <w:rsid w:val="000B0E33"/>
    <w:rsid w:val="000B1213"/>
    <w:rsid w:val="000B22EF"/>
    <w:rsid w:val="000B251A"/>
    <w:rsid w:val="000B3637"/>
    <w:rsid w:val="000B38B5"/>
    <w:rsid w:val="000B4605"/>
    <w:rsid w:val="000B5AC0"/>
    <w:rsid w:val="000B5DF3"/>
    <w:rsid w:val="000B6284"/>
    <w:rsid w:val="000B68A5"/>
    <w:rsid w:val="000B6E90"/>
    <w:rsid w:val="000B7B12"/>
    <w:rsid w:val="000C0110"/>
    <w:rsid w:val="000C053A"/>
    <w:rsid w:val="000C1B01"/>
    <w:rsid w:val="000C23C3"/>
    <w:rsid w:val="000C2547"/>
    <w:rsid w:val="000C2F78"/>
    <w:rsid w:val="000C3188"/>
    <w:rsid w:val="000C37DE"/>
    <w:rsid w:val="000C38C0"/>
    <w:rsid w:val="000C3AAE"/>
    <w:rsid w:val="000C3B91"/>
    <w:rsid w:val="000C3C60"/>
    <w:rsid w:val="000C4E29"/>
    <w:rsid w:val="000C573D"/>
    <w:rsid w:val="000C5A20"/>
    <w:rsid w:val="000C5DDA"/>
    <w:rsid w:val="000C5F9B"/>
    <w:rsid w:val="000C658C"/>
    <w:rsid w:val="000C6682"/>
    <w:rsid w:val="000C66A7"/>
    <w:rsid w:val="000C6A63"/>
    <w:rsid w:val="000C6AF1"/>
    <w:rsid w:val="000D1C8E"/>
    <w:rsid w:val="000D1DA9"/>
    <w:rsid w:val="000D1FE5"/>
    <w:rsid w:val="000D21DE"/>
    <w:rsid w:val="000D2485"/>
    <w:rsid w:val="000D28A7"/>
    <w:rsid w:val="000D3D04"/>
    <w:rsid w:val="000D45B8"/>
    <w:rsid w:val="000D4870"/>
    <w:rsid w:val="000D53F0"/>
    <w:rsid w:val="000D5999"/>
    <w:rsid w:val="000D59FF"/>
    <w:rsid w:val="000D6B42"/>
    <w:rsid w:val="000D6B6F"/>
    <w:rsid w:val="000D7001"/>
    <w:rsid w:val="000D7097"/>
    <w:rsid w:val="000D778B"/>
    <w:rsid w:val="000D7ACE"/>
    <w:rsid w:val="000E05E9"/>
    <w:rsid w:val="000E19C2"/>
    <w:rsid w:val="000E1DBC"/>
    <w:rsid w:val="000E3167"/>
    <w:rsid w:val="000E3AF9"/>
    <w:rsid w:val="000E3D5B"/>
    <w:rsid w:val="000E4507"/>
    <w:rsid w:val="000E4872"/>
    <w:rsid w:val="000E4EE6"/>
    <w:rsid w:val="000E515B"/>
    <w:rsid w:val="000E716D"/>
    <w:rsid w:val="000E7229"/>
    <w:rsid w:val="000E753F"/>
    <w:rsid w:val="000E79E3"/>
    <w:rsid w:val="000E7E50"/>
    <w:rsid w:val="000F0214"/>
    <w:rsid w:val="000F06FE"/>
    <w:rsid w:val="000F1A92"/>
    <w:rsid w:val="000F2610"/>
    <w:rsid w:val="000F323F"/>
    <w:rsid w:val="000F3ADD"/>
    <w:rsid w:val="000F4B14"/>
    <w:rsid w:val="000F4E45"/>
    <w:rsid w:val="000F5869"/>
    <w:rsid w:val="000F5B0F"/>
    <w:rsid w:val="000F5DDC"/>
    <w:rsid w:val="000F6439"/>
    <w:rsid w:val="000F76D3"/>
    <w:rsid w:val="000F7964"/>
    <w:rsid w:val="000F7C92"/>
    <w:rsid w:val="00100061"/>
    <w:rsid w:val="00100090"/>
    <w:rsid w:val="001009F2"/>
    <w:rsid w:val="00100A37"/>
    <w:rsid w:val="00100BF4"/>
    <w:rsid w:val="00100CDF"/>
    <w:rsid w:val="00100EE8"/>
    <w:rsid w:val="00101E76"/>
    <w:rsid w:val="00102C52"/>
    <w:rsid w:val="00102D2A"/>
    <w:rsid w:val="001036B9"/>
    <w:rsid w:val="00103EE5"/>
    <w:rsid w:val="00104891"/>
    <w:rsid w:val="00104DC9"/>
    <w:rsid w:val="00104F57"/>
    <w:rsid w:val="00105A96"/>
    <w:rsid w:val="00106331"/>
    <w:rsid w:val="0010650E"/>
    <w:rsid w:val="00106D3A"/>
    <w:rsid w:val="00107663"/>
    <w:rsid w:val="0010791B"/>
    <w:rsid w:val="00107F90"/>
    <w:rsid w:val="00110FAB"/>
    <w:rsid w:val="001112C0"/>
    <w:rsid w:val="00112718"/>
    <w:rsid w:val="00112E06"/>
    <w:rsid w:val="00112FF6"/>
    <w:rsid w:val="00113614"/>
    <w:rsid w:val="001136CF"/>
    <w:rsid w:val="001144AC"/>
    <w:rsid w:val="001146E6"/>
    <w:rsid w:val="00114C29"/>
    <w:rsid w:val="00115FC2"/>
    <w:rsid w:val="001166E6"/>
    <w:rsid w:val="0011747F"/>
    <w:rsid w:val="00120447"/>
    <w:rsid w:val="001205D8"/>
    <w:rsid w:val="001209CE"/>
    <w:rsid w:val="00120A68"/>
    <w:rsid w:val="0012137F"/>
    <w:rsid w:val="001214F9"/>
    <w:rsid w:val="00121D7B"/>
    <w:rsid w:val="001227FF"/>
    <w:rsid w:val="00122DCD"/>
    <w:rsid w:val="001237E1"/>
    <w:rsid w:val="001239A5"/>
    <w:rsid w:val="00123CE1"/>
    <w:rsid w:val="0012585F"/>
    <w:rsid w:val="00125B4E"/>
    <w:rsid w:val="00125BEA"/>
    <w:rsid w:val="00127A5B"/>
    <w:rsid w:val="00127CAE"/>
    <w:rsid w:val="00127D37"/>
    <w:rsid w:val="00127DC6"/>
    <w:rsid w:val="001300AE"/>
    <w:rsid w:val="00130B26"/>
    <w:rsid w:val="00130CB8"/>
    <w:rsid w:val="00130E24"/>
    <w:rsid w:val="00131078"/>
    <w:rsid w:val="001310F7"/>
    <w:rsid w:val="00131289"/>
    <w:rsid w:val="00131C09"/>
    <w:rsid w:val="00131E05"/>
    <w:rsid w:val="00132069"/>
    <w:rsid w:val="0013239D"/>
    <w:rsid w:val="00132636"/>
    <w:rsid w:val="00132F88"/>
    <w:rsid w:val="0013319A"/>
    <w:rsid w:val="00134704"/>
    <w:rsid w:val="00134B32"/>
    <w:rsid w:val="00134D97"/>
    <w:rsid w:val="0013513F"/>
    <w:rsid w:val="0013564F"/>
    <w:rsid w:val="00135E6E"/>
    <w:rsid w:val="001377CD"/>
    <w:rsid w:val="001379D6"/>
    <w:rsid w:val="00137CEB"/>
    <w:rsid w:val="00140888"/>
    <w:rsid w:val="0014097A"/>
    <w:rsid w:val="00140E34"/>
    <w:rsid w:val="00141015"/>
    <w:rsid w:val="001415CA"/>
    <w:rsid w:val="00142589"/>
    <w:rsid w:val="001425F9"/>
    <w:rsid w:val="001428A9"/>
    <w:rsid w:val="00142913"/>
    <w:rsid w:val="00143576"/>
    <w:rsid w:val="001440BB"/>
    <w:rsid w:val="0014418A"/>
    <w:rsid w:val="00144A2C"/>
    <w:rsid w:val="0014566A"/>
    <w:rsid w:val="00145FF4"/>
    <w:rsid w:val="001461DD"/>
    <w:rsid w:val="00147749"/>
    <w:rsid w:val="00147C30"/>
    <w:rsid w:val="00150CEE"/>
    <w:rsid w:val="00151014"/>
    <w:rsid w:val="001512C4"/>
    <w:rsid w:val="00152610"/>
    <w:rsid w:val="00152AA4"/>
    <w:rsid w:val="00152E74"/>
    <w:rsid w:val="00153727"/>
    <w:rsid w:val="00154256"/>
    <w:rsid w:val="00154ED2"/>
    <w:rsid w:val="00155A40"/>
    <w:rsid w:val="00155DB8"/>
    <w:rsid w:val="001568E5"/>
    <w:rsid w:val="00157CA1"/>
    <w:rsid w:val="001602B6"/>
    <w:rsid w:val="00160724"/>
    <w:rsid w:val="001616B3"/>
    <w:rsid w:val="00161FDA"/>
    <w:rsid w:val="001621CB"/>
    <w:rsid w:val="00163378"/>
    <w:rsid w:val="00163D05"/>
    <w:rsid w:val="00165136"/>
    <w:rsid w:val="0016618A"/>
    <w:rsid w:val="001669CB"/>
    <w:rsid w:val="00166ED1"/>
    <w:rsid w:val="00167B78"/>
    <w:rsid w:val="00167FBD"/>
    <w:rsid w:val="001701C2"/>
    <w:rsid w:val="00170909"/>
    <w:rsid w:val="00170F09"/>
    <w:rsid w:val="00172771"/>
    <w:rsid w:val="00172807"/>
    <w:rsid w:val="00173285"/>
    <w:rsid w:val="00173730"/>
    <w:rsid w:val="001746CF"/>
    <w:rsid w:val="0017479A"/>
    <w:rsid w:val="00174D35"/>
    <w:rsid w:val="00175861"/>
    <w:rsid w:val="00176331"/>
    <w:rsid w:val="001763E1"/>
    <w:rsid w:val="001765BE"/>
    <w:rsid w:val="00176BD9"/>
    <w:rsid w:val="00177CBE"/>
    <w:rsid w:val="00180486"/>
    <w:rsid w:val="00181387"/>
    <w:rsid w:val="00181440"/>
    <w:rsid w:val="001817DF"/>
    <w:rsid w:val="001818CD"/>
    <w:rsid w:val="00181DAB"/>
    <w:rsid w:val="00182142"/>
    <w:rsid w:val="001822C0"/>
    <w:rsid w:val="00182B2B"/>
    <w:rsid w:val="00183CB4"/>
    <w:rsid w:val="0018404E"/>
    <w:rsid w:val="001842C5"/>
    <w:rsid w:val="00184561"/>
    <w:rsid w:val="00184C5D"/>
    <w:rsid w:val="00184DB6"/>
    <w:rsid w:val="001851C5"/>
    <w:rsid w:val="00185903"/>
    <w:rsid w:val="0018623F"/>
    <w:rsid w:val="0018644E"/>
    <w:rsid w:val="001871C1"/>
    <w:rsid w:val="00187529"/>
    <w:rsid w:val="00187609"/>
    <w:rsid w:val="00190C2A"/>
    <w:rsid w:val="00190F87"/>
    <w:rsid w:val="001911D6"/>
    <w:rsid w:val="001917E6"/>
    <w:rsid w:val="00191E2F"/>
    <w:rsid w:val="00191F28"/>
    <w:rsid w:val="00192D2E"/>
    <w:rsid w:val="00193500"/>
    <w:rsid w:val="001935A6"/>
    <w:rsid w:val="0019395F"/>
    <w:rsid w:val="00193B2E"/>
    <w:rsid w:val="00193FCC"/>
    <w:rsid w:val="0019506C"/>
    <w:rsid w:val="0019568E"/>
    <w:rsid w:val="001956A5"/>
    <w:rsid w:val="00195820"/>
    <w:rsid w:val="00196ED0"/>
    <w:rsid w:val="001A0B7A"/>
    <w:rsid w:val="001A1714"/>
    <w:rsid w:val="001A206C"/>
    <w:rsid w:val="001A2B59"/>
    <w:rsid w:val="001A323D"/>
    <w:rsid w:val="001A4F41"/>
    <w:rsid w:val="001A4FD4"/>
    <w:rsid w:val="001A5BB8"/>
    <w:rsid w:val="001B1213"/>
    <w:rsid w:val="001B13F6"/>
    <w:rsid w:val="001B28EE"/>
    <w:rsid w:val="001B2A07"/>
    <w:rsid w:val="001B2DB8"/>
    <w:rsid w:val="001B3779"/>
    <w:rsid w:val="001B4F02"/>
    <w:rsid w:val="001B53E8"/>
    <w:rsid w:val="001B5FB8"/>
    <w:rsid w:val="001B6E7E"/>
    <w:rsid w:val="001B769A"/>
    <w:rsid w:val="001B7893"/>
    <w:rsid w:val="001C05F3"/>
    <w:rsid w:val="001C063F"/>
    <w:rsid w:val="001C09B7"/>
    <w:rsid w:val="001C1137"/>
    <w:rsid w:val="001C114C"/>
    <w:rsid w:val="001C255A"/>
    <w:rsid w:val="001C2879"/>
    <w:rsid w:val="001C2929"/>
    <w:rsid w:val="001C3A35"/>
    <w:rsid w:val="001C3CD2"/>
    <w:rsid w:val="001C41BF"/>
    <w:rsid w:val="001C458A"/>
    <w:rsid w:val="001C536E"/>
    <w:rsid w:val="001C71FE"/>
    <w:rsid w:val="001C7832"/>
    <w:rsid w:val="001D0DE3"/>
    <w:rsid w:val="001D3CF4"/>
    <w:rsid w:val="001D3D0C"/>
    <w:rsid w:val="001D3EF6"/>
    <w:rsid w:val="001D43CF"/>
    <w:rsid w:val="001D613A"/>
    <w:rsid w:val="001D6160"/>
    <w:rsid w:val="001D643D"/>
    <w:rsid w:val="001D6CA1"/>
    <w:rsid w:val="001D7207"/>
    <w:rsid w:val="001D7400"/>
    <w:rsid w:val="001E0043"/>
    <w:rsid w:val="001E0396"/>
    <w:rsid w:val="001E03D5"/>
    <w:rsid w:val="001E0767"/>
    <w:rsid w:val="001E1362"/>
    <w:rsid w:val="001E2B72"/>
    <w:rsid w:val="001E2CFF"/>
    <w:rsid w:val="001E2D07"/>
    <w:rsid w:val="001E3030"/>
    <w:rsid w:val="001E3891"/>
    <w:rsid w:val="001E3931"/>
    <w:rsid w:val="001E3F19"/>
    <w:rsid w:val="001E41CF"/>
    <w:rsid w:val="001E4412"/>
    <w:rsid w:val="001E46DD"/>
    <w:rsid w:val="001E49D2"/>
    <w:rsid w:val="001E4FCB"/>
    <w:rsid w:val="001E57FC"/>
    <w:rsid w:val="001E661B"/>
    <w:rsid w:val="001E6864"/>
    <w:rsid w:val="001F00BD"/>
    <w:rsid w:val="001F0FFE"/>
    <w:rsid w:val="001F165D"/>
    <w:rsid w:val="001F278A"/>
    <w:rsid w:val="001F3899"/>
    <w:rsid w:val="001F39DB"/>
    <w:rsid w:val="001F3ABE"/>
    <w:rsid w:val="001F4758"/>
    <w:rsid w:val="001F49D3"/>
    <w:rsid w:val="001F4A91"/>
    <w:rsid w:val="001F53F5"/>
    <w:rsid w:val="001F5D8B"/>
    <w:rsid w:val="001F7015"/>
    <w:rsid w:val="001F7B16"/>
    <w:rsid w:val="001F7DD7"/>
    <w:rsid w:val="002000EF"/>
    <w:rsid w:val="002003C5"/>
    <w:rsid w:val="00200544"/>
    <w:rsid w:val="0020069C"/>
    <w:rsid w:val="00201492"/>
    <w:rsid w:val="0020158B"/>
    <w:rsid w:val="0020160F"/>
    <w:rsid w:val="00202674"/>
    <w:rsid w:val="00202EE5"/>
    <w:rsid w:val="00202F01"/>
    <w:rsid w:val="0020377F"/>
    <w:rsid w:val="00203796"/>
    <w:rsid w:val="00204423"/>
    <w:rsid w:val="00204589"/>
    <w:rsid w:val="00205223"/>
    <w:rsid w:val="002054EE"/>
    <w:rsid w:val="002055AE"/>
    <w:rsid w:val="00205DC2"/>
    <w:rsid w:val="00206083"/>
    <w:rsid w:val="002060C3"/>
    <w:rsid w:val="00206EA1"/>
    <w:rsid w:val="00207743"/>
    <w:rsid w:val="00207B9C"/>
    <w:rsid w:val="00210983"/>
    <w:rsid w:val="00211523"/>
    <w:rsid w:val="002124DE"/>
    <w:rsid w:val="00212DC9"/>
    <w:rsid w:val="002133DC"/>
    <w:rsid w:val="0021356A"/>
    <w:rsid w:val="002137FF"/>
    <w:rsid w:val="00213A98"/>
    <w:rsid w:val="00213BEE"/>
    <w:rsid w:val="00213CC3"/>
    <w:rsid w:val="00213E36"/>
    <w:rsid w:val="0021470D"/>
    <w:rsid w:val="0021545E"/>
    <w:rsid w:val="0021616D"/>
    <w:rsid w:val="00216282"/>
    <w:rsid w:val="00217285"/>
    <w:rsid w:val="00220E1A"/>
    <w:rsid w:val="002212B3"/>
    <w:rsid w:val="00221646"/>
    <w:rsid w:val="002220A4"/>
    <w:rsid w:val="00222C73"/>
    <w:rsid w:val="00222FFE"/>
    <w:rsid w:val="002232B3"/>
    <w:rsid w:val="00223355"/>
    <w:rsid w:val="002233B2"/>
    <w:rsid w:val="00223437"/>
    <w:rsid w:val="002234FC"/>
    <w:rsid w:val="00224054"/>
    <w:rsid w:val="002266BF"/>
    <w:rsid w:val="00227217"/>
    <w:rsid w:val="002275F5"/>
    <w:rsid w:val="00227654"/>
    <w:rsid w:val="00227B8B"/>
    <w:rsid w:val="0023006C"/>
    <w:rsid w:val="0023070B"/>
    <w:rsid w:val="00231B73"/>
    <w:rsid w:val="0023259F"/>
    <w:rsid w:val="002338AA"/>
    <w:rsid w:val="00233E60"/>
    <w:rsid w:val="00234B19"/>
    <w:rsid w:val="00236276"/>
    <w:rsid w:val="002364C5"/>
    <w:rsid w:val="002367C1"/>
    <w:rsid w:val="002367D3"/>
    <w:rsid w:val="002374A4"/>
    <w:rsid w:val="002374BB"/>
    <w:rsid w:val="00237C9C"/>
    <w:rsid w:val="00240550"/>
    <w:rsid w:val="00241028"/>
    <w:rsid w:val="002412E2"/>
    <w:rsid w:val="00241357"/>
    <w:rsid w:val="00241836"/>
    <w:rsid w:val="00241C30"/>
    <w:rsid w:val="0024210D"/>
    <w:rsid w:val="002446F1"/>
    <w:rsid w:val="0024519B"/>
    <w:rsid w:val="00245B35"/>
    <w:rsid w:val="00246585"/>
    <w:rsid w:val="00246F07"/>
    <w:rsid w:val="00247A75"/>
    <w:rsid w:val="00247B81"/>
    <w:rsid w:val="00250253"/>
    <w:rsid w:val="002517C1"/>
    <w:rsid w:val="00252F2D"/>
    <w:rsid w:val="0025307F"/>
    <w:rsid w:val="002532E0"/>
    <w:rsid w:val="002537DA"/>
    <w:rsid w:val="0025413B"/>
    <w:rsid w:val="00254DC9"/>
    <w:rsid w:val="00254FD4"/>
    <w:rsid w:val="002550C7"/>
    <w:rsid w:val="00255369"/>
    <w:rsid w:val="002556EA"/>
    <w:rsid w:val="00255820"/>
    <w:rsid w:val="00256804"/>
    <w:rsid w:val="0025680F"/>
    <w:rsid w:val="00256DAD"/>
    <w:rsid w:val="00257216"/>
    <w:rsid w:val="00260D66"/>
    <w:rsid w:val="00260DAE"/>
    <w:rsid w:val="0026123F"/>
    <w:rsid w:val="00261741"/>
    <w:rsid w:val="00262D48"/>
    <w:rsid w:val="00263457"/>
    <w:rsid w:val="0026453B"/>
    <w:rsid w:val="002647F9"/>
    <w:rsid w:val="00264D10"/>
    <w:rsid w:val="00264D45"/>
    <w:rsid w:val="0026521D"/>
    <w:rsid w:val="00265803"/>
    <w:rsid w:val="00265BCD"/>
    <w:rsid w:val="002700B8"/>
    <w:rsid w:val="00270AAC"/>
    <w:rsid w:val="00270C09"/>
    <w:rsid w:val="00270FC9"/>
    <w:rsid w:val="0027190A"/>
    <w:rsid w:val="00271B1C"/>
    <w:rsid w:val="0027208B"/>
    <w:rsid w:val="00272E0E"/>
    <w:rsid w:val="00272E6D"/>
    <w:rsid w:val="0027369E"/>
    <w:rsid w:val="00273965"/>
    <w:rsid w:val="002743BA"/>
    <w:rsid w:val="002745F2"/>
    <w:rsid w:val="00274AF1"/>
    <w:rsid w:val="00274D04"/>
    <w:rsid w:val="002750B4"/>
    <w:rsid w:val="0027513B"/>
    <w:rsid w:val="00275970"/>
    <w:rsid w:val="00276C9C"/>
    <w:rsid w:val="00276E66"/>
    <w:rsid w:val="0027742F"/>
    <w:rsid w:val="00277B5C"/>
    <w:rsid w:val="00277E33"/>
    <w:rsid w:val="0028038B"/>
    <w:rsid w:val="002813C1"/>
    <w:rsid w:val="00282707"/>
    <w:rsid w:val="002835C3"/>
    <w:rsid w:val="00283A32"/>
    <w:rsid w:val="0028488E"/>
    <w:rsid w:val="00284BD2"/>
    <w:rsid w:val="002853EB"/>
    <w:rsid w:val="00285851"/>
    <w:rsid w:val="00285E48"/>
    <w:rsid w:val="00285FD9"/>
    <w:rsid w:val="00286057"/>
    <w:rsid w:val="00286541"/>
    <w:rsid w:val="0028719D"/>
    <w:rsid w:val="002871C3"/>
    <w:rsid w:val="0028794A"/>
    <w:rsid w:val="00287FD1"/>
    <w:rsid w:val="00290F63"/>
    <w:rsid w:val="00291704"/>
    <w:rsid w:val="0029173F"/>
    <w:rsid w:val="00291B53"/>
    <w:rsid w:val="00292735"/>
    <w:rsid w:val="0029411A"/>
    <w:rsid w:val="0029477E"/>
    <w:rsid w:val="00294DE7"/>
    <w:rsid w:val="00294EF9"/>
    <w:rsid w:val="00295176"/>
    <w:rsid w:val="0029537C"/>
    <w:rsid w:val="0029577A"/>
    <w:rsid w:val="002959A1"/>
    <w:rsid w:val="00296923"/>
    <w:rsid w:val="00296EB3"/>
    <w:rsid w:val="002975A2"/>
    <w:rsid w:val="00297E5F"/>
    <w:rsid w:val="002A0BA7"/>
    <w:rsid w:val="002A0D4E"/>
    <w:rsid w:val="002A119D"/>
    <w:rsid w:val="002A1885"/>
    <w:rsid w:val="002A2BAA"/>
    <w:rsid w:val="002A3625"/>
    <w:rsid w:val="002A4389"/>
    <w:rsid w:val="002A4EA0"/>
    <w:rsid w:val="002A4F0E"/>
    <w:rsid w:val="002A54E8"/>
    <w:rsid w:val="002A562D"/>
    <w:rsid w:val="002A5B6B"/>
    <w:rsid w:val="002A6043"/>
    <w:rsid w:val="002A6596"/>
    <w:rsid w:val="002A6703"/>
    <w:rsid w:val="002A67E6"/>
    <w:rsid w:val="002A6FA6"/>
    <w:rsid w:val="002A73B1"/>
    <w:rsid w:val="002A73DE"/>
    <w:rsid w:val="002A765B"/>
    <w:rsid w:val="002A7BB2"/>
    <w:rsid w:val="002B09E8"/>
    <w:rsid w:val="002B0C60"/>
    <w:rsid w:val="002B115D"/>
    <w:rsid w:val="002B1244"/>
    <w:rsid w:val="002B1CA1"/>
    <w:rsid w:val="002B21C9"/>
    <w:rsid w:val="002B2886"/>
    <w:rsid w:val="002B3268"/>
    <w:rsid w:val="002B39E6"/>
    <w:rsid w:val="002B3A7F"/>
    <w:rsid w:val="002B3DE8"/>
    <w:rsid w:val="002B3F7D"/>
    <w:rsid w:val="002B42AC"/>
    <w:rsid w:val="002B431B"/>
    <w:rsid w:val="002B4426"/>
    <w:rsid w:val="002B4539"/>
    <w:rsid w:val="002B460F"/>
    <w:rsid w:val="002B54CD"/>
    <w:rsid w:val="002B57B0"/>
    <w:rsid w:val="002B60EE"/>
    <w:rsid w:val="002B641E"/>
    <w:rsid w:val="002B7A12"/>
    <w:rsid w:val="002B7AAE"/>
    <w:rsid w:val="002B7F6A"/>
    <w:rsid w:val="002C02CA"/>
    <w:rsid w:val="002C06A8"/>
    <w:rsid w:val="002C073B"/>
    <w:rsid w:val="002C1321"/>
    <w:rsid w:val="002C13C6"/>
    <w:rsid w:val="002C18D0"/>
    <w:rsid w:val="002C1992"/>
    <w:rsid w:val="002C1CB5"/>
    <w:rsid w:val="002C1DAB"/>
    <w:rsid w:val="002C2532"/>
    <w:rsid w:val="002C31F0"/>
    <w:rsid w:val="002C4F24"/>
    <w:rsid w:val="002C55E1"/>
    <w:rsid w:val="002C5ECC"/>
    <w:rsid w:val="002C6C81"/>
    <w:rsid w:val="002C771C"/>
    <w:rsid w:val="002C7CFB"/>
    <w:rsid w:val="002D003E"/>
    <w:rsid w:val="002D0435"/>
    <w:rsid w:val="002D139B"/>
    <w:rsid w:val="002D1A14"/>
    <w:rsid w:val="002D1FAF"/>
    <w:rsid w:val="002D2F1D"/>
    <w:rsid w:val="002D3094"/>
    <w:rsid w:val="002D3440"/>
    <w:rsid w:val="002D3558"/>
    <w:rsid w:val="002D358F"/>
    <w:rsid w:val="002D3691"/>
    <w:rsid w:val="002D3D82"/>
    <w:rsid w:val="002D4604"/>
    <w:rsid w:val="002D4690"/>
    <w:rsid w:val="002D4EB5"/>
    <w:rsid w:val="002D527A"/>
    <w:rsid w:val="002D5A86"/>
    <w:rsid w:val="002D654D"/>
    <w:rsid w:val="002E01EA"/>
    <w:rsid w:val="002E0287"/>
    <w:rsid w:val="002E05B7"/>
    <w:rsid w:val="002E11EA"/>
    <w:rsid w:val="002E1842"/>
    <w:rsid w:val="002E2EBA"/>
    <w:rsid w:val="002E3329"/>
    <w:rsid w:val="002E377F"/>
    <w:rsid w:val="002E41E0"/>
    <w:rsid w:val="002E4585"/>
    <w:rsid w:val="002E4B31"/>
    <w:rsid w:val="002E4C62"/>
    <w:rsid w:val="002E4E9A"/>
    <w:rsid w:val="002E51FC"/>
    <w:rsid w:val="002E521A"/>
    <w:rsid w:val="002E53D9"/>
    <w:rsid w:val="002E6877"/>
    <w:rsid w:val="002E75B7"/>
    <w:rsid w:val="002F0601"/>
    <w:rsid w:val="002F0F20"/>
    <w:rsid w:val="002F1175"/>
    <w:rsid w:val="002F1752"/>
    <w:rsid w:val="002F1F3E"/>
    <w:rsid w:val="002F1FDC"/>
    <w:rsid w:val="002F2115"/>
    <w:rsid w:val="002F283D"/>
    <w:rsid w:val="002F5164"/>
    <w:rsid w:val="002F5B24"/>
    <w:rsid w:val="002F5B2E"/>
    <w:rsid w:val="002F5B5C"/>
    <w:rsid w:val="002F6C17"/>
    <w:rsid w:val="002F6C5B"/>
    <w:rsid w:val="002F6C6A"/>
    <w:rsid w:val="002F72C3"/>
    <w:rsid w:val="002F78F9"/>
    <w:rsid w:val="002F7C39"/>
    <w:rsid w:val="003002B9"/>
    <w:rsid w:val="00300BC2"/>
    <w:rsid w:val="003013B4"/>
    <w:rsid w:val="00301639"/>
    <w:rsid w:val="00302A24"/>
    <w:rsid w:val="00302A30"/>
    <w:rsid w:val="0030457C"/>
    <w:rsid w:val="003047DE"/>
    <w:rsid w:val="00304B1C"/>
    <w:rsid w:val="00305836"/>
    <w:rsid w:val="00305898"/>
    <w:rsid w:val="00305B44"/>
    <w:rsid w:val="003077A6"/>
    <w:rsid w:val="00307CBE"/>
    <w:rsid w:val="003101A2"/>
    <w:rsid w:val="003101FB"/>
    <w:rsid w:val="00310416"/>
    <w:rsid w:val="003106DE"/>
    <w:rsid w:val="003108D3"/>
    <w:rsid w:val="00310A2D"/>
    <w:rsid w:val="00310FA7"/>
    <w:rsid w:val="003113C8"/>
    <w:rsid w:val="0031182F"/>
    <w:rsid w:val="00311B43"/>
    <w:rsid w:val="0031247A"/>
    <w:rsid w:val="00312523"/>
    <w:rsid w:val="0031252B"/>
    <w:rsid w:val="0031299F"/>
    <w:rsid w:val="00313300"/>
    <w:rsid w:val="003133E3"/>
    <w:rsid w:val="003133EB"/>
    <w:rsid w:val="00313C51"/>
    <w:rsid w:val="003142EB"/>
    <w:rsid w:val="003147F2"/>
    <w:rsid w:val="00314CBA"/>
    <w:rsid w:val="00315119"/>
    <w:rsid w:val="0031539E"/>
    <w:rsid w:val="00315545"/>
    <w:rsid w:val="00315937"/>
    <w:rsid w:val="003159D8"/>
    <w:rsid w:val="003159F9"/>
    <w:rsid w:val="00315E8D"/>
    <w:rsid w:val="00316030"/>
    <w:rsid w:val="003160DD"/>
    <w:rsid w:val="00316D3A"/>
    <w:rsid w:val="00316EE8"/>
    <w:rsid w:val="003172AD"/>
    <w:rsid w:val="0031735B"/>
    <w:rsid w:val="0031784E"/>
    <w:rsid w:val="00320177"/>
    <w:rsid w:val="00320B9F"/>
    <w:rsid w:val="00320C23"/>
    <w:rsid w:val="00322D03"/>
    <w:rsid w:val="00323042"/>
    <w:rsid w:val="00323063"/>
    <w:rsid w:val="003235A6"/>
    <w:rsid w:val="00323C34"/>
    <w:rsid w:val="00324812"/>
    <w:rsid w:val="00324CDF"/>
    <w:rsid w:val="0032623F"/>
    <w:rsid w:val="00326286"/>
    <w:rsid w:val="00326515"/>
    <w:rsid w:val="003266C1"/>
    <w:rsid w:val="00332416"/>
    <w:rsid w:val="00332F35"/>
    <w:rsid w:val="00332FDC"/>
    <w:rsid w:val="0033360D"/>
    <w:rsid w:val="00333D9F"/>
    <w:rsid w:val="003344AF"/>
    <w:rsid w:val="00334BE3"/>
    <w:rsid w:val="00335496"/>
    <w:rsid w:val="003356EA"/>
    <w:rsid w:val="003356EC"/>
    <w:rsid w:val="003364AA"/>
    <w:rsid w:val="00336741"/>
    <w:rsid w:val="00337333"/>
    <w:rsid w:val="00337883"/>
    <w:rsid w:val="0033793D"/>
    <w:rsid w:val="00337A63"/>
    <w:rsid w:val="00337B55"/>
    <w:rsid w:val="00340259"/>
    <w:rsid w:val="00340E91"/>
    <w:rsid w:val="00341E62"/>
    <w:rsid w:val="003433C1"/>
    <w:rsid w:val="00343BF7"/>
    <w:rsid w:val="00343CF3"/>
    <w:rsid w:val="003442AD"/>
    <w:rsid w:val="00344ADF"/>
    <w:rsid w:val="00345AB3"/>
    <w:rsid w:val="00346975"/>
    <w:rsid w:val="00346B8D"/>
    <w:rsid w:val="00346E5C"/>
    <w:rsid w:val="00347CD5"/>
    <w:rsid w:val="00350C86"/>
    <w:rsid w:val="00350CD8"/>
    <w:rsid w:val="003511A8"/>
    <w:rsid w:val="003512FF"/>
    <w:rsid w:val="00351B93"/>
    <w:rsid w:val="00351C6B"/>
    <w:rsid w:val="00352E2F"/>
    <w:rsid w:val="0035349D"/>
    <w:rsid w:val="00353888"/>
    <w:rsid w:val="00353E87"/>
    <w:rsid w:val="00354729"/>
    <w:rsid w:val="00355FA4"/>
    <w:rsid w:val="00356A09"/>
    <w:rsid w:val="00356C0C"/>
    <w:rsid w:val="00356DEF"/>
    <w:rsid w:val="003575C0"/>
    <w:rsid w:val="00357A19"/>
    <w:rsid w:val="00357C29"/>
    <w:rsid w:val="00357CCF"/>
    <w:rsid w:val="00357E1B"/>
    <w:rsid w:val="00362464"/>
    <w:rsid w:val="0036345D"/>
    <w:rsid w:val="003637F6"/>
    <w:rsid w:val="00364104"/>
    <w:rsid w:val="00364506"/>
    <w:rsid w:val="003645B6"/>
    <w:rsid w:val="00364C38"/>
    <w:rsid w:val="00365A46"/>
    <w:rsid w:val="003669C8"/>
    <w:rsid w:val="003669FE"/>
    <w:rsid w:val="00370C1A"/>
    <w:rsid w:val="00372052"/>
    <w:rsid w:val="003721AB"/>
    <w:rsid w:val="00372649"/>
    <w:rsid w:val="00372DDE"/>
    <w:rsid w:val="003743F5"/>
    <w:rsid w:val="0037444C"/>
    <w:rsid w:val="00374479"/>
    <w:rsid w:val="00374655"/>
    <w:rsid w:val="003747DF"/>
    <w:rsid w:val="00374B23"/>
    <w:rsid w:val="00374F65"/>
    <w:rsid w:val="00375197"/>
    <w:rsid w:val="003754DC"/>
    <w:rsid w:val="00375B30"/>
    <w:rsid w:val="00376B76"/>
    <w:rsid w:val="003774C1"/>
    <w:rsid w:val="00377A0A"/>
    <w:rsid w:val="00377AB1"/>
    <w:rsid w:val="00377B31"/>
    <w:rsid w:val="00380110"/>
    <w:rsid w:val="00380FFF"/>
    <w:rsid w:val="0038122B"/>
    <w:rsid w:val="0038159F"/>
    <w:rsid w:val="00381A89"/>
    <w:rsid w:val="003827D2"/>
    <w:rsid w:val="0038291B"/>
    <w:rsid w:val="00382C7F"/>
    <w:rsid w:val="00382DE3"/>
    <w:rsid w:val="00382FFE"/>
    <w:rsid w:val="00383323"/>
    <w:rsid w:val="00383B7F"/>
    <w:rsid w:val="003864B8"/>
    <w:rsid w:val="0038766A"/>
    <w:rsid w:val="003878EE"/>
    <w:rsid w:val="00390142"/>
    <w:rsid w:val="0039055D"/>
    <w:rsid w:val="00391625"/>
    <w:rsid w:val="003916F3"/>
    <w:rsid w:val="00392338"/>
    <w:rsid w:val="0039395C"/>
    <w:rsid w:val="00393A3F"/>
    <w:rsid w:val="00393AAF"/>
    <w:rsid w:val="003948DD"/>
    <w:rsid w:val="00395616"/>
    <w:rsid w:val="0039565E"/>
    <w:rsid w:val="003956DC"/>
    <w:rsid w:val="00395DCE"/>
    <w:rsid w:val="00396702"/>
    <w:rsid w:val="00397361"/>
    <w:rsid w:val="0039784A"/>
    <w:rsid w:val="00397F6F"/>
    <w:rsid w:val="00397F7F"/>
    <w:rsid w:val="003A0209"/>
    <w:rsid w:val="003A0319"/>
    <w:rsid w:val="003A06F9"/>
    <w:rsid w:val="003A1008"/>
    <w:rsid w:val="003A1BC3"/>
    <w:rsid w:val="003A1E2E"/>
    <w:rsid w:val="003A1F2B"/>
    <w:rsid w:val="003A2F57"/>
    <w:rsid w:val="003A33A7"/>
    <w:rsid w:val="003A4D16"/>
    <w:rsid w:val="003A50CA"/>
    <w:rsid w:val="003A52E8"/>
    <w:rsid w:val="003A5483"/>
    <w:rsid w:val="003A5787"/>
    <w:rsid w:val="003A5A93"/>
    <w:rsid w:val="003A74DC"/>
    <w:rsid w:val="003B0886"/>
    <w:rsid w:val="003B0AE2"/>
    <w:rsid w:val="003B138C"/>
    <w:rsid w:val="003B1D00"/>
    <w:rsid w:val="003B3CE0"/>
    <w:rsid w:val="003B4635"/>
    <w:rsid w:val="003B543B"/>
    <w:rsid w:val="003B55D0"/>
    <w:rsid w:val="003B5E9F"/>
    <w:rsid w:val="003B6B13"/>
    <w:rsid w:val="003B706F"/>
    <w:rsid w:val="003B7CF1"/>
    <w:rsid w:val="003C0A3C"/>
    <w:rsid w:val="003C22DA"/>
    <w:rsid w:val="003C2D29"/>
    <w:rsid w:val="003C31EC"/>
    <w:rsid w:val="003C353E"/>
    <w:rsid w:val="003C387F"/>
    <w:rsid w:val="003C44AD"/>
    <w:rsid w:val="003C518F"/>
    <w:rsid w:val="003C5663"/>
    <w:rsid w:val="003C5B11"/>
    <w:rsid w:val="003C7120"/>
    <w:rsid w:val="003C7400"/>
    <w:rsid w:val="003C7FF3"/>
    <w:rsid w:val="003D03F5"/>
    <w:rsid w:val="003D0A0E"/>
    <w:rsid w:val="003D2ADC"/>
    <w:rsid w:val="003D451D"/>
    <w:rsid w:val="003D49B6"/>
    <w:rsid w:val="003D515B"/>
    <w:rsid w:val="003D537C"/>
    <w:rsid w:val="003D6B2B"/>
    <w:rsid w:val="003D7130"/>
    <w:rsid w:val="003D782C"/>
    <w:rsid w:val="003D7901"/>
    <w:rsid w:val="003D7BA2"/>
    <w:rsid w:val="003E0763"/>
    <w:rsid w:val="003E1940"/>
    <w:rsid w:val="003E33B0"/>
    <w:rsid w:val="003E33C1"/>
    <w:rsid w:val="003E36B1"/>
    <w:rsid w:val="003E37C8"/>
    <w:rsid w:val="003E38F4"/>
    <w:rsid w:val="003E3D50"/>
    <w:rsid w:val="003E4AF0"/>
    <w:rsid w:val="003E51D3"/>
    <w:rsid w:val="003E5455"/>
    <w:rsid w:val="003E5C2D"/>
    <w:rsid w:val="003E630E"/>
    <w:rsid w:val="003E77C6"/>
    <w:rsid w:val="003F0669"/>
    <w:rsid w:val="003F0C29"/>
    <w:rsid w:val="003F1294"/>
    <w:rsid w:val="003F1889"/>
    <w:rsid w:val="003F2EBE"/>
    <w:rsid w:val="003F345F"/>
    <w:rsid w:val="003F374B"/>
    <w:rsid w:val="003F3987"/>
    <w:rsid w:val="003F570B"/>
    <w:rsid w:val="003F5C12"/>
    <w:rsid w:val="003F60B6"/>
    <w:rsid w:val="003F6278"/>
    <w:rsid w:val="003F6567"/>
    <w:rsid w:val="003F6A9B"/>
    <w:rsid w:val="003F6C47"/>
    <w:rsid w:val="003F7BAD"/>
    <w:rsid w:val="003F7C78"/>
    <w:rsid w:val="00400022"/>
    <w:rsid w:val="00400833"/>
    <w:rsid w:val="00401304"/>
    <w:rsid w:val="004014D9"/>
    <w:rsid w:val="00401517"/>
    <w:rsid w:val="004017C1"/>
    <w:rsid w:val="00402ED9"/>
    <w:rsid w:val="0040433E"/>
    <w:rsid w:val="004046F0"/>
    <w:rsid w:val="004049E2"/>
    <w:rsid w:val="00405C1A"/>
    <w:rsid w:val="00406F42"/>
    <w:rsid w:val="004070B4"/>
    <w:rsid w:val="0040743D"/>
    <w:rsid w:val="00407CC5"/>
    <w:rsid w:val="00411254"/>
    <w:rsid w:val="00412CAE"/>
    <w:rsid w:val="0041490C"/>
    <w:rsid w:val="00415146"/>
    <w:rsid w:val="004153C1"/>
    <w:rsid w:val="00415425"/>
    <w:rsid w:val="004154F7"/>
    <w:rsid w:val="00415F21"/>
    <w:rsid w:val="00416357"/>
    <w:rsid w:val="0041680D"/>
    <w:rsid w:val="00416ED8"/>
    <w:rsid w:val="00416F4B"/>
    <w:rsid w:val="00420286"/>
    <w:rsid w:val="00421B7A"/>
    <w:rsid w:val="00421D71"/>
    <w:rsid w:val="00422BFC"/>
    <w:rsid w:val="00423299"/>
    <w:rsid w:val="004234E8"/>
    <w:rsid w:val="0042366C"/>
    <w:rsid w:val="00423D8F"/>
    <w:rsid w:val="004247F3"/>
    <w:rsid w:val="00424F95"/>
    <w:rsid w:val="00425117"/>
    <w:rsid w:val="00425373"/>
    <w:rsid w:val="00425383"/>
    <w:rsid w:val="004266C8"/>
    <w:rsid w:val="00426A50"/>
    <w:rsid w:val="00426AAA"/>
    <w:rsid w:val="004273FA"/>
    <w:rsid w:val="00427CA7"/>
    <w:rsid w:val="0043066D"/>
    <w:rsid w:val="00431F86"/>
    <w:rsid w:val="00432103"/>
    <w:rsid w:val="004322EC"/>
    <w:rsid w:val="004328BF"/>
    <w:rsid w:val="00432BF4"/>
    <w:rsid w:val="004337CA"/>
    <w:rsid w:val="00434082"/>
    <w:rsid w:val="0043497E"/>
    <w:rsid w:val="00434EE0"/>
    <w:rsid w:val="00435782"/>
    <w:rsid w:val="00435899"/>
    <w:rsid w:val="00435B08"/>
    <w:rsid w:val="0043604F"/>
    <w:rsid w:val="00436981"/>
    <w:rsid w:val="00436C24"/>
    <w:rsid w:val="0043743C"/>
    <w:rsid w:val="00437505"/>
    <w:rsid w:val="00437645"/>
    <w:rsid w:val="00440310"/>
    <w:rsid w:val="0044094D"/>
    <w:rsid w:val="00440F35"/>
    <w:rsid w:val="004419EF"/>
    <w:rsid w:val="00441EF0"/>
    <w:rsid w:val="00441F86"/>
    <w:rsid w:val="0044209D"/>
    <w:rsid w:val="00442BA3"/>
    <w:rsid w:val="004430AE"/>
    <w:rsid w:val="0044377D"/>
    <w:rsid w:val="004442FB"/>
    <w:rsid w:val="0044475E"/>
    <w:rsid w:val="004448BD"/>
    <w:rsid w:val="00444ACB"/>
    <w:rsid w:val="004452DA"/>
    <w:rsid w:val="004456B5"/>
    <w:rsid w:val="00445B5F"/>
    <w:rsid w:val="0044604A"/>
    <w:rsid w:val="00446299"/>
    <w:rsid w:val="0044681C"/>
    <w:rsid w:val="004469F6"/>
    <w:rsid w:val="00446AE3"/>
    <w:rsid w:val="00446F76"/>
    <w:rsid w:val="00447971"/>
    <w:rsid w:val="00450D59"/>
    <w:rsid w:val="004510BE"/>
    <w:rsid w:val="00451545"/>
    <w:rsid w:val="0045197A"/>
    <w:rsid w:val="00451C69"/>
    <w:rsid w:val="0045221C"/>
    <w:rsid w:val="00453739"/>
    <w:rsid w:val="00453AED"/>
    <w:rsid w:val="00453D55"/>
    <w:rsid w:val="00453EB9"/>
    <w:rsid w:val="00453FF4"/>
    <w:rsid w:val="00454ABF"/>
    <w:rsid w:val="00454F88"/>
    <w:rsid w:val="004561A6"/>
    <w:rsid w:val="004566D7"/>
    <w:rsid w:val="004601D0"/>
    <w:rsid w:val="004605E6"/>
    <w:rsid w:val="00460DC2"/>
    <w:rsid w:val="004610F4"/>
    <w:rsid w:val="0046194D"/>
    <w:rsid w:val="00461F28"/>
    <w:rsid w:val="00462CB7"/>
    <w:rsid w:val="00463143"/>
    <w:rsid w:val="004637BF"/>
    <w:rsid w:val="0046388F"/>
    <w:rsid w:val="00463FFE"/>
    <w:rsid w:val="00464634"/>
    <w:rsid w:val="00464CBF"/>
    <w:rsid w:val="00464D17"/>
    <w:rsid w:val="0046584B"/>
    <w:rsid w:val="00465908"/>
    <w:rsid w:val="00465FB0"/>
    <w:rsid w:val="0046601F"/>
    <w:rsid w:val="00470E55"/>
    <w:rsid w:val="004712FD"/>
    <w:rsid w:val="00471917"/>
    <w:rsid w:val="00471D82"/>
    <w:rsid w:val="004723E6"/>
    <w:rsid w:val="004724CC"/>
    <w:rsid w:val="00472A7E"/>
    <w:rsid w:val="004739BE"/>
    <w:rsid w:val="00474298"/>
    <w:rsid w:val="004744EB"/>
    <w:rsid w:val="004748CE"/>
    <w:rsid w:val="004749B7"/>
    <w:rsid w:val="00475567"/>
    <w:rsid w:val="004757B0"/>
    <w:rsid w:val="004758E3"/>
    <w:rsid w:val="00476287"/>
    <w:rsid w:val="00476817"/>
    <w:rsid w:val="00477E50"/>
    <w:rsid w:val="00480190"/>
    <w:rsid w:val="00480D4C"/>
    <w:rsid w:val="004812DF"/>
    <w:rsid w:val="00481C4B"/>
    <w:rsid w:val="004820E9"/>
    <w:rsid w:val="004824B4"/>
    <w:rsid w:val="00482673"/>
    <w:rsid w:val="00482B24"/>
    <w:rsid w:val="00482BBD"/>
    <w:rsid w:val="00483507"/>
    <w:rsid w:val="0048362F"/>
    <w:rsid w:val="004838A6"/>
    <w:rsid w:val="00483AED"/>
    <w:rsid w:val="00484A86"/>
    <w:rsid w:val="00484B1C"/>
    <w:rsid w:val="00485324"/>
    <w:rsid w:val="004854F1"/>
    <w:rsid w:val="00485599"/>
    <w:rsid w:val="00487620"/>
    <w:rsid w:val="00487F41"/>
    <w:rsid w:val="00491F65"/>
    <w:rsid w:val="0049293E"/>
    <w:rsid w:val="00493F26"/>
    <w:rsid w:val="004954B0"/>
    <w:rsid w:val="00495B79"/>
    <w:rsid w:val="00495CC0"/>
    <w:rsid w:val="00496380"/>
    <w:rsid w:val="004963DC"/>
    <w:rsid w:val="00496844"/>
    <w:rsid w:val="0049684F"/>
    <w:rsid w:val="004969BA"/>
    <w:rsid w:val="00496C4E"/>
    <w:rsid w:val="004970C2"/>
    <w:rsid w:val="004972D3"/>
    <w:rsid w:val="004A0003"/>
    <w:rsid w:val="004A0B4F"/>
    <w:rsid w:val="004A0D1D"/>
    <w:rsid w:val="004A0D53"/>
    <w:rsid w:val="004A11E2"/>
    <w:rsid w:val="004A150D"/>
    <w:rsid w:val="004A151A"/>
    <w:rsid w:val="004A1994"/>
    <w:rsid w:val="004A2343"/>
    <w:rsid w:val="004A307F"/>
    <w:rsid w:val="004A3482"/>
    <w:rsid w:val="004A376B"/>
    <w:rsid w:val="004A382D"/>
    <w:rsid w:val="004A3AAE"/>
    <w:rsid w:val="004A46ED"/>
    <w:rsid w:val="004A5235"/>
    <w:rsid w:val="004A554E"/>
    <w:rsid w:val="004A5750"/>
    <w:rsid w:val="004A601E"/>
    <w:rsid w:val="004A6831"/>
    <w:rsid w:val="004A6E76"/>
    <w:rsid w:val="004A7E72"/>
    <w:rsid w:val="004B0738"/>
    <w:rsid w:val="004B09FA"/>
    <w:rsid w:val="004B0C72"/>
    <w:rsid w:val="004B13AD"/>
    <w:rsid w:val="004B2002"/>
    <w:rsid w:val="004B2624"/>
    <w:rsid w:val="004B2B70"/>
    <w:rsid w:val="004B2B73"/>
    <w:rsid w:val="004B321D"/>
    <w:rsid w:val="004B35BF"/>
    <w:rsid w:val="004B4053"/>
    <w:rsid w:val="004B4425"/>
    <w:rsid w:val="004B4C14"/>
    <w:rsid w:val="004B50F8"/>
    <w:rsid w:val="004B5E17"/>
    <w:rsid w:val="004B669E"/>
    <w:rsid w:val="004B678E"/>
    <w:rsid w:val="004B6B04"/>
    <w:rsid w:val="004B7299"/>
    <w:rsid w:val="004B7346"/>
    <w:rsid w:val="004C0689"/>
    <w:rsid w:val="004C0C84"/>
    <w:rsid w:val="004C1287"/>
    <w:rsid w:val="004C13D4"/>
    <w:rsid w:val="004C1AD1"/>
    <w:rsid w:val="004C2C18"/>
    <w:rsid w:val="004C3225"/>
    <w:rsid w:val="004C3890"/>
    <w:rsid w:val="004C39E2"/>
    <w:rsid w:val="004C3C6B"/>
    <w:rsid w:val="004C40C9"/>
    <w:rsid w:val="004C4473"/>
    <w:rsid w:val="004C5616"/>
    <w:rsid w:val="004C5A2C"/>
    <w:rsid w:val="004C5BE4"/>
    <w:rsid w:val="004C668B"/>
    <w:rsid w:val="004C66E7"/>
    <w:rsid w:val="004C68AF"/>
    <w:rsid w:val="004C7AB6"/>
    <w:rsid w:val="004D0C59"/>
    <w:rsid w:val="004D0D68"/>
    <w:rsid w:val="004D234D"/>
    <w:rsid w:val="004D24B0"/>
    <w:rsid w:val="004D2D48"/>
    <w:rsid w:val="004D37BC"/>
    <w:rsid w:val="004D4156"/>
    <w:rsid w:val="004D4D37"/>
    <w:rsid w:val="004D5E0D"/>
    <w:rsid w:val="004D5F30"/>
    <w:rsid w:val="004D6092"/>
    <w:rsid w:val="004D6635"/>
    <w:rsid w:val="004D6B82"/>
    <w:rsid w:val="004D6D11"/>
    <w:rsid w:val="004D6DB6"/>
    <w:rsid w:val="004D6DF8"/>
    <w:rsid w:val="004D73A2"/>
    <w:rsid w:val="004D7D43"/>
    <w:rsid w:val="004E088E"/>
    <w:rsid w:val="004E0B3B"/>
    <w:rsid w:val="004E10AA"/>
    <w:rsid w:val="004E1553"/>
    <w:rsid w:val="004E175F"/>
    <w:rsid w:val="004E1FFD"/>
    <w:rsid w:val="004E2F50"/>
    <w:rsid w:val="004E3319"/>
    <w:rsid w:val="004E34A2"/>
    <w:rsid w:val="004E373F"/>
    <w:rsid w:val="004E387A"/>
    <w:rsid w:val="004E459B"/>
    <w:rsid w:val="004E5261"/>
    <w:rsid w:val="004E5A11"/>
    <w:rsid w:val="004E5B8B"/>
    <w:rsid w:val="004E5C67"/>
    <w:rsid w:val="004E6402"/>
    <w:rsid w:val="004E699E"/>
    <w:rsid w:val="004E70FF"/>
    <w:rsid w:val="004E71A0"/>
    <w:rsid w:val="004E7278"/>
    <w:rsid w:val="004E73F0"/>
    <w:rsid w:val="004F013F"/>
    <w:rsid w:val="004F0B8A"/>
    <w:rsid w:val="004F1073"/>
    <w:rsid w:val="004F1340"/>
    <w:rsid w:val="004F149F"/>
    <w:rsid w:val="004F1E8B"/>
    <w:rsid w:val="004F206F"/>
    <w:rsid w:val="004F30F0"/>
    <w:rsid w:val="004F3629"/>
    <w:rsid w:val="004F40B5"/>
    <w:rsid w:val="004F4BCD"/>
    <w:rsid w:val="004F5AB1"/>
    <w:rsid w:val="004F6CC9"/>
    <w:rsid w:val="004F7468"/>
    <w:rsid w:val="004F77C1"/>
    <w:rsid w:val="004F7B1C"/>
    <w:rsid w:val="005009D9"/>
    <w:rsid w:val="00501531"/>
    <w:rsid w:val="0050204F"/>
    <w:rsid w:val="00502D28"/>
    <w:rsid w:val="0050498E"/>
    <w:rsid w:val="00504D8C"/>
    <w:rsid w:val="00504EC6"/>
    <w:rsid w:val="00505567"/>
    <w:rsid w:val="0050581F"/>
    <w:rsid w:val="00505863"/>
    <w:rsid w:val="00506101"/>
    <w:rsid w:val="005072D8"/>
    <w:rsid w:val="005076B9"/>
    <w:rsid w:val="00510201"/>
    <w:rsid w:val="00511173"/>
    <w:rsid w:val="00511226"/>
    <w:rsid w:val="00511599"/>
    <w:rsid w:val="005127A8"/>
    <w:rsid w:val="00512FC2"/>
    <w:rsid w:val="0051381E"/>
    <w:rsid w:val="00513BC3"/>
    <w:rsid w:val="00513DBE"/>
    <w:rsid w:val="00514353"/>
    <w:rsid w:val="00514938"/>
    <w:rsid w:val="0051527E"/>
    <w:rsid w:val="00516503"/>
    <w:rsid w:val="00517369"/>
    <w:rsid w:val="00517E7F"/>
    <w:rsid w:val="0052047E"/>
    <w:rsid w:val="005207C7"/>
    <w:rsid w:val="00520D6F"/>
    <w:rsid w:val="00520E6A"/>
    <w:rsid w:val="0052140B"/>
    <w:rsid w:val="00521834"/>
    <w:rsid w:val="005222FB"/>
    <w:rsid w:val="005227D5"/>
    <w:rsid w:val="00522976"/>
    <w:rsid w:val="00522D1A"/>
    <w:rsid w:val="005237C5"/>
    <w:rsid w:val="00523A19"/>
    <w:rsid w:val="00524393"/>
    <w:rsid w:val="0052500F"/>
    <w:rsid w:val="00525061"/>
    <w:rsid w:val="005250D9"/>
    <w:rsid w:val="005253C3"/>
    <w:rsid w:val="00525EBC"/>
    <w:rsid w:val="00526997"/>
    <w:rsid w:val="00526DF2"/>
    <w:rsid w:val="00527C2E"/>
    <w:rsid w:val="00531184"/>
    <w:rsid w:val="005313E8"/>
    <w:rsid w:val="00531E3A"/>
    <w:rsid w:val="00531FB2"/>
    <w:rsid w:val="00532119"/>
    <w:rsid w:val="005327B8"/>
    <w:rsid w:val="00532E3F"/>
    <w:rsid w:val="0053371C"/>
    <w:rsid w:val="0053479B"/>
    <w:rsid w:val="005349A8"/>
    <w:rsid w:val="00534C80"/>
    <w:rsid w:val="00535011"/>
    <w:rsid w:val="00535D6C"/>
    <w:rsid w:val="00535F70"/>
    <w:rsid w:val="00535F84"/>
    <w:rsid w:val="0053658F"/>
    <w:rsid w:val="00536914"/>
    <w:rsid w:val="00536ADB"/>
    <w:rsid w:val="00536B48"/>
    <w:rsid w:val="00536B5C"/>
    <w:rsid w:val="00536DC1"/>
    <w:rsid w:val="00537150"/>
    <w:rsid w:val="0053738B"/>
    <w:rsid w:val="005377B7"/>
    <w:rsid w:val="00537B66"/>
    <w:rsid w:val="00537CA3"/>
    <w:rsid w:val="0054119E"/>
    <w:rsid w:val="00541522"/>
    <w:rsid w:val="005425A1"/>
    <w:rsid w:val="00542A31"/>
    <w:rsid w:val="00543118"/>
    <w:rsid w:val="0054356E"/>
    <w:rsid w:val="0054392C"/>
    <w:rsid w:val="005458EB"/>
    <w:rsid w:val="00546072"/>
    <w:rsid w:val="00546B0E"/>
    <w:rsid w:val="005474B9"/>
    <w:rsid w:val="005477ED"/>
    <w:rsid w:val="005478B4"/>
    <w:rsid w:val="005479F0"/>
    <w:rsid w:val="00550C8A"/>
    <w:rsid w:val="00551B09"/>
    <w:rsid w:val="00551CF0"/>
    <w:rsid w:val="00553BC2"/>
    <w:rsid w:val="00554650"/>
    <w:rsid w:val="005546CC"/>
    <w:rsid w:val="00555771"/>
    <w:rsid w:val="00556536"/>
    <w:rsid w:val="00556C43"/>
    <w:rsid w:val="005574BF"/>
    <w:rsid w:val="0056169E"/>
    <w:rsid w:val="00561F37"/>
    <w:rsid w:val="00562ABD"/>
    <w:rsid w:val="00562CFE"/>
    <w:rsid w:val="00563949"/>
    <w:rsid w:val="00563D5E"/>
    <w:rsid w:val="0056457C"/>
    <w:rsid w:val="00564E18"/>
    <w:rsid w:val="00565585"/>
    <w:rsid w:val="00567AAD"/>
    <w:rsid w:val="00567AC9"/>
    <w:rsid w:val="00567F62"/>
    <w:rsid w:val="00570428"/>
    <w:rsid w:val="00570B76"/>
    <w:rsid w:val="00570BDC"/>
    <w:rsid w:val="00570DFB"/>
    <w:rsid w:val="005711FD"/>
    <w:rsid w:val="00573FA2"/>
    <w:rsid w:val="005745FE"/>
    <w:rsid w:val="00575A06"/>
    <w:rsid w:val="00576557"/>
    <w:rsid w:val="0057734F"/>
    <w:rsid w:val="00577681"/>
    <w:rsid w:val="0058059D"/>
    <w:rsid w:val="005806A6"/>
    <w:rsid w:val="005807D7"/>
    <w:rsid w:val="00580C77"/>
    <w:rsid w:val="005812EA"/>
    <w:rsid w:val="005817C2"/>
    <w:rsid w:val="00581A7A"/>
    <w:rsid w:val="00581AD8"/>
    <w:rsid w:val="00581E4E"/>
    <w:rsid w:val="00582DA9"/>
    <w:rsid w:val="00582E1F"/>
    <w:rsid w:val="005841AB"/>
    <w:rsid w:val="005842FE"/>
    <w:rsid w:val="005843D3"/>
    <w:rsid w:val="0058458B"/>
    <w:rsid w:val="00584E48"/>
    <w:rsid w:val="00585191"/>
    <w:rsid w:val="00586B85"/>
    <w:rsid w:val="0058728D"/>
    <w:rsid w:val="00587CA7"/>
    <w:rsid w:val="00590A50"/>
    <w:rsid w:val="00591140"/>
    <w:rsid w:val="005914DB"/>
    <w:rsid w:val="00591B5F"/>
    <w:rsid w:val="00592270"/>
    <w:rsid w:val="00592575"/>
    <w:rsid w:val="0059299D"/>
    <w:rsid w:val="005930B0"/>
    <w:rsid w:val="005948F8"/>
    <w:rsid w:val="005962AD"/>
    <w:rsid w:val="0059641A"/>
    <w:rsid w:val="005974F0"/>
    <w:rsid w:val="0059767D"/>
    <w:rsid w:val="00597B2A"/>
    <w:rsid w:val="005A14B0"/>
    <w:rsid w:val="005A157F"/>
    <w:rsid w:val="005A1728"/>
    <w:rsid w:val="005A2612"/>
    <w:rsid w:val="005A3EEC"/>
    <w:rsid w:val="005A440B"/>
    <w:rsid w:val="005A4986"/>
    <w:rsid w:val="005A5F22"/>
    <w:rsid w:val="005A5FE8"/>
    <w:rsid w:val="005A62B2"/>
    <w:rsid w:val="005A6F22"/>
    <w:rsid w:val="005A768B"/>
    <w:rsid w:val="005A76C7"/>
    <w:rsid w:val="005A779B"/>
    <w:rsid w:val="005A7AC4"/>
    <w:rsid w:val="005A7FDF"/>
    <w:rsid w:val="005B0114"/>
    <w:rsid w:val="005B024D"/>
    <w:rsid w:val="005B0D55"/>
    <w:rsid w:val="005B0DBA"/>
    <w:rsid w:val="005B0E94"/>
    <w:rsid w:val="005B11F2"/>
    <w:rsid w:val="005B1B79"/>
    <w:rsid w:val="005B282B"/>
    <w:rsid w:val="005B389B"/>
    <w:rsid w:val="005B3DDF"/>
    <w:rsid w:val="005B4D5E"/>
    <w:rsid w:val="005B4DB9"/>
    <w:rsid w:val="005B5207"/>
    <w:rsid w:val="005B59AD"/>
    <w:rsid w:val="005B5FDA"/>
    <w:rsid w:val="005B7101"/>
    <w:rsid w:val="005C021E"/>
    <w:rsid w:val="005C09DA"/>
    <w:rsid w:val="005C1CAD"/>
    <w:rsid w:val="005C35C7"/>
    <w:rsid w:val="005C445F"/>
    <w:rsid w:val="005C5925"/>
    <w:rsid w:val="005C60E6"/>
    <w:rsid w:val="005C6DB8"/>
    <w:rsid w:val="005C72EF"/>
    <w:rsid w:val="005C762C"/>
    <w:rsid w:val="005D01E8"/>
    <w:rsid w:val="005D08CF"/>
    <w:rsid w:val="005D132D"/>
    <w:rsid w:val="005D167A"/>
    <w:rsid w:val="005D16D1"/>
    <w:rsid w:val="005D1761"/>
    <w:rsid w:val="005D1D84"/>
    <w:rsid w:val="005D1E83"/>
    <w:rsid w:val="005D295F"/>
    <w:rsid w:val="005D29AE"/>
    <w:rsid w:val="005D2E1C"/>
    <w:rsid w:val="005D2F2F"/>
    <w:rsid w:val="005D2FC9"/>
    <w:rsid w:val="005D37AA"/>
    <w:rsid w:val="005D471D"/>
    <w:rsid w:val="005D47C6"/>
    <w:rsid w:val="005D4BBE"/>
    <w:rsid w:val="005D51BA"/>
    <w:rsid w:val="005D53A5"/>
    <w:rsid w:val="005D6052"/>
    <w:rsid w:val="005D6432"/>
    <w:rsid w:val="005D6D7C"/>
    <w:rsid w:val="005D6D88"/>
    <w:rsid w:val="005D7581"/>
    <w:rsid w:val="005D7A10"/>
    <w:rsid w:val="005E0EE4"/>
    <w:rsid w:val="005E1821"/>
    <w:rsid w:val="005E2016"/>
    <w:rsid w:val="005E2D05"/>
    <w:rsid w:val="005E2EEE"/>
    <w:rsid w:val="005E44C7"/>
    <w:rsid w:val="005E5F2E"/>
    <w:rsid w:val="005E5FB0"/>
    <w:rsid w:val="005E6DF1"/>
    <w:rsid w:val="005E78D5"/>
    <w:rsid w:val="005F06A6"/>
    <w:rsid w:val="005F0B43"/>
    <w:rsid w:val="005F10CC"/>
    <w:rsid w:val="005F110F"/>
    <w:rsid w:val="005F1967"/>
    <w:rsid w:val="005F22FB"/>
    <w:rsid w:val="005F256F"/>
    <w:rsid w:val="005F3A9D"/>
    <w:rsid w:val="005F519A"/>
    <w:rsid w:val="005F54B5"/>
    <w:rsid w:val="005F6420"/>
    <w:rsid w:val="005F6E71"/>
    <w:rsid w:val="005F71C3"/>
    <w:rsid w:val="005F7483"/>
    <w:rsid w:val="005F74DA"/>
    <w:rsid w:val="00600137"/>
    <w:rsid w:val="00600830"/>
    <w:rsid w:val="006023AB"/>
    <w:rsid w:val="00603324"/>
    <w:rsid w:val="00603439"/>
    <w:rsid w:val="0060343B"/>
    <w:rsid w:val="0060396B"/>
    <w:rsid w:val="006046E0"/>
    <w:rsid w:val="00604D5A"/>
    <w:rsid w:val="00605FD9"/>
    <w:rsid w:val="006063D5"/>
    <w:rsid w:val="00606B3F"/>
    <w:rsid w:val="00606EBA"/>
    <w:rsid w:val="00610ACA"/>
    <w:rsid w:val="00611BC6"/>
    <w:rsid w:val="00612FB6"/>
    <w:rsid w:val="00614093"/>
    <w:rsid w:val="0061475D"/>
    <w:rsid w:val="00615604"/>
    <w:rsid w:val="00615BA3"/>
    <w:rsid w:val="00616129"/>
    <w:rsid w:val="00617841"/>
    <w:rsid w:val="00617873"/>
    <w:rsid w:val="00617C13"/>
    <w:rsid w:val="006209C8"/>
    <w:rsid w:val="00620E92"/>
    <w:rsid w:val="00621B8F"/>
    <w:rsid w:val="00621C58"/>
    <w:rsid w:val="00621E9D"/>
    <w:rsid w:val="00621EF9"/>
    <w:rsid w:val="0062251B"/>
    <w:rsid w:val="00622AA9"/>
    <w:rsid w:val="00623857"/>
    <w:rsid w:val="006239AC"/>
    <w:rsid w:val="00623B70"/>
    <w:rsid w:val="00624316"/>
    <w:rsid w:val="00624BEA"/>
    <w:rsid w:val="0062713E"/>
    <w:rsid w:val="0062744F"/>
    <w:rsid w:val="006274C5"/>
    <w:rsid w:val="00630077"/>
    <w:rsid w:val="0063134C"/>
    <w:rsid w:val="00631665"/>
    <w:rsid w:val="00631B5C"/>
    <w:rsid w:val="00631FFD"/>
    <w:rsid w:val="0063308B"/>
    <w:rsid w:val="006334C4"/>
    <w:rsid w:val="006338AC"/>
    <w:rsid w:val="00633F53"/>
    <w:rsid w:val="006354F5"/>
    <w:rsid w:val="006369F9"/>
    <w:rsid w:val="006372AD"/>
    <w:rsid w:val="00637399"/>
    <w:rsid w:val="00637BBC"/>
    <w:rsid w:val="006406E4"/>
    <w:rsid w:val="00640A65"/>
    <w:rsid w:val="006422B5"/>
    <w:rsid w:val="0064256D"/>
    <w:rsid w:val="00642F7A"/>
    <w:rsid w:val="006438BA"/>
    <w:rsid w:val="00643C57"/>
    <w:rsid w:val="006443B1"/>
    <w:rsid w:val="00645074"/>
    <w:rsid w:val="006451BA"/>
    <w:rsid w:val="00645460"/>
    <w:rsid w:val="00645707"/>
    <w:rsid w:val="00645AA6"/>
    <w:rsid w:val="00645E65"/>
    <w:rsid w:val="00646239"/>
    <w:rsid w:val="006465F3"/>
    <w:rsid w:val="00647070"/>
    <w:rsid w:val="00647930"/>
    <w:rsid w:val="00647B35"/>
    <w:rsid w:val="00650644"/>
    <w:rsid w:val="00650681"/>
    <w:rsid w:val="006507C4"/>
    <w:rsid w:val="00650DF1"/>
    <w:rsid w:val="00650DFE"/>
    <w:rsid w:val="0065166B"/>
    <w:rsid w:val="00652929"/>
    <w:rsid w:val="00652B80"/>
    <w:rsid w:val="00653CA8"/>
    <w:rsid w:val="00654062"/>
    <w:rsid w:val="006543B7"/>
    <w:rsid w:val="006549AA"/>
    <w:rsid w:val="00654AD2"/>
    <w:rsid w:val="00654CE6"/>
    <w:rsid w:val="0065528C"/>
    <w:rsid w:val="006554B2"/>
    <w:rsid w:val="006556DB"/>
    <w:rsid w:val="006556EA"/>
    <w:rsid w:val="00655D0F"/>
    <w:rsid w:val="00657463"/>
    <w:rsid w:val="0065777C"/>
    <w:rsid w:val="00657BF2"/>
    <w:rsid w:val="0066083C"/>
    <w:rsid w:val="00660EDB"/>
    <w:rsid w:val="00661BD4"/>
    <w:rsid w:val="00661EFA"/>
    <w:rsid w:val="00662CC0"/>
    <w:rsid w:val="00662F62"/>
    <w:rsid w:val="0066402E"/>
    <w:rsid w:val="006645FA"/>
    <w:rsid w:val="00664CDD"/>
    <w:rsid w:val="00665234"/>
    <w:rsid w:val="0066535B"/>
    <w:rsid w:val="00665931"/>
    <w:rsid w:val="00666335"/>
    <w:rsid w:val="0066686F"/>
    <w:rsid w:val="00666A27"/>
    <w:rsid w:val="00666A82"/>
    <w:rsid w:val="006706F0"/>
    <w:rsid w:val="00670A82"/>
    <w:rsid w:val="0067280E"/>
    <w:rsid w:val="00673FE4"/>
    <w:rsid w:val="00675472"/>
    <w:rsid w:val="006757F0"/>
    <w:rsid w:val="00675FA8"/>
    <w:rsid w:val="006767B4"/>
    <w:rsid w:val="00676AC0"/>
    <w:rsid w:val="00676CAF"/>
    <w:rsid w:val="00677860"/>
    <w:rsid w:val="00680CBF"/>
    <w:rsid w:val="00680D75"/>
    <w:rsid w:val="00680DB2"/>
    <w:rsid w:val="00680F43"/>
    <w:rsid w:val="00681D4B"/>
    <w:rsid w:val="00682394"/>
    <w:rsid w:val="0068239D"/>
    <w:rsid w:val="00682922"/>
    <w:rsid w:val="00682B1E"/>
    <w:rsid w:val="006831D7"/>
    <w:rsid w:val="006832E1"/>
    <w:rsid w:val="00684905"/>
    <w:rsid w:val="006854B5"/>
    <w:rsid w:val="006855EC"/>
    <w:rsid w:val="006858FB"/>
    <w:rsid w:val="00685D3D"/>
    <w:rsid w:val="00686211"/>
    <w:rsid w:val="0068656B"/>
    <w:rsid w:val="0068656F"/>
    <w:rsid w:val="00686C71"/>
    <w:rsid w:val="00687725"/>
    <w:rsid w:val="006903A7"/>
    <w:rsid w:val="00690667"/>
    <w:rsid w:val="006906EB"/>
    <w:rsid w:val="0069168D"/>
    <w:rsid w:val="00692D87"/>
    <w:rsid w:val="00692EFB"/>
    <w:rsid w:val="00694495"/>
    <w:rsid w:val="00694CC1"/>
    <w:rsid w:val="00695B31"/>
    <w:rsid w:val="00695CB4"/>
    <w:rsid w:val="00696013"/>
    <w:rsid w:val="006961AC"/>
    <w:rsid w:val="00696251"/>
    <w:rsid w:val="00696802"/>
    <w:rsid w:val="006979DF"/>
    <w:rsid w:val="006A04B8"/>
    <w:rsid w:val="006A0630"/>
    <w:rsid w:val="006A0CDC"/>
    <w:rsid w:val="006A14DE"/>
    <w:rsid w:val="006A2B3F"/>
    <w:rsid w:val="006A3312"/>
    <w:rsid w:val="006A37E8"/>
    <w:rsid w:val="006A3B03"/>
    <w:rsid w:val="006A3B3F"/>
    <w:rsid w:val="006A4AD4"/>
    <w:rsid w:val="006A66D0"/>
    <w:rsid w:val="006A66E8"/>
    <w:rsid w:val="006A683B"/>
    <w:rsid w:val="006A76F2"/>
    <w:rsid w:val="006A7934"/>
    <w:rsid w:val="006A79AC"/>
    <w:rsid w:val="006B0147"/>
    <w:rsid w:val="006B25CF"/>
    <w:rsid w:val="006B2734"/>
    <w:rsid w:val="006B2770"/>
    <w:rsid w:val="006B27E4"/>
    <w:rsid w:val="006B2837"/>
    <w:rsid w:val="006B401A"/>
    <w:rsid w:val="006B433D"/>
    <w:rsid w:val="006B56B9"/>
    <w:rsid w:val="006B63AC"/>
    <w:rsid w:val="006B72F5"/>
    <w:rsid w:val="006B7836"/>
    <w:rsid w:val="006B7B9E"/>
    <w:rsid w:val="006B7CBB"/>
    <w:rsid w:val="006C014D"/>
    <w:rsid w:val="006C03E9"/>
    <w:rsid w:val="006C0D02"/>
    <w:rsid w:val="006C3511"/>
    <w:rsid w:val="006C35B5"/>
    <w:rsid w:val="006C39BD"/>
    <w:rsid w:val="006C3A26"/>
    <w:rsid w:val="006C4DDA"/>
    <w:rsid w:val="006C50C0"/>
    <w:rsid w:val="006C562E"/>
    <w:rsid w:val="006C5942"/>
    <w:rsid w:val="006C6010"/>
    <w:rsid w:val="006C65C1"/>
    <w:rsid w:val="006C6F61"/>
    <w:rsid w:val="006C7914"/>
    <w:rsid w:val="006D00D5"/>
    <w:rsid w:val="006D0C0A"/>
    <w:rsid w:val="006D12A3"/>
    <w:rsid w:val="006D13C7"/>
    <w:rsid w:val="006D22BC"/>
    <w:rsid w:val="006D25AD"/>
    <w:rsid w:val="006D2F8B"/>
    <w:rsid w:val="006D4604"/>
    <w:rsid w:val="006D4B35"/>
    <w:rsid w:val="006D4D97"/>
    <w:rsid w:val="006D6B61"/>
    <w:rsid w:val="006D75D3"/>
    <w:rsid w:val="006D7D17"/>
    <w:rsid w:val="006D7F75"/>
    <w:rsid w:val="006E02DD"/>
    <w:rsid w:val="006E06ED"/>
    <w:rsid w:val="006E15B1"/>
    <w:rsid w:val="006E2671"/>
    <w:rsid w:val="006E3865"/>
    <w:rsid w:val="006E4226"/>
    <w:rsid w:val="006E42A0"/>
    <w:rsid w:val="006E4559"/>
    <w:rsid w:val="006E4DAD"/>
    <w:rsid w:val="006E50E2"/>
    <w:rsid w:val="006E520E"/>
    <w:rsid w:val="006E56BC"/>
    <w:rsid w:val="006E674B"/>
    <w:rsid w:val="006E68F0"/>
    <w:rsid w:val="006E6C8C"/>
    <w:rsid w:val="006E72F9"/>
    <w:rsid w:val="006E739E"/>
    <w:rsid w:val="006E7503"/>
    <w:rsid w:val="006E7C67"/>
    <w:rsid w:val="006E7D50"/>
    <w:rsid w:val="006F0221"/>
    <w:rsid w:val="006F097B"/>
    <w:rsid w:val="006F0D61"/>
    <w:rsid w:val="006F1882"/>
    <w:rsid w:val="006F1A53"/>
    <w:rsid w:val="006F1F60"/>
    <w:rsid w:val="006F338E"/>
    <w:rsid w:val="006F3BFA"/>
    <w:rsid w:val="006F4101"/>
    <w:rsid w:val="006F4BE9"/>
    <w:rsid w:val="006F4CF6"/>
    <w:rsid w:val="006F4D56"/>
    <w:rsid w:val="006F58D9"/>
    <w:rsid w:val="006F5EB7"/>
    <w:rsid w:val="006F5F88"/>
    <w:rsid w:val="006F612B"/>
    <w:rsid w:val="006F632F"/>
    <w:rsid w:val="006F72EC"/>
    <w:rsid w:val="006F7EEC"/>
    <w:rsid w:val="007009D9"/>
    <w:rsid w:val="0070138D"/>
    <w:rsid w:val="00702385"/>
    <w:rsid w:val="00702550"/>
    <w:rsid w:val="007029F5"/>
    <w:rsid w:val="007032C1"/>
    <w:rsid w:val="00703EE6"/>
    <w:rsid w:val="00703F6B"/>
    <w:rsid w:val="007040F9"/>
    <w:rsid w:val="0070443E"/>
    <w:rsid w:val="00704A82"/>
    <w:rsid w:val="00705133"/>
    <w:rsid w:val="0070589F"/>
    <w:rsid w:val="007059AD"/>
    <w:rsid w:val="00705DF0"/>
    <w:rsid w:val="007065CE"/>
    <w:rsid w:val="007065FE"/>
    <w:rsid w:val="007068A8"/>
    <w:rsid w:val="007068DC"/>
    <w:rsid w:val="00706F96"/>
    <w:rsid w:val="007078B5"/>
    <w:rsid w:val="007101A1"/>
    <w:rsid w:val="0071026B"/>
    <w:rsid w:val="00711068"/>
    <w:rsid w:val="007117E7"/>
    <w:rsid w:val="00711B66"/>
    <w:rsid w:val="00712112"/>
    <w:rsid w:val="007123E9"/>
    <w:rsid w:val="007128BA"/>
    <w:rsid w:val="00713969"/>
    <w:rsid w:val="007141F3"/>
    <w:rsid w:val="00714930"/>
    <w:rsid w:val="00714A78"/>
    <w:rsid w:val="00715799"/>
    <w:rsid w:val="00715C12"/>
    <w:rsid w:val="00715C96"/>
    <w:rsid w:val="00715F6A"/>
    <w:rsid w:val="0071653C"/>
    <w:rsid w:val="00716C55"/>
    <w:rsid w:val="00716D23"/>
    <w:rsid w:val="007170B0"/>
    <w:rsid w:val="0072002C"/>
    <w:rsid w:val="007202AD"/>
    <w:rsid w:val="00720386"/>
    <w:rsid w:val="00720DDA"/>
    <w:rsid w:val="00721D21"/>
    <w:rsid w:val="007227DA"/>
    <w:rsid w:val="00722EA2"/>
    <w:rsid w:val="00722F8D"/>
    <w:rsid w:val="007237A1"/>
    <w:rsid w:val="007239F0"/>
    <w:rsid w:val="00723B50"/>
    <w:rsid w:val="00723BA7"/>
    <w:rsid w:val="00724485"/>
    <w:rsid w:val="00724644"/>
    <w:rsid w:val="007249CE"/>
    <w:rsid w:val="00724D11"/>
    <w:rsid w:val="00724F1B"/>
    <w:rsid w:val="00725326"/>
    <w:rsid w:val="00725838"/>
    <w:rsid w:val="00725D65"/>
    <w:rsid w:val="007269A7"/>
    <w:rsid w:val="00726FEC"/>
    <w:rsid w:val="007270CC"/>
    <w:rsid w:val="0072716A"/>
    <w:rsid w:val="007279B1"/>
    <w:rsid w:val="00727F85"/>
    <w:rsid w:val="0073019B"/>
    <w:rsid w:val="00730CC3"/>
    <w:rsid w:val="00730EB5"/>
    <w:rsid w:val="00731627"/>
    <w:rsid w:val="00731837"/>
    <w:rsid w:val="00732055"/>
    <w:rsid w:val="0073207F"/>
    <w:rsid w:val="00732A66"/>
    <w:rsid w:val="0073356C"/>
    <w:rsid w:val="007339F1"/>
    <w:rsid w:val="00733C86"/>
    <w:rsid w:val="00734E3B"/>
    <w:rsid w:val="0073624E"/>
    <w:rsid w:val="007366EE"/>
    <w:rsid w:val="007374F8"/>
    <w:rsid w:val="0074017B"/>
    <w:rsid w:val="0074058B"/>
    <w:rsid w:val="007414D6"/>
    <w:rsid w:val="007432AF"/>
    <w:rsid w:val="00743D38"/>
    <w:rsid w:val="00743E9B"/>
    <w:rsid w:val="0074441A"/>
    <w:rsid w:val="00744E58"/>
    <w:rsid w:val="00744FDD"/>
    <w:rsid w:val="00745B1B"/>
    <w:rsid w:val="00745CC8"/>
    <w:rsid w:val="00746160"/>
    <w:rsid w:val="007503A8"/>
    <w:rsid w:val="007503B7"/>
    <w:rsid w:val="007508E3"/>
    <w:rsid w:val="00750A96"/>
    <w:rsid w:val="00751C42"/>
    <w:rsid w:val="00752A00"/>
    <w:rsid w:val="00752FB9"/>
    <w:rsid w:val="0075351F"/>
    <w:rsid w:val="00753748"/>
    <w:rsid w:val="007538A0"/>
    <w:rsid w:val="007544A5"/>
    <w:rsid w:val="00754AEC"/>
    <w:rsid w:val="00754DD3"/>
    <w:rsid w:val="007552C6"/>
    <w:rsid w:val="00755499"/>
    <w:rsid w:val="00755656"/>
    <w:rsid w:val="00755EC7"/>
    <w:rsid w:val="00755F40"/>
    <w:rsid w:val="00756211"/>
    <w:rsid w:val="00756306"/>
    <w:rsid w:val="0075644A"/>
    <w:rsid w:val="00756669"/>
    <w:rsid w:val="0075717A"/>
    <w:rsid w:val="00757BFF"/>
    <w:rsid w:val="00757E48"/>
    <w:rsid w:val="00760672"/>
    <w:rsid w:val="00760FB4"/>
    <w:rsid w:val="007624C3"/>
    <w:rsid w:val="00763E76"/>
    <w:rsid w:val="00764080"/>
    <w:rsid w:val="007648E6"/>
    <w:rsid w:val="00764946"/>
    <w:rsid w:val="007653AC"/>
    <w:rsid w:val="00766FD3"/>
    <w:rsid w:val="007671AD"/>
    <w:rsid w:val="00767400"/>
    <w:rsid w:val="00767CF2"/>
    <w:rsid w:val="0077008F"/>
    <w:rsid w:val="00770231"/>
    <w:rsid w:val="007712F3"/>
    <w:rsid w:val="00771D6B"/>
    <w:rsid w:val="00771DF9"/>
    <w:rsid w:val="0077260C"/>
    <w:rsid w:val="00773493"/>
    <w:rsid w:val="0077391C"/>
    <w:rsid w:val="00773D0B"/>
    <w:rsid w:val="007741C0"/>
    <w:rsid w:val="007758E5"/>
    <w:rsid w:val="00775DDD"/>
    <w:rsid w:val="007761D9"/>
    <w:rsid w:val="00776499"/>
    <w:rsid w:val="00776CC9"/>
    <w:rsid w:val="00776EC6"/>
    <w:rsid w:val="0077795A"/>
    <w:rsid w:val="00777F29"/>
    <w:rsid w:val="00780375"/>
    <w:rsid w:val="00780410"/>
    <w:rsid w:val="007806EE"/>
    <w:rsid w:val="00780BD0"/>
    <w:rsid w:val="00780ECE"/>
    <w:rsid w:val="00780F7F"/>
    <w:rsid w:val="00780FF4"/>
    <w:rsid w:val="007822BF"/>
    <w:rsid w:val="007822F9"/>
    <w:rsid w:val="007825D7"/>
    <w:rsid w:val="00782924"/>
    <w:rsid w:val="00782B9B"/>
    <w:rsid w:val="007833DC"/>
    <w:rsid w:val="00783840"/>
    <w:rsid w:val="007847CB"/>
    <w:rsid w:val="00784EEA"/>
    <w:rsid w:val="00785A8C"/>
    <w:rsid w:val="00785E16"/>
    <w:rsid w:val="007861F0"/>
    <w:rsid w:val="0078650A"/>
    <w:rsid w:val="0078680B"/>
    <w:rsid w:val="007869C6"/>
    <w:rsid w:val="00786C75"/>
    <w:rsid w:val="00786D6D"/>
    <w:rsid w:val="00786E13"/>
    <w:rsid w:val="00787FAB"/>
    <w:rsid w:val="007900B7"/>
    <w:rsid w:val="00790DF7"/>
    <w:rsid w:val="007913AB"/>
    <w:rsid w:val="00791780"/>
    <w:rsid w:val="007918A3"/>
    <w:rsid w:val="00791FAC"/>
    <w:rsid w:val="00792217"/>
    <w:rsid w:val="0079247C"/>
    <w:rsid w:val="007924DA"/>
    <w:rsid w:val="007925AF"/>
    <w:rsid w:val="007927C0"/>
    <w:rsid w:val="00793E70"/>
    <w:rsid w:val="00793F5A"/>
    <w:rsid w:val="007947D4"/>
    <w:rsid w:val="007949EB"/>
    <w:rsid w:val="00794C6D"/>
    <w:rsid w:val="00794CF4"/>
    <w:rsid w:val="00794E6F"/>
    <w:rsid w:val="007951D4"/>
    <w:rsid w:val="0079537F"/>
    <w:rsid w:val="00795DF7"/>
    <w:rsid w:val="0079623B"/>
    <w:rsid w:val="007968BB"/>
    <w:rsid w:val="00796A19"/>
    <w:rsid w:val="00796CD9"/>
    <w:rsid w:val="00796E1D"/>
    <w:rsid w:val="00796F32"/>
    <w:rsid w:val="0079725F"/>
    <w:rsid w:val="00797694"/>
    <w:rsid w:val="007978D5"/>
    <w:rsid w:val="00797ADB"/>
    <w:rsid w:val="007A00B2"/>
    <w:rsid w:val="007A00D7"/>
    <w:rsid w:val="007A0391"/>
    <w:rsid w:val="007A09EE"/>
    <w:rsid w:val="007A0C03"/>
    <w:rsid w:val="007A1B81"/>
    <w:rsid w:val="007A2323"/>
    <w:rsid w:val="007A2D11"/>
    <w:rsid w:val="007A31AB"/>
    <w:rsid w:val="007A3418"/>
    <w:rsid w:val="007A385D"/>
    <w:rsid w:val="007A41A4"/>
    <w:rsid w:val="007A6EF1"/>
    <w:rsid w:val="007A713B"/>
    <w:rsid w:val="007A7177"/>
    <w:rsid w:val="007A7D5D"/>
    <w:rsid w:val="007B00F1"/>
    <w:rsid w:val="007B0125"/>
    <w:rsid w:val="007B012B"/>
    <w:rsid w:val="007B0180"/>
    <w:rsid w:val="007B0AB3"/>
    <w:rsid w:val="007B0B1D"/>
    <w:rsid w:val="007B0BE7"/>
    <w:rsid w:val="007B14F3"/>
    <w:rsid w:val="007B1631"/>
    <w:rsid w:val="007B1FBE"/>
    <w:rsid w:val="007B3553"/>
    <w:rsid w:val="007B44DD"/>
    <w:rsid w:val="007B46B8"/>
    <w:rsid w:val="007B46F1"/>
    <w:rsid w:val="007B47F7"/>
    <w:rsid w:val="007B5388"/>
    <w:rsid w:val="007B55C7"/>
    <w:rsid w:val="007B6195"/>
    <w:rsid w:val="007B6D64"/>
    <w:rsid w:val="007B7961"/>
    <w:rsid w:val="007B7A8E"/>
    <w:rsid w:val="007B7BAC"/>
    <w:rsid w:val="007C0292"/>
    <w:rsid w:val="007C06AC"/>
    <w:rsid w:val="007C0C2D"/>
    <w:rsid w:val="007C0D32"/>
    <w:rsid w:val="007C1D87"/>
    <w:rsid w:val="007C2297"/>
    <w:rsid w:val="007C2813"/>
    <w:rsid w:val="007C32E0"/>
    <w:rsid w:val="007C368F"/>
    <w:rsid w:val="007C3B6B"/>
    <w:rsid w:val="007C4193"/>
    <w:rsid w:val="007C4284"/>
    <w:rsid w:val="007C4658"/>
    <w:rsid w:val="007C581E"/>
    <w:rsid w:val="007C5AA2"/>
    <w:rsid w:val="007C6142"/>
    <w:rsid w:val="007C6439"/>
    <w:rsid w:val="007C6E81"/>
    <w:rsid w:val="007C70E6"/>
    <w:rsid w:val="007C775F"/>
    <w:rsid w:val="007C77EC"/>
    <w:rsid w:val="007D059D"/>
    <w:rsid w:val="007D083E"/>
    <w:rsid w:val="007D0F1D"/>
    <w:rsid w:val="007D1335"/>
    <w:rsid w:val="007D1FE8"/>
    <w:rsid w:val="007D2296"/>
    <w:rsid w:val="007D28AA"/>
    <w:rsid w:val="007D4547"/>
    <w:rsid w:val="007D4663"/>
    <w:rsid w:val="007D4D56"/>
    <w:rsid w:val="007D52B6"/>
    <w:rsid w:val="007D55C2"/>
    <w:rsid w:val="007D5933"/>
    <w:rsid w:val="007D5A30"/>
    <w:rsid w:val="007D60F9"/>
    <w:rsid w:val="007D6244"/>
    <w:rsid w:val="007D6622"/>
    <w:rsid w:val="007D69D6"/>
    <w:rsid w:val="007D6D09"/>
    <w:rsid w:val="007D6D36"/>
    <w:rsid w:val="007D7838"/>
    <w:rsid w:val="007E0AAF"/>
    <w:rsid w:val="007E10E1"/>
    <w:rsid w:val="007E1BEB"/>
    <w:rsid w:val="007E23E2"/>
    <w:rsid w:val="007E35F2"/>
    <w:rsid w:val="007E44C6"/>
    <w:rsid w:val="007E48C1"/>
    <w:rsid w:val="007E53FD"/>
    <w:rsid w:val="007E5EC8"/>
    <w:rsid w:val="007E5EF2"/>
    <w:rsid w:val="007E61AA"/>
    <w:rsid w:val="007E6F33"/>
    <w:rsid w:val="007E711D"/>
    <w:rsid w:val="007E792C"/>
    <w:rsid w:val="007F04D9"/>
    <w:rsid w:val="007F08F0"/>
    <w:rsid w:val="007F0CFB"/>
    <w:rsid w:val="007F0EE2"/>
    <w:rsid w:val="007F11D4"/>
    <w:rsid w:val="007F129C"/>
    <w:rsid w:val="007F136B"/>
    <w:rsid w:val="007F222B"/>
    <w:rsid w:val="007F3CAF"/>
    <w:rsid w:val="007F40DC"/>
    <w:rsid w:val="007F45E4"/>
    <w:rsid w:val="007F48AB"/>
    <w:rsid w:val="007F5745"/>
    <w:rsid w:val="007F5E8B"/>
    <w:rsid w:val="007F66BF"/>
    <w:rsid w:val="007F6816"/>
    <w:rsid w:val="007F6A96"/>
    <w:rsid w:val="007F6FEC"/>
    <w:rsid w:val="007F7336"/>
    <w:rsid w:val="007F75D8"/>
    <w:rsid w:val="007F7641"/>
    <w:rsid w:val="007F7AC0"/>
    <w:rsid w:val="008009CB"/>
    <w:rsid w:val="008020EF"/>
    <w:rsid w:val="0080267E"/>
    <w:rsid w:val="00802901"/>
    <w:rsid w:val="00802BAE"/>
    <w:rsid w:val="00803268"/>
    <w:rsid w:val="00804ED9"/>
    <w:rsid w:val="00805B9D"/>
    <w:rsid w:val="0080648C"/>
    <w:rsid w:val="00806E89"/>
    <w:rsid w:val="00807874"/>
    <w:rsid w:val="008078B6"/>
    <w:rsid w:val="00807C71"/>
    <w:rsid w:val="008100C9"/>
    <w:rsid w:val="008104D5"/>
    <w:rsid w:val="008104F9"/>
    <w:rsid w:val="008113DB"/>
    <w:rsid w:val="00812BC4"/>
    <w:rsid w:val="008137B6"/>
    <w:rsid w:val="00814302"/>
    <w:rsid w:val="0081515E"/>
    <w:rsid w:val="00815256"/>
    <w:rsid w:val="008154AA"/>
    <w:rsid w:val="00815542"/>
    <w:rsid w:val="00815B22"/>
    <w:rsid w:val="00815EF5"/>
    <w:rsid w:val="00816916"/>
    <w:rsid w:val="008201EE"/>
    <w:rsid w:val="008206B1"/>
    <w:rsid w:val="00820A2D"/>
    <w:rsid w:val="00821234"/>
    <w:rsid w:val="00821DE0"/>
    <w:rsid w:val="008220FA"/>
    <w:rsid w:val="00822F97"/>
    <w:rsid w:val="00823756"/>
    <w:rsid w:val="008240FC"/>
    <w:rsid w:val="008244E9"/>
    <w:rsid w:val="00824A2A"/>
    <w:rsid w:val="00824BDE"/>
    <w:rsid w:val="00824CE1"/>
    <w:rsid w:val="00824F3B"/>
    <w:rsid w:val="008262A6"/>
    <w:rsid w:val="00826564"/>
    <w:rsid w:val="008305DD"/>
    <w:rsid w:val="00830E0A"/>
    <w:rsid w:val="00830FFC"/>
    <w:rsid w:val="008310FF"/>
    <w:rsid w:val="008319AC"/>
    <w:rsid w:val="00832C12"/>
    <w:rsid w:val="00833E1F"/>
    <w:rsid w:val="0083436B"/>
    <w:rsid w:val="00834916"/>
    <w:rsid w:val="00834E96"/>
    <w:rsid w:val="008353B9"/>
    <w:rsid w:val="008356D0"/>
    <w:rsid w:val="008356E5"/>
    <w:rsid w:val="00835757"/>
    <w:rsid w:val="008362F6"/>
    <w:rsid w:val="00836A14"/>
    <w:rsid w:val="00836F3E"/>
    <w:rsid w:val="0083795A"/>
    <w:rsid w:val="00837B3F"/>
    <w:rsid w:val="008404F8"/>
    <w:rsid w:val="008405E1"/>
    <w:rsid w:val="008408C3"/>
    <w:rsid w:val="00841BB8"/>
    <w:rsid w:val="00842B24"/>
    <w:rsid w:val="0084341E"/>
    <w:rsid w:val="008434EF"/>
    <w:rsid w:val="008437A5"/>
    <w:rsid w:val="0084458E"/>
    <w:rsid w:val="0084488D"/>
    <w:rsid w:val="00844AE5"/>
    <w:rsid w:val="008451F1"/>
    <w:rsid w:val="00845443"/>
    <w:rsid w:val="00845AD4"/>
    <w:rsid w:val="00845F38"/>
    <w:rsid w:val="00846065"/>
    <w:rsid w:val="00846E6B"/>
    <w:rsid w:val="008476C9"/>
    <w:rsid w:val="00850628"/>
    <w:rsid w:val="0085091D"/>
    <w:rsid w:val="00850B54"/>
    <w:rsid w:val="008529C3"/>
    <w:rsid w:val="00852FCE"/>
    <w:rsid w:val="00853834"/>
    <w:rsid w:val="0085442A"/>
    <w:rsid w:val="00854AAF"/>
    <w:rsid w:val="00854DC8"/>
    <w:rsid w:val="00854E68"/>
    <w:rsid w:val="0085538F"/>
    <w:rsid w:val="00855813"/>
    <w:rsid w:val="00855A01"/>
    <w:rsid w:val="00855A6F"/>
    <w:rsid w:val="008566DC"/>
    <w:rsid w:val="008566F7"/>
    <w:rsid w:val="00856B6C"/>
    <w:rsid w:val="00856DDD"/>
    <w:rsid w:val="0085732A"/>
    <w:rsid w:val="00857EFD"/>
    <w:rsid w:val="00857FF3"/>
    <w:rsid w:val="0086010A"/>
    <w:rsid w:val="0086040A"/>
    <w:rsid w:val="00860F7A"/>
    <w:rsid w:val="008613F3"/>
    <w:rsid w:val="0086245A"/>
    <w:rsid w:val="00862928"/>
    <w:rsid w:val="00862A03"/>
    <w:rsid w:val="00862C61"/>
    <w:rsid w:val="00862CF2"/>
    <w:rsid w:val="00863AA1"/>
    <w:rsid w:val="00864DB7"/>
    <w:rsid w:val="00865276"/>
    <w:rsid w:val="00865C06"/>
    <w:rsid w:val="00866D39"/>
    <w:rsid w:val="00866E21"/>
    <w:rsid w:val="00867000"/>
    <w:rsid w:val="00870764"/>
    <w:rsid w:val="00870B47"/>
    <w:rsid w:val="00871277"/>
    <w:rsid w:val="00871B41"/>
    <w:rsid w:val="00872DE0"/>
    <w:rsid w:val="00873893"/>
    <w:rsid w:val="00873C56"/>
    <w:rsid w:val="008744DD"/>
    <w:rsid w:val="00874952"/>
    <w:rsid w:val="00874E8E"/>
    <w:rsid w:val="0087533F"/>
    <w:rsid w:val="008754B4"/>
    <w:rsid w:val="00875791"/>
    <w:rsid w:val="008758CA"/>
    <w:rsid w:val="008762B3"/>
    <w:rsid w:val="00877632"/>
    <w:rsid w:val="0087789D"/>
    <w:rsid w:val="00877CBC"/>
    <w:rsid w:val="00877E4B"/>
    <w:rsid w:val="00877FEF"/>
    <w:rsid w:val="00881387"/>
    <w:rsid w:val="008814E4"/>
    <w:rsid w:val="00882A42"/>
    <w:rsid w:val="008836AB"/>
    <w:rsid w:val="00883826"/>
    <w:rsid w:val="00883A9F"/>
    <w:rsid w:val="00884B0F"/>
    <w:rsid w:val="00884BFE"/>
    <w:rsid w:val="00884C29"/>
    <w:rsid w:val="008850A5"/>
    <w:rsid w:val="008850FA"/>
    <w:rsid w:val="0088536E"/>
    <w:rsid w:val="008856D4"/>
    <w:rsid w:val="00886045"/>
    <w:rsid w:val="00886226"/>
    <w:rsid w:val="008919C9"/>
    <w:rsid w:val="00893180"/>
    <w:rsid w:val="008939F3"/>
    <w:rsid w:val="00893AAE"/>
    <w:rsid w:val="00894263"/>
    <w:rsid w:val="008942D3"/>
    <w:rsid w:val="00897879"/>
    <w:rsid w:val="008A0D6B"/>
    <w:rsid w:val="008A1154"/>
    <w:rsid w:val="008A138C"/>
    <w:rsid w:val="008A1473"/>
    <w:rsid w:val="008A209D"/>
    <w:rsid w:val="008A21CF"/>
    <w:rsid w:val="008A2BC3"/>
    <w:rsid w:val="008A31B9"/>
    <w:rsid w:val="008A4B14"/>
    <w:rsid w:val="008A56AA"/>
    <w:rsid w:val="008A67E5"/>
    <w:rsid w:val="008A6958"/>
    <w:rsid w:val="008A6D0B"/>
    <w:rsid w:val="008A6EF0"/>
    <w:rsid w:val="008A744B"/>
    <w:rsid w:val="008A78B9"/>
    <w:rsid w:val="008B0D8F"/>
    <w:rsid w:val="008B1787"/>
    <w:rsid w:val="008B19B0"/>
    <w:rsid w:val="008B1DBD"/>
    <w:rsid w:val="008B2231"/>
    <w:rsid w:val="008B289C"/>
    <w:rsid w:val="008B2E2E"/>
    <w:rsid w:val="008B4262"/>
    <w:rsid w:val="008B565C"/>
    <w:rsid w:val="008B5908"/>
    <w:rsid w:val="008B64FF"/>
    <w:rsid w:val="008B75FF"/>
    <w:rsid w:val="008B7E2D"/>
    <w:rsid w:val="008C0EE0"/>
    <w:rsid w:val="008C11EC"/>
    <w:rsid w:val="008C1482"/>
    <w:rsid w:val="008C183F"/>
    <w:rsid w:val="008C204E"/>
    <w:rsid w:val="008C3869"/>
    <w:rsid w:val="008C4ADD"/>
    <w:rsid w:val="008C4CB5"/>
    <w:rsid w:val="008C4FEF"/>
    <w:rsid w:val="008C5375"/>
    <w:rsid w:val="008C55AF"/>
    <w:rsid w:val="008C5FE0"/>
    <w:rsid w:val="008C5FFB"/>
    <w:rsid w:val="008C6A94"/>
    <w:rsid w:val="008C7170"/>
    <w:rsid w:val="008C71E4"/>
    <w:rsid w:val="008C730F"/>
    <w:rsid w:val="008C7AA0"/>
    <w:rsid w:val="008C7AAD"/>
    <w:rsid w:val="008D0466"/>
    <w:rsid w:val="008D0C0F"/>
    <w:rsid w:val="008D0E59"/>
    <w:rsid w:val="008D10AC"/>
    <w:rsid w:val="008D222A"/>
    <w:rsid w:val="008D305E"/>
    <w:rsid w:val="008D35F8"/>
    <w:rsid w:val="008D3691"/>
    <w:rsid w:val="008D3CDC"/>
    <w:rsid w:val="008D4085"/>
    <w:rsid w:val="008D4EF5"/>
    <w:rsid w:val="008D55CE"/>
    <w:rsid w:val="008D5659"/>
    <w:rsid w:val="008D6870"/>
    <w:rsid w:val="008D6CD7"/>
    <w:rsid w:val="008D6D23"/>
    <w:rsid w:val="008D7050"/>
    <w:rsid w:val="008D7681"/>
    <w:rsid w:val="008D7AEB"/>
    <w:rsid w:val="008D7DEB"/>
    <w:rsid w:val="008E08D6"/>
    <w:rsid w:val="008E0DF1"/>
    <w:rsid w:val="008E1BDF"/>
    <w:rsid w:val="008E1EC1"/>
    <w:rsid w:val="008E2BB8"/>
    <w:rsid w:val="008E36CD"/>
    <w:rsid w:val="008E3C9E"/>
    <w:rsid w:val="008E4BB6"/>
    <w:rsid w:val="008E5714"/>
    <w:rsid w:val="008E61B9"/>
    <w:rsid w:val="008E63A4"/>
    <w:rsid w:val="008E666D"/>
    <w:rsid w:val="008E66A6"/>
    <w:rsid w:val="008E6DF4"/>
    <w:rsid w:val="008E7163"/>
    <w:rsid w:val="008E723A"/>
    <w:rsid w:val="008E7E5F"/>
    <w:rsid w:val="008E7FF2"/>
    <w:rsid w:val="008F070B"/>
    <w:rsid w:val="008F1446"/>
    <w:rsid w:val="008F1638"/>
    <w:rsid w:val="008F25B9"/>
    <w:rsid w:val="008F29F9"/>
    <w:rsid w:val="008F2DF6"/>
    <w:rsid w:val="008F3D49"/>
    <w:rsid w:val="008F3D99"/>
    <w:rsid w:val="008F41B8"/>
    <w:rsid w:val="008F46D3"/>
    <w:rsid w:val="008F50FD"/>
    <w:rsid w:val="008F70D3"/>
    <w:rsid w:val="008F719D"/>
    <w:rsid w:val="00900209"/>
    <w:rsid w:val="00900C90"/>
    <w:rsid w:val="00901468"/>
    <w:rsid w:val="009014C7"/>
    <w:rsid w:val="00901CAE"/>
    <w:rsid w:val="00901E43"/>
    <w:rsid w:val="00901EA3"/>
    <w:rsid w:val="00902674"/>
    <w:rsid w:val="0090344A"/>
    <w:rsid w:val="009046B4"/>
    <w:rsid w:val="00904845"/>
    <w:rsid w:val="00904C53"/>
    <w:rsid w:val="00904F9D"/>
    <w:rsid w:val="0090556B"/>
    <w:rsid w:val="00905595"/>
    <w:rsid w:val="00905910"/>
    <w:rsid w:val="00905BC2"/>
    <w:rsid w:val="00905E59"/>
    <w:rsid w:val="009105CE"/>
    <w:rsid w:val="0091087E"/>
    <w:rsid w:val="00911944"/>
    <w:rsid w:val="00911A16"/>
    <w:rsid w:val="00912B21"/>
    <w:rsid w:val="00912BE9"/>
    <w:rsid w:val="009131EC"/>
    <w:rsid w:val="00913253"/>
    <w:rsid w:val="00913844"/>
    <w:rsid w:val="0091393F"/>
    <w:rsid w:val="00914F06"/>
    <w:rsid w:val="00915086"/>
    <w:rsid w:val="009151B5"/>
    <w:rsid w:val="00915A7C"/>
    <w:rsid w:val="00916BD5"/>
    <w:rsid w:val="00916EA6"/>
    <w:rsid w:val="009170A2"/>
    <w:rsid w:val="00920185"/>
    <w:rsid w:val="009208D5"/>
    <w:rsid w:val="00920BC6"/>
    <w:rsid w:val="00920D1D"/>
    <w:rsid w:val="00920D87"/>
    <w:rsid w:val="00920F62"/>
    <w:rsid w:val="009213AA"/>
    <w:rsid w:val="00921A66"/>
    <w:rsid w:val="0092247C"/>
    <w:rsid w:val="009227A8"/>
    <w:rsid w:val="00922E64"/>
    <w:rsid w:val="00923672"/>
    <w:rsid w:val="00923994"/>
    <w:rsid w:val="00923C4B"/>
    <w:rsid w:val="00923D7E"/>
    <w:rsid w:val="0092444B"/>
    <w:rsid w:val="0092460E"/>
    <w:rsid w:val="009253FE"/>
    <w:rsid w:val="00925B96"/>
    <w:rsid w:val="00925F05"/>
    <w:rsid w:val="0092647A"/>
    <w:rsid w:val="00927344"/>
    <w:rsid w:val="0092743A"/>
    <w:rsid w:val="00927771"/>
    <w:rsid w:val="00927CAE"/>
    <w:rsid w:val="00930ADF"/>
    <w:rsid w:val="00930F78"/>
    <w:rsid w:val="009313C3"/>
    <w:rsid w:val="00931504"/>
    <w:rsid w:val="00931AD8"/>
    <w:rsid w:val="00932567"/>
    <w:rsid w:val="009330FC"/>
    <w:rsid w:val="009336E9"/>
    <w:rsid w:val="009337ED"/>
    <w:rsid w:val="009343FD"/>
    <w:rsid w:val="00934D3A"/>
    <w:rsid w:val="00935523"/>
    <w:rsid w:val="00935D1F"/>
    <w:rsid w:val="0093697E"/>
    <w:rsid w:val="00937FA3"/>
    <w:rsid w:val="0094140B"/>
    <w:rsid w:val="009417DC"/>
    <w:rsid w:val="009418FC"/>
    <w:rsid w:val="00941D33"/>
    <w:rsid w:val="009420C6"/>
    <w:rsid w:val="0094254C"/>
    <w:rsid w:val="00943B91"/>
    <w:rsid w:val="00943D11"/>
    <w:rsid w:val="00944C71"/>
    <w:rsid w:val="00944DBF"/>
    <w:rsid w:val="00945001"/>
    <w:rsid w:val="0094535E"/>
    <w:rsid w:val="0094570B"/>
    <w:rsid w:val="009459BB"/>
    <w:rsid w:val="00946334"/>
    <w:rsid w:val="00946BD5"/>
    <w:rsid w:val="00947726"/>
    <w:rsid w:val="00947A6D"/>
    <w:rsid w:val="009503FD"/>
    <w:rsid w:val="00950C0A"/>
    <w:rsid w:val="00950E73"/>
    <w:rsid w:val="0095107E"/>
    <w:rsid w:val="00951AFF"/>
    <w:rsid w:val="00951D62"/>
    <w:rsid w:val="00951FCE"/>
    <w:rsid w:val="0095258D"/>
    <w:rsid w:val="0095309E"/>
    <w:rsid w:val="009530C4"/>
    <w:rsid w:val="0095358B"/>
    <w:rsid w:val="00953E44"/>
    <w:rsid w:val="00954926"/>
    <w:rsid w:val="00954A4D"/>
    <w:rsid w:val="00954A8F"/>
    <w:rsid w:val="009555CA"/>
    <w:rsid w:val="00955602"/>
    <w:rsid w:val="0095596B"/>
    <w:rsid w:val="00955A9E"/>
    <w:rsid w:val="00955AC6"/>
    <w:rsid w:val="0095719E"/>
    <w:rsid w:val="009578D3"/>
    <w:rsid w:val="00957F99"/>
    <w:rsid w:val="009613FD"/>
    <w:rsid w:val="009621CA"/>
    <w:rsid w:val="009624A2"/>
    <w:rsid w:val="00962807"/>
    <w:rsid w:val="00962B93"/>
    <w:rsid w:val="00963AF4"/>
    <w:rsid w:val="00964212"/>
    <w:rsid w:val="00964E67"/>
    <w:rsid w:val="009659B9"/>
    <w:rsid w:val="00965EA9"/>
    <w:rsid w:val="009663D8"/>
    <w:rsid w:val="009666B7"/>
    <w:rsid w:val="00967821"/>
    <w:rsid w:val="009701EF"/>
    <w:rsid w:val="00970274"/>
    <w:rsid w:val="0097039F"/>
    <w:rsid w:val="009705D7"/>
    <w:rsid w:val="0097283F"/>
    <w:rsid w:val="00972B20"/>
    <w:rsid w:val="009739F7"/>
    <w:rsid w:val="00973EF5"/>
    <w:rsid w:val="00974667"/>
    <w:rsid w:val="009747AB"/>
    <w:rsid w:val="0097487F"/>
    <w:rsid w:val="00975891"/>
    <w:rsid w:val="009761C9"/>
    <w:rsid w:val="00976231"/>
    <w:rsid w:val="00976E81"/>
    <w:rsid w:val="00977AA4"/>
    <w:rsid w:val="00980DFF"/>
    <w:rsid w:val="00981D2C"/>
    <w:rsid w:val="00982A70"/>
    <w:rsid w:val="00983013"/>
    <w:rsid w:val="00983741"/>
    <w:rsid w:val="00983968"/>
    <w:rsid w:val="00983C4B"/>
    <w:rsid w:val="00984845"/>
    <w:rsid w:val="00984FA9"/>
    <w:rsid w:val="0098518C"/>
    <w:rsid w:val="009851C0"/>
    <w:rsid w:val="009859C2"/>
    <w:rsid w:val="00985E48"/>
    <w:rsid w:val="0098756F"/>
    <w:rsid w:val="00987E7A"/>
    <w:rsid w:val="00990206"/>
    <w:rsid w:val="00991109"/>
    <w:rsid w:val="009911E7"/>
    <w:rsid w:val="0099155E"/>
    <w:rsid w:val="00991705"/>
    <w:rsid w:val="009919DC"/>
    <w:rsid w:val="00991B30"/>
    <w:rsid w:val="00991E85"/>
    <w:rsid w:val="00992322"/>
    <w:rsid w:val="009927CC"/>
    <w:rsid w:val="00992DB4"/>
    <w:rsid w:val="00993718"/>
    <w:rsid w:val="00994BF5"/>
    <w:rsid w:val="0099588E"/>
    <w:rsid w:val="00996122"/>
    <w:rsid w:val="009961AC"/>
    <w:rsid w:val="009965EC"/>
    <w:rsid w:val="009966C7"/>
    <w:rsid w:val="00996765"/>
    <w:rsid w:val="00996CD2"/>
    <w:rsid w:val="009974E9"/>
    <w:rsid w:val="009A04C1"/>
    <w:rsid w:val="009A0564"/>
    <w:rsid w:val="009A1CEA"/>
    <w:rsid w:val="009A1D2B"/>
    <w:rsid w:val="009A1E25"/>
    <w:rsid w:val="009A266B"/>
    <w:rsid w:val="009A29BA"/>
    <w:rsid w:val="009A2C2D"/>
    <w:rsid w:val="009A4BDD"/>
    <w:rsid w:val="009A5374"/>
    <w:rsid w:val="009A5C21"/>
    <w:rsid w:val="009A5FF0"/>
    <w:rsid w:val="009A60F8"/>
    <w:rsid w:val="009A66FB"/>
    <w:rsid w:val="009A694F"/>
    <w:rsid w:val="009A69BB"/>
    <w:rsid w:val="009A7961"/>
    <w:rsid w:val="009A7A96"/>
    <w:rsid w:val="009A7B91"/>
    <w:rsid w:val="009A7F8F"/>
    <w:rsid w:val="009B0467"/>
    <w:rsid w:val="009B1804"/>
    <w:rsid w:val="009B196B"/>
    <w:rsid w:val="009B2370"/>
    <w:rsid w:val="009B2BB4"/>
    <w:rsid w:val="009B2D87"/>
    <w:rsid w:val="009B2E97"/>
    <w:rsid w:val="009B3151"/>
    <w:rsid w:val="009B3514"/>
    <w:rsid w:val="009B36DD"/>
    <w:rsid w:val="009B3700"/>
    <w:rsid w:val="009B3ECE"/>
    <w:rsid w:val="009B41C5"/>
    <w:rsid w:val="009B47B5"/>
    <w:rsid w:val="009B51CC"/>
    <w:rsid w:val="009B5D9E"/>
    <w:rsid w:val="009B6226"/>
    <w:rsid w:val="009B6777"/>
    <w:rsid w:val="009B6D01"/>
    <w:rsid w:val="009B6D13"/>
    <w:rsid w:val="009B7678"/>
    <w:rsid w:val="009C1D8A"/>
    <w:rsid w:val="009C2289"/>
    <w:rsid w:val="009C320F"/>
    <w:rsid w:val="009C345A"/>
    <w:rsid w:val="009C3AAF"/>
    <w:rsid w:val="009C4EC2"/>
    <w:rsid w:val="009C537C"/>
    <w:rsid w:val="009C5DD7"/>
    <w:rsid w:val="009C64EF"/>
    <w:rsid w:val="009C6E73"/>
    <w:rsid w:val="009C6F37"/>
    <w:rsid w:val="009C7094"/>
    <w:rsid w:val="009C7424"/>
    <w:rsid w:val="009C7F72"/>
    <w:rsid w:val="009D103D"/>
    <w:rsid w:val="009D1512"/>
    <w:rsid w:val="009D22B9"/>
    <w:rsid w:val="009D286C"/>
    <w:rsid w:val="009D2B0E"/>
    <w:rsid w:val="009D32D2"/>
    <w:rsid w:val="009D36E2"/>
    <w:rsid w:val="009D3E3E"/>
    <w:rsid w:val="009D4BB7"/>
    <w:rsid w:val="009D4E37"/>
    <w:rsid w:val="009D5C80"/>
    <w:rsid w:val="009D636E"/>
    <w:rsid w:val="009D6EAA"/>
    <w:rsid w:val="009D7A1E"/>
    <w:rsid w:val="009D7DF0"/>
    <w:rsid w:val="009E15AB"/>
    <w:rsid w:val="009E18EA"/>
    <w:rsid w:val="009E206A"/>
    <w:rsid w:val="009E25A5"/>
    <w:rsid w:val="009E35A5"/>
    <w:rsid w:val="009E36C6"/>
    <w:rsid w:val="009E39E0"/>
    <w:rsid w:val="009E3A5A"/>
    <w:rsid w:val="009E4367"/>
    <w:rsid w:val="009E56EC"/>
    <w:rsid w:val="009E5B4E"/>
    <w:rsid w:val="009E5C13"/>
    <w:rsid w:val="009E6462"/>
    <w:rsid w:val="009E7042"/>
    <w:rsid w:val="009F007F"/>
    <w:rsid w:val="009F04E4"/>
    <w:rsid w:val="009F16D9"/>
    <w:rsid w:val="009F18A4"/>
    <w:rsid w:val="009F19B5"/>
    <w:rsid w:val="009F1A5E"/>
    <w:rsid w:val="009F22D5"/>
    <w:rsid w:val="009F3350"/>
    <w:rsid w:val="009F33C9"/>
    <w:rsid w:val="009F3928"/>
    <w:rsid w:val="009F3EEC"/>
    <w:rsid w:val="009F3F87"/>
    <w:rsid w:val="009F4E9A"/>
    <w:rsid w:val="009F4F7F"/>
    <w:rsid w:val="009F5537"/>
    <w:rsid w:val="009F5914"/>
    <w:rsid w:val="009F5998"/>
    <w:rsid w:val="009F59BB"/>
    <w:rsid w:val="009F6798"/>
    <w:rsid w:val="009F680F"/>
    <w:rsid w:val="009F7057"/>
    <w:rsid w:val="009F7CF1"/>
    <w:rsid w:val="00A00309"/>
    <w:rsid w:val="00A00991"/>
    <w:rsid w:val="00A0117C"/>
    <w:rsid w:val="00A01718"/>
    <w:rsid w:val="00A01866"/>
    <w:rsid w:val="00A01E1A"/>
    <w:rsid w:val="00A032E9"/>
    <w:rsid w:val="00A033F9"/>
    <w:rsid w:val="00A04B42"/>
    <w:rsid w:val="00A053A4"/>
    <w:rsid w:val="00A06D76"/>
    <w:rsid w:val="00A06F95"/>
    <w:rsid w:val="00A070C7"/>
    <w:rsid w:val="00A07A3A"/>
    <w:rsid w:val="00A10234"/>
    <w:rsid w:val="00A103AC"/>
    <w:rsid w:val="00A1128A"/>
    <w:rsid w:val="00A11DA4"/>
    <w:rsid w:val="00A13EE2"/>
    <w:rsid w:val="00A141AA"/>
    <w:rsid w:val="00A14926"/>
    <w:rsid w:val="00A14D73"/>
    <w:rsid w:val="00A155EB"/>
    <w:rsid w:val="00A15DFA"/>
    <w:rsid w:val="00A17030"/>
    <w:rsid w:val="00A171EC"/>
    <w:rsid w:val="00A172A9"/>
    <w:rsid w:val="00A1735B"/>
    <w:rsid w:val="00A177B9"/>
    <w:rsid w:val="00A204E8"/>
    <w:rsid w:val="00A20A2D"/>
    <w:rsid w:val="00A21051"/>
    <w:rsid w:val="00A215B8"/>
    <w:rsid w:val="00A21737"/>
    <w:rsid w:val="00A21A19"/>
    <w:rsid w:val="00A221A9"/>
    <w:rsid w:val="00A223F8"/>
    <w:rsid w:val="00A22469"/>
    <w:rsid w:val="00A22645"/>
    <w:rsid w:val="00A238E5"/>
    <w:rsid w:val="00A23C2E"/>
    <w:rsid w:val="00A241F0"/>
    <w:rsid w:val="00A244B2"/>
    <w:rsid w:val="00A246B7"/>
    <w:rsid w:val="00A247E6"/>
    <w:rsid w:val="00A255E3"/>
    <w:rsid w:val="00A258BE"/>
    <w:rsid w:val="00A25FFE"/>
    <w:rsid w:val="00A2678A"/>
    <w:rsid w:val="00A26842"/>
    <w:rsid w:val="00A27FB1"/>
    <w:rsid w:val="00A3049B"/>
    <w:rsid w:val="00A31393"/>
    <w:rsid w:val="00A31B32"/>
    <w:rsid w:val="00A32876"/>
    <w:rsid w:val="00A32B02"/>
    <w:rsid w:val="00A32DA0"/>
    <w:rsid w:val="00A32E20"/>
    <w:rsid w:val="00A33E38"/>
    <w:rsid w:val="00A3455C"/>
    <w:rsid w:val="00A3472D"/>
    <w:rsid w:val="00A34BB7"/>
    <w:rsid w:val="00A3503A"/>
    <w:rsid w:val="00A3548D"/>
    <w:rsid w:val="00A35FF1"/>
    <w:rsid w:val="00A36AAA"/>
    <w:rsid w:val="00A36D83"/>
    <w:rsid w:val="00A3768F"/>
    <w:rsid w:val="00A3784D"/>
    <w:rsid w:val="00A37DFF"/>
    <w:rsid w:val="00A40296"/>
    <w:rsid w:val="00A404B8"/>
    <w:rsid w:val="00A407DD"/>
    <w:rsid w:val="00A40BFB"/>
    <w:rsid w:val="00A415C7"/>
    <w:rsid w:val="00A42E78"/>
    <w:rsid w:val="00A43203"/>
    <w:rsid w:val="00A43A32"/>
    <w:rsid w:val="00A43F99"/>
    <w:rsid w:val="00A45162"/>
    <w:rsid w:val="00A45439"/>
    <w:rsid w:val="00A4550B"/>
    <w:rsid w:val="00A4564C"/>
    <w:rsid w:val="00A45C56"/>
    <w:rsid w:val="00A46045"/>
    <w:rsid w:val="00A4621F"/>
    <w:rsid w:val="00A46967"/>
    <w:rsid w:val="00A47EAF"/>
    <w:rsid w:val="00A50513"/>
    <w:rsid w:val="00A50CF7"/>
    <w:rsid w:val="00A52297"/>
    <w:rsid w:val="00A52510"/>
    <w:rsid w:val="00A529C5"/>
    <w:rsid w:val="00A53244"/>
    <w:rsid w:val="00A535CA"/>
    <w:rsid w:val="00A53693"/>
    <w:rsid w:val="00A53860"/>
    <w:rsid w:val="00A53ED0"/>
    <w:rsid w:val="00A54E33"/>
    <w:rsid w:val="00A55808"/>
    <w:rsid w:val="00A55B37"/>
    <w:rsid w:val="00A56EA6"/>
    <w:rsid w:val="00A57203"/>
    <w:rsid w:val="00A57417"/>
    <w:rsid w:val="00A57635"/>
    <w:rsid w:val="00A6008C"/>
    <w:rsid w:val="00A60461"/>
    <w:rsid w:val="00A60880"/>
    <w:rsid w:val="00A6130C"/>
    <w:rsid w:val="00A61485"/>
    <w:rsid w:val="00A61A62"/>
    <w:rsid w:val="00A62783"/>
    <w:rsid w:val="00A644E6"/>
    <w:rsid w:val="00A648C6"/>
    <w:rsid w:val="00A64BFB"/>
    <w:rsid w:val="00A64ECB"/>
    <w:rsid w:val="00A6508D"/>
    <w:rsid w:val="00A658F7"/>
    <w:rsid w:val="00A66AE3"/>
    <w:rsid w:val="00A66EB5"/>
    <w:rsid w:val="00A67739"/>
    <w:rsid w:val="00A70730"/>
    <w:rsid w:val="00A70F53"/>
    <w:rsid w:val="00A714A7"/>
    <w:rsid w:val="00A71731"/>
    <w:rsid w:val="00A719D8"/>
    <w:rsid w:val="00A7234E"/>
    <w:rsid w:val="00A72BE8"/>
    <w:rsid w:val="00A75722"/>
    <w:rsid w:val="00A75F96"/>
    <w:rsid w:val="00A761DD"/>
    <w:rsid w:val="00A77711"/>
    <w:rsid w:val="00A77AD8"/>
    <w:rsid w:val="00A80BA4"/>
    <w:rsid w:val="00A81118"/>
    <w:rsid w:val="00A81241"/>
    <w:rsid w:val="00A81A07"/>
    <w:rsid w:val="00A8287D"/>
    <w:rsid w:val="00A82A8D"/>
    <w:rsid w:val="00A83796"/>
    <w:rsid w:val="00A83D3E"/>
    <w:rsid w:val="00A85162"/>
    <w:rsid w:val="00A85F7B"/>
    <w:rsid w:val="00A86880"/>
    <w:rsid w:val="00A870CC"/>
    <w:rsid w:val="00A872C6"/>
    <w:rsid w:val="00A87885"/>
    <w:rsid w:val="00A87F12"/>
    <w:rsid w:val="00A90356"/>
    <w:rsid w:val="00A90F57"/>
    <w:rsid w:val="00A922F2"/>
    <w:rsid w:val="00A923C0"/>
    <w:rsid w:val="00A93226"/>
    <w:rsid w:val="00A93B3F"/>
    <w:rsid w:val="00A93ECC"/>
    <w:rsid w:val="00A943EB"/>
    <w:rsid w:val="00A94C10"/>
    <w:rsid w:val="00A956F3"/>
    <w:rsid w:val="00A960DB"/>
    <w:rsid w:val="00A96154"/>
    <w:rsid w:val="00A966B9"/>
    <w:rsid w:val="00A977EA"/>
    <w:rsid w:val="00A97E58"/>
    <w:rsid w:val="00AA01EC"/>
    <w:rsid w:val="00AA03FF"/>
    <w:rsid w:val="00AA0766"/>
    <w:rsid w:val="00AA0B9A"/>
    <w:rsid w:val="00AA0C62"/>
    <w:rsid w:val="00AA147A"/>
    <w:rsid w:val="00AA1891"/>
    <w:rsid w:val="00AA1CEF"/>
    <w:rsid w:val="00AA1D2D"/>
    <w:rsid w:val="00AA1F3E"/>
    <w:rsid w:val="00AA33B1"/>
    <w:rsid w:val="00AA45C8"/>
    <w:rsid w:val="00AA69AC"/>
    <w:rsid w:val="00AA6F86"/>
    <w:rsid w:val="00AA73E8"/>
    <w:rsid w:val="00AA75E4"/>
    <w:rsid w:val="00AA764D"/>
    <w:rsid w:val="00AB0547"/>
    <w:rsid w:val="00AB0720"/>
    <w:rsid w:val="00AB0DA1"/>
    <w:rsid w:val="00AB1949"/>
    <w:rsid w:val="00AB2B30"/>
    <w:rsid w:val="00AB2F71"/>
    <w:rsid w:val="00AB3056"/>
    <w:rsid w:val="00AB30BE"/>
    <w:rsid w:val="00AB4A27"/>
    <w:rsid w:val="00AB4E32"/>
    <w:rsid w:val="00AB512D"/>
    <w:rsid w:val="00AB51DD"/>
    <w:rsid w:val="00AB5AE1"/>
    <w:rsid w:val="00AB6E51"/>
    <w:rsid w:val="00AB6FA1"/>
    <w:rsid w:val="00AB7AA8"/>
    <w:rsid w:val="00AC06C7"/>
    <w:rsid w:val="00AC1023"/>
    <w:rsid w:val="00AC2231"/>
    <w:rsid w:val="00AC2F41"/>
    <w:rsid w:val="00AC35C5"/>
    <w:rsid w:val="00AC3745"/>
    <w:rsid w:val="00AC3D99"/>
    <w:rsid w:val="00AC46EB"/>
    <w:rsid w:val="00AC49CC"/>
    <w:rsid w:val="00AC4F0F"/>
    <w:rsid w:val="00AC5108"/>
    <w:rsid w:val="00AC6471"/>
    <w:rsid w:val="00AC74F6"/>
    <w:rsid w:val="00AD1AAF"/>
    <w:rsid w:val="00AD1B14"/>
    <w:rsid w:val="00AD1C1C"/>
    <w:rsid w:val="00AD2B1C"/>
    <w:rsid w:val="00AD2D65"/>
    <w:rsid w:val="00AD2DE6"/>
    <w:rsid w:val="00AD30D1"/>
    <w:rsid w:val="00AD3182"/>
    <w:rsid w:val="00AD343E"/>
    <w:rsid w:val="00AD4A73"/>
    <w:rsid w:val="00AD618E"/>
    <w:rsid w:val="00AD6847"/>
    <w:rsid w:val="00AD69F8"/>
    <w:rsid w:val="00AD74ED"/>
    <w:rsid w:val="00AD7588"/>
    <w:rsid w:val="00AD79F7"/>
    <w:rsid w:val="00AE13DE"/>
    <w:rsid w:val="00AE19AB"/>
    <w:rsid w:val="00AE1EF2"/>
    <w:rsid w:val="00AE2290"/>
    <w:rsid w:val="00AE2DBD"/>
    <w:rsid w:val="00AE2E75"/>
    <w:rsid w:val="00AE2EBB"/>
    <w:rsid w:val="00AE3C76"/>
    <w:rsid w:val="00AE40F1"/>
    <w:rsid w:val="00AE4202"/>
    <w:rsid w:val="00AE43FB"/>
    <w:rsid w:val="00AE5BC2"/>
    <w:rsid w:val="00AE66E9"/>
    <w:rsid w:val="00AE6734"/>
    <w:rsid w:val="00AE707B"/>
    <w:rsid w:val="00AE7D83"/>
    <w:rsid w:val="00AF0014"/>
    <w:rsid w:val="00AF1160"/>
    <w:rsid w:val="00AF203F"/>
    <w:rsid w:val="00AF20D3"/>
    <w:rsid w:val="00AF2298"/>
    <w:rsid w:val="00AF23F3"/>
    <w:rsid w:val="00AF26EA"/>
    <w:rsid w:val="00AF2896"/>
    <w:rsid w:val="00AF53C8"/>
    <w:rsid w:val="00AF5814"/>
    <w:rsid w:val="00AF5A98"/>
    <w:rsid w:val="00AF6632"/>
    <w:rsid w:val="00AF6E72"/>
    <w:rsid w:val="00AF7208"/>
    <w:rsid w:val="00B01351"/>
    <w:rsid w:val="00B01630"/>
    <w:rsid w:val="00B018D2"/>
    <w:rsid w:val="00B01EEC"/>
    <w:rsid w:val="00B02A5C"/>
    <w:rsid w:val="00B02E83"/>
    <w:rsid w:val="00B0344C"/>
    <w:rsid w:val="00B04329"/>
    <w:rsid w:val="00B05513"/>
    <w:rsid w:val="00B05A58"/>
    <w:rsid w:val="00B06408"/>
    <w:rsid w:val="00B06560"/>
    <w:rsid w:val="00B072A9"/>
    <w:rsid w:val="00B10459"/>
    <w:rsid w:val="00B10F6B"/>
    <w:rsid w:val="00B11059"/>
    <w:rsid w:val="00B11A97"/>
    <w:rsid w:val="00B11B42"/>
    <w:rsid w:val="00B11F7B"/>
    <w:rsid w:val="00B12354"/>
    <w:rsid w:val="00B13ACF"/>
    <w:rsid w:val="00B13C73"/>
    <w:rsid w:val="00B13EB2"/>
    <w:rsid w:val="00B13FF7"/>
    <w:rsid w:val="00B14237"/>
    <w:rsid w:val="00B144FC"/>
    <w:rsid w:val="00B1538C"/>
    <w:rsid w:val="00B1565B"/>
    <w:rsid w:val="00B16625"/>
    <w:rsid w:val="00B166BD"/>
    <w:rsid w:val="00B16700"/>
    <w:rsid w:val="00B17311"/>
    <w:rsid w:val="00B1760B"/>
    <w:rsid w:val="00B17A8D"/>
    <w:rsid w:val="00B17C46"/>
    <w:rsid w:val="00B17D97"/>
    <w:rsid w:val="00B200D9"/>
    <w:rsid w:val="00B203BE"/>
    <w:rsid w:val="00B2104E"/>
    <w:rsid w:val="00B21178"/>
    <w:rsid w:val="00B21A02"/>
    <w:rsid w:val="00B221E7"/>
    <w:rsid w:val="00B222A0"/>
    <w:rsid w:val="00B22805"/>
    <w:rsid w:val="00B2309E"/>
    <w:rsid w:val="00B23B40"/>
    <w:rsid w:val="00B246B7"/>
    <w:rsid w:val="00B247EC"/>
    <w:rsid w:val="00B24A6B"/>
    <w:rsid w:val="00B25269"/>
    <w:rsid w:val="00B252F6"/>
    <w:rsid w:val="00B255A5"/>
    <w:rsid w:val="00B2582E"/>
    <w:rsid w:val="00B259AF"/>
    <w:rsid w:val="00B2614E"/>
    <w:rsid w:val="00B26615"/>
    <w:rsid w:val="00B26BC1"/>
    <w:rsid w:val="00B26C21"/>
    <w:rsid w:val="00B273D3"/>
    <w:rsid w:val="00B31211"/>
    <w:rsid w:val="00B31E4E"/>
    <w:rsid w:val="00B326E3"/>
    <w:rsid w:val="00B32AB1"/>
    <w:rsid w:val="00B3326C"/>
    <w:rsid w:val="00B33A90"/>
    <w:rsid w:val="00B33B89"/>
    <w:rsid w:val="00B341C8"/>
    <w:rsid w:val="00B34302"/>
    <w:rsid w:val="00B343D0"/>
    <w:rsid w:val="00B348C5"/>
    <w:rsid w:val="00B34CA0"/>
    <w:rsid w:val="00B352BC"/>
    <w:rsid w:val="00B3536D"/>
    <w:rsid w:val="00B3565D"/>
    <w:rsid w:val="00B3567F"/>
    <w:rsid w:val="00B35942"/>
    <w:rsid w:val="00B36CE3"/>
    <w:rsid w:val="00B36DF4"/>
    <w:rsid w:val="00B37FF2"/>
    <w:rsid w:val="00B419B5"/>
    <w:rsid w:val="00B41C2F"/>
    <w:rsid w:val="00B41C9C"/>
    <w:rsid w:val="00B42D8F"/>
    <w:rsid w:val="00B431C2"/>
    <w:rsid w:val="00B4344F"/>
    <w:rsid w:val="00B438BB"/>
    <w:rsid w:val="00B43B68"/>
    <w:rsid w:val="00B4476F"/>
    <w:rsid w:val="00B44E59"/>
    <w:rsid w:val="00B44EBB"/>
    <w:rsid w:val="00B453F2"/>
    <w:rsid w:val="00B45A97"/>
    <w:rsid w:val="00B46982"/>
    <w:rsid w:val="00B46B78"/>
    <w:rsid w:val="00B46BD6"/>
    <w:rsid w:val="00B46C9B"/>
    <w:rsid w:val="00B470B9"/>
    <w:rsid w:val="00B477C4"/>
    <w:rsid w:val="00B47EF7"/>
    <w:rsid w:val="00B47F00"/>
    <w:rsid w:val="00B50169"/>
    <w:rsid w:val="00B51B4A"/>
    <w:rsid w:val="00B51DC0"/>
    <w:rsid w:val="00B5314B"/>
    <w:rsid w:val="00B533ED"/>
    <w:rsid w:val="00B536C1"/>
    <w:rsid w:val="00B538D4"/>
    <w:rsid w:val="00B53B71"/>
    <w:rsid w:val="00B53F9B"/>
    <w:rsid w:val="00B548E4"/>
    <w:rsid w:val="00B54A65"/>
    <w:rsid w:val="00B54B0A"/>
    <w:rsid w:val="00B54B30"/>
    <w:rsid w:val="00B54F17"/>
    <w:rsid w:val="00B55FAD"/>
    <w:rsid w:val="00B5615E"/>
    <w:rsid w:val="00B56DC5"/>
    <w:rsid w:val="00B57056"/>
    <w:rsid w:val="00B57652"/>
    <w:rsid w:val="00B57945"/>
    <w:rsid w:val="00B57C29"/>
    <w:rsid w:val="00B57E0E"/>
    <w:rsid w:val="00B57E85"/>
    <w:rsid w:val="00B61075"/>
    <w:rsid w:val="00B611DD"/>
    <w:rsid w:val="00B612B5"/>
    <w:rsid w:val="00B617D6"/>
    <w:rsid w:val="00B619FA"/>
    <w:rsid w:val="00B61C01"/>
    <w:rsid w:val="00B61D05"/>
    <w:rsid w:val="00B621FD"/>
    <w:rsid w:val="00B62497"/>
    <w:rsid w:val="00B62520"/>
    <w:rsid w:val="00B627D9"/>
    <w:rsid w:val="00B62A20"/>
    <w:rsid w:val="00B62B66"/>
    <w:rsid w:val="00B62EB1"/>
    <w:rsid w:val="00B6305F"/>
    <w:rsid w:val="00B63546"/>
    <w:rsid w:val="00B637E6"/>
    <w:rsid w:val="00B646DA"/>
    <w:rsid w:val="00B6481E"/>
    <w:rsid w:val="00B64EDA"/>
    <w:rsid w:val="00B65218"/>
    <w:rsid w:val="00B65630"/>
    <w:rsid w:val="00B65996"/>
    <w:rsid w:val="00B65BA2"/>
    <w:rsid w:val="00B65E66"/>
    <w:rsid w:val="00B65FD3"/>
    <w:rsid w:val="00B661BD"/>
    <w:rsid w:val="00B6711E"/>
    <w:rsid w:val="00B67954"/>
    <w:rsid w:val="00B679BC"/>
    <w:rsid w:val="00B7000A"/>
    <w:rsid w:val="00B701C1"/>
    <w:rsid w:val="00B705C5"/>
    <w:rsid w:val="00B70FDD"/>
    <w:rsid w:val="00B71B4F"/>
    <w:rsid w:val="00B71C6B"/>
    <w:rsid w:val="00B71FCD"/>
    <w:rsid w:val="00B7282C"/>
    <w:rsid w:val="00B72870"/>
    <w:rsid w:val="00B74079"/>
    <w:rsid w:val="00B7495D"/>
    <w:rsid w:val="00B74981"/>
    <w:rsid w:val="00B749F3"/>
    <w:rsid w:val="00B7537F"/>
    <w:rsid w:val="00B75FBF"/>
    <w:rsid w:val="00B76189"/>
    <w:rsid w:val="00B779F0"/>
    <w:rsid w:val="00B77A54"/>
    <w:rsid w:val="00B801C3"/>
    <w:rsid w:val="00B809BE"/>
    <w:rsid w:val="00B80F08"/>
    <w:rsid w:val="00B8195F"/>
    <w:rsid w:val="00B82D65"/>
    <w:rsid w:val="00B8368B"/>
    <w:rsid w:val="00B843F6"/>
    <w:rsid w:val="00B84CAC"/>
    <w:rsid w:val="00B8554D"/>
    <w:rsid w:val="00B86853"/>
    <w:rsid w:val="00B8776D"/>
    <w:rsid w:val="00B87E71"/>
    <w:rsid w:val="00B9028F"/>
    <w:rsid w:val="00B908C8"/>
    <w:rsid w:val="00B90CCD"/>
    <w:rsid w:val="00B910C8"/>
    <w:rsid w:val="00B9196A"/>
    <w:rsid w:val="00B91C1B"/>
    <w:rsid w:val="00B9201B"/>
    <w:rsid w:val="00B925FA"/>
    <w:rsid w:val="00B92F30"/>
    <w:rsid w:val="00B937F0"/>
    <w:rsid w:val="00B93B0D"/>
    <w:rsid w:val="00B94A7F"/>
    <w:rsid w:val="00B9580E"/>
    <w:rsid w:val="00B96051"/>
    <w:rsid w:val="00B96858"/>
    <w:rsid w:val="00B97444"/>
    <w:rsid w:val="00B979D7"/>
    <w:rsid w:val="00BA00A7"/>
    <w:rsid w:val="00BA045E"/>
    <w:rsid w:val="00BA04D1"/>
    <w:rsid w:val="00BA123F"/>
    <w:rsid w:val="00BA24D8"/>
    <w:rsid w:val="00BA3481"/>
    <w:rsid w:val="00BA3794"/>
    <w:rsid w:val="00BA3882"/>
    <w:rsid w:val="00BA461F"/>
    <w:rsid w:val="00BA4792"/>
    <w:rsid w:val="00BA4DAF"/>
    <w:rsid w:val="00BA5B09"/>
    <w:rsid w:val="00BA6965"/>
    <w:rsid w:val="00BA7949"/>
    <w:rsid w:val="00BA7A85"/>
    <w:rsid w:val="00BA7F0E"/>
    <w:rsid w:val="00BB0024"/>
    <w:rsid w:val="00BB021B"/>
    <w:rsid w:val="00BB0CE9"/>
    <w:rsid w:val="00BB0F82"/>
    <w:rsid w:val="00BB1419"/>
    <w:rsid w:val="00BB14FD"/>
    <w:rsid w:val="00BB1AEB"/>
    <w:rsid w:val="00BB272F"/>
    <w:rsid w:val="00BB3A84"/>
    <w:rsid w:val="00BB46D4"/>
    <w:rsid w:val="00BB4828"/>
    <w:rsid w:val="00BB4B2F"/>
    <w:rsid w:val="00BB56CC"/>
    <w:rsid w:val="00BB7B09"/>
    <w:rsid w:val="00BC00F6"/>
    <w:rsid w:val="00BC0FE3"/>
    <w:rsid w:val="00BC1E40"/>
    <w:rsid w:val="00BC202A"/>
    <w:rsid w:val="00BC2D71"/>
    <w:rsid w:val="00BC3345"/>
    <w:rsid w:val="00BC48B3"/>
    <w:rsid w:val="00BC49E9"/>
    <w:rsid w:val="00BC5CDA"/>
    <w:rsid w:val="00BC6326"/>
    <w:rsid w:val="00BC6A15"/>
    <w:rsid w:val="00BC6DD6"/>
    <w:rsid w:val="00BC741F"/>
    <w:rsid w:val="00BC75C0"/>
    <w:rsid w:val="00BC79D7"/>
    <w:rsid w:val="00BC7F89"/>
    <w:rsid w:val="00BD0760"/>
    <w:rsid w:val="00BD0CEC"/>
    <w:rsid w:val="00BD0F59"/>
    <w:rsid w:val="00BD13B3"/>
    <w:rsid w:val="00BD1628"/>
    <w:rsid w:val="00BD1A57"/>
    <w:rsid w:val="00BD1E2D"/>
    <w:rsid w:val="00BD28FA"/>
    <w:rsid w:val="00BD39F2"/>
    <w:rsid w:val="00BD3AFC"/>
    <w:rsid w:val="00BD40BB"/>
    <w:rsid w:val="00BD4BA2"/>
    <w:rsid w:val="00BD4C1C"/>
    <w:rsid w:val="00BD661E"/>
    <w:rsid w:val="00BD6929"/>
    <w:rsid w:val="00BD7B65"/>
    <w:rsid w:val="00BE09F1"/>
    <w:rsid w:val="00BE112E"/>
    <w:rsid w:val="00BE1870"/>
    <w:rsid w:val="00BE1BC1"/>
    <w:rsid w:val="00BE230C"/>
    <w:rsid w:val="00BE23FE"/>
    <w:rsid w:val="00BE25E3"/>
    <w:rsid w:val="00BE2AC1"/>
    <w:rsid w:val="00BE307A"/>
    <w:rsid w:val="00BE39FB"/>
    <w:rsid w:val="00BE4607"/>
    <w:rsid w:val="00BE48F5"/>
    <w:rsid w:val="00BE54AD"/>
    <w:rsid w:val="00BE58FC"/>
    <w:rsid w:val="00BE6CBE"/>
    <w:rsid w:val="00BE7262"/>
    <w:rsid w:val="00BE7BBB"/>
    <w:rsid w:val="00BE7CBE"/>
    <w:rsid w:val="00BE7F6B"/>
    <w:rsid w:val="00BF060C"/>
    <w:rsid w:val="00BF095A"/>
    <w:rsid w:val="00BF0CF3"/>
    <w:rsid w:val="00BF0E4F"/>
    <w:rsid w:val="00BF137A"/>
    <w:rsid w:val="00BF2047"/>
    <w:rsid w:val="00BF2386"/>
    <w:rsid w:val="00BF2400"/>
    <w:rsid w:val="00BF281F"/>
    <w:rsid w:val="00BF2EDE"/>
    <w:rsid w:val="00BF378E"/>
    <w:rsid w:val="00BF3A66"/>
    <w:rsid w:val="00BF3C0D"/>
    <w:rsid w:val="00BF3D04"/>
    <w:rsid w:val="00BF4076"/>
    <w:rsid w:val="00BF4367"/>
    <w:rsid w:val="00BF4D97"/>
    <w:rsid w:val="00BF62DE"/>
    <w:rsid w:val="00BF63FB"/>
    <w:rsid w:val="00BF68A7"/>
    <w:rsid w:val="00BF6BAB"/>
    <w:rsid w:val="00BF75DF"/>
    <w:rsid w:val="00BF77E0"/>
    <w:rsid w:val="00C00027"/>
    <w:rsid w:val="00C00F85"/>
    <w:rsid w:val="00C01B0A"/>
    <w:rsid w:val="00C0538C"/>
    <w:rsid w:val="00C055BB"/>
    <w:rsid w:val="00C056D7"/>
    <w:rsid w:val="00C05706"/>
    <w:rsid w:val="00C05F9D"/>
    <w:rsid w:val="00C0740F"/>
    <w:rsid w:val="00C07A43"/>
    <w:rsid w:val="00C10DB5"/>
    <w:rsid w:val="00C113FD"/>
    <w:rsid w:val="00C11869"/>
    <w:rsid w:val="00C11C27"/>
    <w:rsid w:val="00C12741"/>
    <w:rsid w:val="00C13F6E"/>
    <w:rsid w:val="00C1448E"/>
    <w:rsid w:val="00C14629"/>
    <w:rsid w:val="00C147B2"/>
    <w:rsid w:val="00C15F2E"/>
    <w:rsid w:val="00C16067"/>
    <w:rsid w:val="00C161D3"/>
    <w:rsid w:val="00C16708"/>
    <w:rsid w:val="00C16832"/>
    <w:rsid w:val="00C16A01"/>
    <w:rsid w:val="00C16A41"/>
    <w:rsid w:val="00C16BB2"/>
    <w:rsid w:val="00C16CB7"/>
    <w:rsid w:val="00C16ECF"/>
    <w:rsid w:val="00C17713"/>
    <w:rsid w:val="00C207CC"/>
    <w:rsid w:val="00C2095C"/>
    <w:rsid w:val="00C20CF3"/>
    <w:rsid w:val="00C21666"/>
    <w:rsid w:val="00C22279"/>
    <w:rsid w:val="00C228C7"/>
    <w:rsid w:val="00C23591"/>
    <w:rsid w:val="00C2381C"/>
    <w:rsid w:val="00C23EF4"/>
    <w:rsid w:val="00C24A5A"/>
    <w:rsid w:val="00C24AA7"/>
    <w:rsid w:val="00C258F0"/>
    <w:rsid w:val="00C25E83"/>
    <w:rsid w:val="00C25F45"/>
    <w:rsid w:val="00C260A4"/>
    <w:rsid w:val="00C26502"/>
    <w:rsid w:val="00C26ABA"/>
    <w:rsid w:val="00C26AE8"/>
    <w:rsid w:val="00C30118"/>
    <w:rsid w:val="00C31EA5"/>
    <w:rsid w:val="00C321A1"/>
    <w:rsid w:val="00C32262"/>
    <w:rsid w:val="00C32536"/>
    <w:rsid w:val="00C328C6"/>
    <w:rsid w:val="00C32ADC"/>
    <w:rsid w:val="00C32EE7"/>
    <w:rsid w:val="00C33CE3"/>
    <w:rsid w:val="00C34273"/>
    <w:rsid w:val="00C34609"/>
    <w:rsid w:val="00C34C68"/>
    <w:rsid w:val="00C355AC"/>
    <w:rsid w:val="00C35990"/>
    <w:rsid w:val="00C35B56"/>
    <w:rsid w:val="00C363BD"/>
    <w:rsid w:val="00C36F01"/>
    <w:rsid w:val="00C3750F"/>
    <w:rsid w:val="00C379F0"/>
    <w:rsid w:val="00C40325"/>
    <w:rsid w:val="00C40364"/>
    <w:rsid w:val="00C40854"/>
    <w:rsid w:val="00C412A7"/>
    <w:rsid w:val="00C416F2"/>
    <w:rsid w:val="00C41FD7"/>
    <w:rsid w:val="00C42038"/>
    <w:rsid w:val="00C42347"/>
    <w:rsid w:val="00C42B2E"/>
    <w:rsid w:val="00C43207"/>
    <w:rsid w:val="00C4351C"/>
    <w:rsid w:val="00C43E4A"/>
    <w:rsid w:val="00C44852"/>
    <w:rsid w:val="00C44CEB"/>
    <w:rsid w:val="00C45A98"/>
    <w:rsid w:val="00C45BC5"/>
    <w:rsid w:val="00C46210"/>
    <w:rsid w:val="00C46239"/>
    <w:rsid w:val="00C47051"/>
    <w:rsid w:val="00C475A8"/>
    <w:rsid w:val="00C47E30"/>
    <w:rsid w:val="00C507C5"/>
    <w:rsid w:val="00C51036"/>
    <w:rsid w:val="00C5137F"/>
    <w:rsid w:val="00C515CB"/>
    <w:rsid w:val="00C51B6C"/>
    <w:rsid w:val="00C51C07"/>
    <w:rsid w:val="00C527FA"/>
    <w:rsid w:val="00C53EDF"/>
    <w:rsid w:val="00C5463B"/>
    <w:rsid w:val="00C550B1"/>
    <w:rsid w:val="00C55D4F"/>
    <w:rsid w:val="00C56DB0"/>
    <w:rsid w:val="00C57485"/>
    <w:rsid w:val="00C600FD"/>
    <w:rsid w:val="00C6062B"/>
    <w:rsid w:val="00C60FAC"/>
    <w:rsid w:val="00C6171B"/>
    <w:rsid w:val="00C6243E"/>
    <w:rsid w:val="00C64073"/>
    <w:rsid w:val="00C64444"/>
    <w:rsid w:val="00C645EF"/>
    <w:rsid w:val="00C64AD0"/>
    <w:rsid w:val="00C64D73"/>
    <w:rsid w:val="00C6512F"/>
    <w:rsid w:val="00C6526B"/>
    <w:rsid w:val="00C6544B"/>
    <w:rsid w:val="00C66509"/>
    <w:rsid w:val="00C6668D"/>
    <w:rsid w:val="00C666A7"/>
    <w:rsid w:val="00C66809"/>
    <w:rsid w:val="00C67E5C"/>
    <w:rsid w:val="00C70C52"/>
    <w:rsid w:val="00C7243A"/>
    <w:rsid w:val="00C725C7"/>
    <w:rsid w:val="00C748A0"/>
    <w:rsid w:val="00C74C9D"/>
    <w:rsid w:val="00C74D07"/>
    <w:rsid w:val="00C75ACB"/>
    <w:rsid w:val="00C75BF2"/>
    <w:rsid w:val="00C81694"/>
    <w:rsid w:val="00C81A06"/>
    <w:rsid w:val="00C81DA7"/>
    <w:rsid w:val="00C8210A"/>
    <w:rsid w:val="00C82C7A"/>
    <w:rsid w:val="00C82E5E"/>
    <w:rsid w:val="00C82E6B"/>
    <w:rsid w:val="00C82FCB"/>
    <w:rsid w:val="00C872E4"/>
    <w:rsid w:val="00C877A4"/>
    <w:rsid w:val="00C87A83"/>
    <w:rsid w:val="00C87B4B"/>
    <w:rsid w:val="00C87F09"/>
    <w:rsid w:val="00C90511"/>
    <w:rsid w:val="00C907E5"/>
    <w:rsid w:val="00C909A4"/>
    <w:rsid w:val="00C90DFF"/>
    <w:rsid w:val="00C9122E"/>
    <w:rsid w:val="00C91F6B"/>
    <w:rsid w:val="00C921FB"/>
    <w:rsid w:val="00C92BA7"/>
    <w:rsid w:val="00C92CC2"/>
    <w:rsid w:val="00C949B5"/>
    <w:rsid w:val="00C94A71"/>
    <w:rsid w:val="00C94F19"/>
    <w:rsid w:val="00C96FAD"/>
    <w:rsid w:val="00C976AA"/>
    <w:rsid w:val="00C9794E"/>
    <w:rsid w:val="00CA03E6"/>
    <w:rsid w:val="00CA1275"/>
    <w:rsid w:val="00CA16C6"/>
    <w:rsid w:val="00CA194A"/>
    <w:rsid w:val="00CA1A5A"/>
    <w:rsid w:val="00CA1ED0"/>
    <w:rsid w:val="00CA241F"/>
    <w:rsid w:val="00CA25BA"/>
    <w:rsid w:val="00CA270F"/>
    <w:rsid w:val="00CA30F6"/>
    <w:rsid w:val="00CA3175"/>
    <w:rsid w:val="00CA5540"/>
    <w:rsid w:val="00CA5A2D"/>
    <w:rsid w:val="00CA6044"/>
    <w:rsid w:val="00CA6413"/>
    <w:rsid w:val="00CA6A01"/>
    <w:rsid w:val="00CA729E"/>
    <w:rsid w:val="00CB0B55"/>
    <w:rsid w:val="00CB0FFF"/>
    <w:rsid w:val="00CB1872"/>
    <w:rsid w:val="00CB1BFE"/>
    <w:rsid w:val="00CB22C8"/>
    <w:rsid w:val="00CB269D"/>
    <w:rsid w:val="00CB2BE4"/>
    <w:rsid w:val="00CB4747"/>
    <w:rsid w:val="00CB4BE5"/>
    <w:rsid w:val="00CB53D5"/>
    <w:rsid w:val="00CB69C7"/>
    <w:rsid w:val="00CB6EFE"/>
    <w:rsid w:val="00CB7B9A"/>
    <w:rsid w:val="00CC0467"/>
    <w:rsid w:val="00CC0CFD"/>
    <w:rsid w:val="00CC125D"/>
    <w:rsid w:val="00CC1A3D"/>
    <w:rsid w:val="00CC1BE2"/>
    <w:rsid w:val="00CC21CE"/>
    <w:rsid w:val="00CC3BB8"/>
    <w:rsid w:val="00CC4B25"/>
    <w:rsid w:val="00CC5E50"/>
    <w:rsid w:val="00CC6901"/>
    <w:rsid w:val="00CC74B4"/>
    <w:rsid w:val="00CC7B66"/>
    <w:rsid w:val="00CD126A"/>
    <w:rsid w:val="00CD1B5A"/>
    <w:rsid w:val="00CD1C5B"/>
    <w:rsid w:val="00CD25E0"/>
    <w:rsid w:val="00CD410E"/>
    <w:rsid w:val="00CD41A9"/>
    <w:rsid w:val="00CD490C"/>
    <w:rsid w:val="00CD4C51"/>
    <w:rsid w:val="00CD5234"/>
    <w:rsid w:val="00CD52E9"/>
    <w:rsid w:val="00CD5AD4"/>
    <w:rsid w:val="00CD5D31"/>
    <w:rsid w:val="00CD5FB9"/>
    <w:rsid w:val="00CD79D5"/>
    <w:rsid w:val="00CE0557"/>
    <w:rsid w:val="00CE0D53"/>
    <w:rsid w:val="00CE1D0F"/>
    <w:rsid w:val="00CE372F"/>
    <w:rsid w:val="00CE39C4"/>
    <w:rsid w:val="00CE551F"/>
    <w:rsid w:val="00CE64B8"/>
    <w:rsid w:val="00CE6863"/>
    <w:rsid w:val="00CE73C9"/>
    <w:rsid w:val="00CE76D9"/>
    <w:rsid w:val="00CF00D7"/>
    <w:rsid w:val="00CF07F7"/>
    <w:rsid w:val="00CF1236"/>
    <w:rsid w:val="00CF128C"/>
    <w:rsid w:val="00CF22C4"/>
    <w:rsid w:val="00CF279F"/>
    <w:rsid w:val="00CF2BE6"/>
    <w:rsid w:val="00CF3345"/>
    <w:rsid w:val="00CF3853"/>
    <w:rsid w:val="00CF47BE"/>
    <w:rsid w:val="00CF4803"/>
    <w:rsid w:val="00CF4E5E"/>
    <w:rsid w:val="00CF4F7B"/>
    <w:rsid w:val="00CF5068"/>
    <w:rsid w:val="00CF5A33"/>
    <w:rsid w:val="00CF6187"/>
    <w:rsid w:val="00CF6CEB"/>
    <w:rsid w:val="00CF6D6D"/>
    <w:rsid w:val="00CF6DEE"/>
    <w:rsid w:val="00D00231"/>
    <w:rsid w:val="00D004F5"/>
    <w:rsid w:val="00D00FCA"/>
    <w:rsid w:val="00D01083"/>
    <w:rsid w:val="00D01938"/>
    <w:rsid w:val="00D03AED"/>
    <w:rsid w:val="00D03BAA"/>
    <w:rsid w:val="00D03EEE"/>
    <w:rsid w:val="00D0477D"/>
    <w:rsid w:val="00D049A4"/>
    <w:rsid w:val="00D049A6"/>
    <w:rsid w:val="00D04B15"/>
    <w:rsid w:val="00D04CA3"/>
    <w:rsid w:val="00D05106"/>
    <w:rsid w:val="00D05CFB"/>
    <w:rsid w:val="00D05DDE"/>
    <w:rsid w:val="00D06287"/>
    <w:rsid w:val="00D06376"/>
    <w:rsid w:val="00D065B6"/>
    <w:rsid w:val="00D11E0E"/>
    <w:rsid w:val="00D12658"/>
    <w:rsid w:val="00D12A3D"/>
    <w:rsid w:val="00D13001"/>
    <w:rsid w:val="00D135A6"/>
    <w:rsid w:val="00D13C0D"/>
    <w:rsid w:val="00D149D2"/>
    <w:rsid w:val="00D14BA3"/>
    <w:rsid w:val="00D15411"/>
    <w:rsid w:val="00D159F1"/>
    <w:rsid w:val="00D15A78"/>
    <w:rsid w:val="00D15AB2"/>
    <w:rsid w:val="00D15F5E"/>
    <w:rsid w:val="00D160BB"/>
    <w:rsid w:val="00D16B88"/>
    <w:rsid w:val="00D16D51"/>
    <w:rsid w:val="00D170A1"/>
    <w:rsid w:val="00D17922"/>
    <w:rsid w:val="00D17A7E"/>
    <w:rsid w:val="00D17B56"/>
    <w:rsid w:val="00D20800"/>
    <w:rsid w:val="00D2129A"/>
    <w:rsid w:val="00D227BB"/>
    <w:rsid w:val="00D22ECE"/>
    <w:rsid w:val="00D236AE"/>
    <w:rsid w:val="00D242CE"/>
    <w:rsid w:val="00D25484"/>
    <w:rsid w:val="00D254AA"/>
    <w:rsid w:val="00D254BF"/>
    <w:rsid w:val="00D25CB9"/>
    <w:rsid w:val="00D25DCF"/>
    <w:rsid w:val="00D25FB0"/>
    <w:rsid w:val="00D261B8"/>
    <w:rsid w:val="00D26CC2"/>
    <w:rsid w:val="00D30B5B"/>
    <w:rsid w:val="00D312D6"/>
    <w:rsid w:val="00D314F9"/>
    <w:rsid w:val="00D3195F"/>
    <w:rsid w:val="00D31CE3"/>
    <w:rsid w:val="00D324DB"/>
    <w:rsid w:val="00D32565"/>
    <w:rsid w:val="00D329E2"/>
    <w:rsid w:val="00D32CF4"/>
    <w:rsid w:val="00D32D9F"/>
    <w:rsid w:val="00D32F27"/>
    <w:rsid w:val="00D334D3"/>
    <w:rsid w:val="00D34FD9"/>
    <w:rsid w:val="00D3519C"/>
    <w:rsid w:val="00D353DF"/>
    <w:rsid w:val="00D35510"/>
    <w:rsid w:val="00D3581D"/>
    <w:rsid w:val="00D35D55"/>
    <w:rsid w:val="00D35DB2"/>
    <w:rsid w:val="00D35E71"/>
    <w:rsid w:val="00D366DC"/>
    <w:rsid w:val="00D37A75"/>
    <w:rsid w:val="00D37B30"/>
    <w:rsid w:val="00D408F7"/>
    <w:rsid w:val="00D40BED"/>
    <w:rsid w:val="00D40C0A"/>
    <w:rsid w:val="00D4172A"/>
    <w:rsid w:val="00D41B24"/>
    <w:rsid w:val="00D42719"/>
    <w:rsid w:val="00D427EE"/>
    <w:rsid w:val="00D42A09"/>
    <w:rsid w:val="00D42A4E"/>
    <w:rsid w:val="00D42ABA"/>
    <w:rsid w:val="00D42AC0"/>
    <w:rsid w:val="00D42D88"/>
    <w:rsid w:val="00D431C5"/>
    <w:rsid w:val="00D431C9"/>
    <w:rsid w:val="00D43BB2"/>
    <w:rsid w:val="00D4420B"/>
    <w:rsid w:val="00D451D0"/>
    <w:rsid w:val="00D45558"/>
    <w:rsid w:val="00D45743"/>
    <w:rsid w:val="00D45763"/>
    <w:rsid w:val="00D45D5F"/>
    <w:rsid w:val="00D46467"/>
    <w:rsid w:val="00D5006E"/>
    <w:rsid w:val="00D5074E"/>
    <w:rsid w:val="00D508EA"/>
    <w:rsid w:val="00D514EB"/>
    <w:rsid w:val="00D51F99"/>
    <w:rsid w:val="00D52090"/>
    <w:rsid w:val="00D52A97"/>
    <w:rsid w:val="00D535FB"/>
    <w:rsid w:val="00D53648"/>
    <w:rsid w:val="00D53F9F"/>
    <w:rsid w:val="00D5440B"/>
    <w:rsid w:val="00D54CEC"/>
    <w:rsid w:val="00D564CD"/>
    <w:rsid w:val="00D56CB7"/>
    <w:rsid w:val="00D5715C"/>
    <w:rsid w:val="00D571CF"/>
    <w:rsid w:val="00D57291"/>
    <w:rsid w:val="00D573BF"/>
    <w:rsid w:val="00D577C9"/>
    <w:rsid w:val="00D60B6A"/>
    <w:rsid w:val="00D60F22"/>
    <w:rsid w:val="00D61146"/>
    <w:rsid w:val="00D620E7"/>
    <w:rsid w:val="00D6280E"/>
    <w:rsid w:val="00D63F85"/>
    <w:rsid w:val="00D6494A"/>
    <w:rsid w:val="00D64D10"/>
    <w:rsid w:val="00D65A24"/>
    <w:rsid w:val="00D65B0E"/>
    <w:rsid w:val="00D676AB"/>
    <w:rsid w:val="00D7160A"/>
    <w:rsid w:val="00D718C9"/>
    <w:rsid w:val="00D731B6"/>
    <w:rsid w:val="00D74B92"/>
    <w:rsid w:val="00D74F67"/>
    <w:rsid w:val="00D75652"/>
    <w:rsid w:val="00D75858"/>
    <w:rsid w:val="00D765F8"/>
    <w:rsid w:val="00D76A23"/>
    <w:rsid w:val="00D775F8"/>
    <w:rsid w:val="00D7770F"/>
    <w:rsid w:val="00D80172"/>
    <w:rsid w:val="00D802EF"/>
    <w:rsid w:val="00D80480"/>
    <w:rsid w:val="00D80794"/>
    <w:rsid w:val="00D80ED7"/>
    <w:rsid w:val="00D80FEC"/>
    <w:rsid w:val="00D81239"/>
    <w:rsid w:val="00D81367"/>
    <w:rsid w:val="00D82A00"/>
    <w:rsid w:val="00D82BE5"/>
    <w:rsid w:val="00D82F52"/>
    <w:rsid w:val="00D832F0"/>
    <w:rsid w:val="00D8352C"/>
    <w:rsid w:val="00D85468"/>
    <w:rsid w:val="00D85FFD"/>
    <w:rsid w:val="00D86393"/>
    <w:rsid w:val="00D86E18"/>
    <w:rsid w:val="00D8709A"/>
    <w:rsid w:val="00D87135"/>
    <w:rsid w:val="00D87969"/>
    <w:rsid w:val="00D9087F"/>
    <w:rsid w:val="00D90AD6"/>
    <w:rsid w:val="00D91EF2"/>
    <w:rsid w:val="00D9244E"/>
    <w:rsid w:val="00D92870"/>
    <w:rsid w:val="00D92C8C"/>
    <w:rsid w:val="00D92D6F"/>
    <w:rsid w:val="00D941CE"/>
    <w:rsid w:val="00D95D11"/>
    <w:rsid w:val="00D95D87"/>
    <w:rsid w:val="00D9740A"/>
    <w:rsid w:val="00D97892"/>
    <w:rsid w:val="00DA0703"/>
    <w:rsid w:val="00DA09A2"/>
    <w:rsid w:val="00DA09E1"/>
    <w:rsid w:val="00DA1B10"/>
    <w:rsid w:val="00DA1F59"/>
    <w:rsid w:val="00DA2C1B"/>
    <w:rsid w:val="00DA38E2"/>
    <w:rsid w:val="00DA3C49"/>
    <w:rsid w:val="00DA3F38"/>
    <w:rsid w:val="00DA42AD"/>
    <w:rsid w:val="00DA4AE2"/>
    <w:rsid w:val="00DA5E15"/>
    <w:rsid w:val="00DA5FC5"/>
    <w:rsid w:val="00DA627C"/>
    <w:rsid w:val="00DA6A28"/>
    <w:rsid w:val="00DA7A20"/>
    <w:rsid w:val="00DB03C5"/>
    <w:rsid w:val="00DB0D70"/>
    <w:rsid w:val="00DB101A"/>
    <w:rsid w:val="00DB1412"/>
    <w:rsid w:val="00DB2C5B"/>
    <w:rsid w:val="00DB3371"/>
    <w:rsid w:val="00DB3ED3"/>
    <w:rsid w:val="00DB40C2"/>
    <w:rsid w:val="00DB44A8"/>
    <w:rsid w:val="00DB488A"/>
    <w:rsid w:val="00DB4B10"/>
    <w:rsid w:val="00DB5652"/>
    <w:rsid w:val="00DB64C8"/>
    <w:rsid w:val="00DB6CE7"/>
    <w:rsid w:val="00DB76CC"/>
    <w:rsid w:val="00DC02F9"/>
    <w:rsid w:val="00DC03E4"/>
    <w:rsid w:val="00DC1091"/>
    <w:rsid w:val="00DC14DF"/>
    <w:rsid w:val="00DC1BBB"/>
    <w:rsid w:val="00DC2834"/>
    <w:rsid w:val="00DC2D5D"/>
    <w:rsid w:val="00DC31C3"/>
    <w:rsid w:val="00DC3C80"/>
    <w:rsid w:val="00DC465F"/>
    <w:rsid w:val="00DC4FBE"/>
    <w:rsid w:val="00DC51B0"/>
    <w:rsid w:val="00DC51D8"/>
    <w:rsid w:val="00DC5506"/>
    <w:rsid w:val="00DC573F"/>
    <w:rsid w:val="00DC5D58"/>
    <w:rsid w:val="00DC6A13"/>
    <w:rsid w:val="00DC6D0E"/>
    <w:rsid w:val="00DC7020"/>
    <w:rsid w:val="00DC7640"/>
    <w:rsid w:val="00DC7D8F"/>
    <w:rsid w:val="00DD0567"/>
    <w:rsid w:val="00DD0C63"/>
    <w:rsid w:val="00DD0E6E"/>
    <w:rsid w:val="00DD1150"/>
    <w:rsid w:val="00DD140C"/>
    <w:rsid w:val="00DD1BF7"/>
    <w:rsid w:val="00DD1FCF"/>
    <w:rsid w:val="00DD213A"/>
    <w:rsid w:val="00DD23B4"/>
    <w:rsid w:val="00DD363D"/>
    <w:rsid w:val="00DD39E5"/>
    <w:rsid w:val="00DD3EA3"/>
    <w:rsid w:val="00DD4385"/>
    <w:rsid w:val="00DD45F4"/>
    <w:rsid w:val="00DD4D6A"/>
    <w:rsid w:val="00DD5224"/>
    <w:rsid w:val="00DD5308"/>
    <w:rsid w:val="00DD58C7"/>
    <w:rsid w:val="00DD5C8A"/>
    <w:rsid w:val="00DD60B1"/>
    <w:rsid w:val="00DD6A18"/>
    <w:rsid w:val="00DD6E1C"/>
    <w:rsid w:val="00DD6E34"/>
    <w:rsid w:val="00DD7910"/>
    <w:rsid w:val="00DD7F73"/>
    <w:rsid w:val="00DE0B12"/>
    <w:rsid w:val="00DE0B25"/>
    <w:rsid w:val="00DE2358"/>
    <w:rsid w:val="00DE26EB"/>
    <w:rsid w:val="00DE29F6"/>
    <w:rsid w:val="00DE3341"/>
    <w:rsid w:val="00DE3CAC"/>
    <w:rsid w:val="00DE3F28"/>
    <w:rsid w:val="00DE3FC9"/>
    <w:rsid w:val="00DE4432"/>
    <w:rsid w:val="00DE483A"/>
    <w:rsid w:val="00DE493B"/>
    <w:rsid w:val="00DE4BC8"/>
    <w:rsid w:val="00DE4D12"/>
    <w:rsid w:val="00DE5081"/>
    <w:rsid w:val="00DE50A1"/>
    <w:rsid w:val="00DE57CF"/>
    <w:rsid w:val="00DE6297"/>
    <w:rsid w:val="00DE6377"/>
    <w:rsid w:val="00DE6702"/>
    <w:rsid w:val="00DE6B54"/>
    <w:rsid w:val="00DE6BD3"/>
    <w:rsid w:val="00DE6DF7"/>
    <w:rsid w:val="00DE7AF1"/>
    <w:rsid w:val="00DF0143"/>
    <w:rsid w:val="00DF0D14"/>
    <w:rsid w:val="00DF17D5"/>
    <w:rsid w:val="00DF2203"/>
    <w:rsid w:val="00DF2A98"/>
    <w:rsid w:val="00DF3248"/>
    <w:rsid w:val="00DF387A"/>
    <w:rsid w:val="00DF395E"/>
    <w:rsid w:val="00DF3A34"/>
    <w:rsid w:val="00DF3B81"/>
    <w:rsid w:val="00DF3C49"/>
    <w:rsid w:val="00DF3C89"/>
    <w:rsid w:val="00DF4D3B"/>
    <w:rsid w:val="00DF5A35"/>
    <w:rsid w:val="00DF62B7"/>
    <w:rsid w:val="00DF6462"/>
    <w:rsid w:val="00DF6636"/>
    <w:rsid w:val="00DF679C"/>
    <w:rsid w:val="00DF7AE3"/>
    <w:rsid w:val="00DF7F19"/>
    <w:rsid w:val="00E00396"/>
    <w:rsid w:val="00E00899"/>
    <w:rsid w:val="00E00964"/>
    <w:rsid w:val="00E0097A"/>
    <w:rsid w:val="00E00A31"/>
    <w:rsid w:val="00E00AFB"/>
    <w:rsid w:val="00E010F4"/>
    <w:rsid w:val="00E013F7"/>
    <w:rsid w:val="00E01483"/>
    <w:rsid w:val="00E01E15"/>
    <w:rsid w:val="00E026AA"/>
    <w:rsid w:val="00E03164"/>
    <w:rsid w:val="00E03FE3"/>
    <w:rsid w:val="00E040BE"/>
    <w:rsid w:val="00E04B1F"/>
    <w:rsid w:val="00E04C9F"/>
    <w:rsid w:val="00E05307"/>
    <w:rsid w:val="00E0547F"/>
    <w:rsid w:val="00E05553"/>
    <w:rsid w:val="00E060C2"/>
    <w:rsid w:val="00E06584"/>
    <w:rsid w:val="00E07BDA"/>
    <w:rsid w:val="00E07E57"/>
    <w:rsid w:val="00E10252"/>
    <w:rsid w:val="00E111FC"/>
    <w:rsid w:val="00E11C33"/>
    <w:rsid w:val="00E1256C"/>
    <w:rsid w:val="00E12EBF"/>
    <w:rsid w:val="00E13195"/>
    <w:rsid w:val="00E13817"/>
    <w:rsid w:val="00E1438F"/>
    <w:rsid w:val="00E1450B"/>
    <w:rsid w:val="00E14890"/>
    <w:rsid w:val="00E1497E"/>
    <w:rsid w:val="00E15460"/>
    <w:rsid w:val="00E156DE"/>
    <w:rsid w:val="00E15953"/>
    <w:rsid w:val="00E161A5"/>
    <w:rsid w:val="00E16D2C"/>
    <w:rsid w:val="00E17229"/>
    <w:rsid w:val="00E17629"/>
    <w:rsid w:val="00E20C2E"/>
    <w:rsid w:val="00E20FA6"/>
    <w:rsid w:val="00E21304"/>
    <w:rsid w:val="00E21CBD"/>
    <w:rsid w:val="00E22012"/>
    <w:rsid w:val="00E22B50"/>
    <w:rsid w:val="00E2331C"/>
    <w:rsid w:val="00E234DB"/>
    <w:rsid w:val="00E23FBC"/>
    <w:rsid w:val="00E2407B"/>
    <w:rsid w:val="00E2547D"/>
    <w:rsid w:val="00E26089"/>
    <w:rsid w:val="00E2608A"/>
    <w:rsid w:val="00E260EF"/>
    <w:rsid w:val="00E262BC"/>
    <w:rsid w:val="00E26638"/>
    <w:rsid w:val="00E26E18"/>
    <w:rsid w:val="00E27A60"/>
    <w:rsid w:val="00E27B6F"/>
    <w:rsid w:val="00E300E2"/>
    <w:rsid w:val="00E30718"/>
    <w:rsid w:val="00E3094F"/>
    <w:rsid w:val="00E30970"/>
    <w:rsid w:val="00E31054"/>
    <w:rsid w:val="00E31C02"/>
    <w:rsid w:val="00E320AE"/>
    <w:rsid w:val="00E324A0"/>
    <w:rsid w:val="00E32BE0"/>
    <w:rsid w:val="00E33109"/>
    <w:rsid w:val="00E33C2C"/>
    <w:rsid w:val="00E34010"/>
    <w:rsid w:val="00E34475"/>
    <w:rsid w:val="00E34F78"/>
    <w:rsid w:val="00E35CB5"/>
    <w:rsid w:val="00E3669E"/>
    <w:rsid w:val="00E373B2"/>
    <w:rsid w:val="00E379AE"/>
    <w:rsid w:val="00E37F16"/>
    <w:rsid w:val="00E40309"/>
    <w:rsid w:val="00E41F9A"/>
    <w:rsid w:val="00E42411"/>
    <w:rsid w:val="00E43D17"/>
    <w:rsid w:val="00E44BD3"/>
    <w:rsid w:val="00E44F26"/>
    <w:rsid w:val="00E45F10"/>
    <w:rsid w:val="00E4601F"/>
    <w:rsid w:val="00E46469"/>
    <w:rsid w:val="00E469F1"/>
    <w:rsid w:val="00E47C8C"/>
    <w:rsid w:val="00E504E9"/>
    <w:rsid w:val="00E50836"/>
    <w:rsid w:val="00E51107"/>
    <w:rsid w:val="00E5147A"/>
    <w:rsid w:val="00E518D1"/>
    <w:rsid w:val="00E518F6"/>
    <w:rsid w:val="00E51D13"/>
    <w:rsid w:val="00E5212D"/>
    <w:rsid w:val="00E52478"/>
    <w:rsid w:val="00E52578"/>
    <w:rsid w:val="00E5298F"/>
    <w:rsid w:val="00E533A3"/>
    <w:rsid w:val="00E53458"/>
    <w:rsid w:val="00E53B3B"/>
    <w:rsid w:val="00E54116"/>
    <w:rsid w:val="00E5482F"/>
    <w:rsid w:val="00E54CB8"/>
    <w:rsid w:val="00E54F4B"/>
    <w:rsid w:val="00E55365"/>
    <w:rsid w:val="00E560D8"/>
    <w:rsid w:val="00E56294"/>
    <w:rsid w:val="00E567B7"/>
    <w:rsid w:val="00E57993"/>
    <w:rsid w:val="00E579E8"/>
    <w:rsid w:val="00E60104"/>
    <w:rsid w:val="00E606FF"/>
    <w:rsid w:val="00E60868"/>
    <w:rsid w:val="00E609E8"/>
    <w:rsid w:val="00E60D8D"/>
    <w:rsid w:val="00E613EC"/>
    <w:rsid w:val="00E618CD"/>
    <w:rsid w:val="00E61EF9"/>
    <w:rsid w:val="00E62268"/>
    <w:rsid w:val="00E62D32"/>
    <w:rsid w:val="00E63661"/>
    <w:rsid w:val="00E63771"/>
    <w:rsid w:val="00E63957"/>
    <w:rsid w:val="00E64075"/>
    <w:rsid w:val="00E6497F"/>
    <w:rsid w:val="00E65E52"/>
    <w:rsid w:val="00E66B38"/>
    <w:rsid w:val="00E66CBA"/>
    <w:rsid w:val="00E67742"/>
    <w:rsid w:val="00E705F1"/>
    <w:rsid w:val="00E7079B"/>
    <w:rsid w:val="00E716AC"/>
    <w:rsid w:val="00E71BDE"/>
    <w:rsid w:val="00E71C12"/>
    <w:rsid w:val="00E724A9"/>
    <w:rsid w:val="00E72B4C"/>
    <w:rsid w:val="00E731DC"/>
    <w:rsid w:val="00E73A76"/>
    <w:rsid w:val="00E73D58"/>
    <w:rsid w:val="00E7476B"/>
    <w:rsid w:val="00E74D9C"/>
    <w:rsid w:val="00E75CC9"/>
    <w:rsid w:val="00E76842"/>
    <w:rsid w:val="00E76950"/>
    <w:rsid w:val="00E76F8E"/>
    <w:rsid w:val="00E775C6"/>
    <w:rsid w:val="00E8017E"/>
    <w:rsid w:val="00E8045E"/>
    <w:rsid w:val="00E8093C"/>
    <w:rsid w:val="00E80B1B"/>
    <w:rsid w:val="00E81012"/>
    <w:rsid w:val="00E81766"/>
    <w:rsid w:val="00E81BAA"/>
    <w:rsid w:val="00E820B2"/>
    <w:rsid w:val="00E82697"/>
    <w:rsid w:val="00E82D92"/>
    <w:rsid w:val="00E83171"/>
    <w:rsid w:val="00E83399"/>
    <w:rsid w:val="00E837EE"/>
    <w:rsid w:val="00E85030"/>
    <w:rsid w:val="00E859B3"/>
    <w:rsid w:val="00E86249"/>
    <w:rsid w:val="00E8671F"/>
    <w:rsid w:val="00E8675A"/>
    <w:rsid w:val="00E86999"/>
    <w:rsid w:val="00E86DEA"/>
    <w:rsid w:val="00E87CDF"/>
    <w:rsid w:val="00E90585"/>
    <w:rsid w:val="00E9103C"/>
    <w:rsid w:val="00E91078"/>
    <w:rsid w:val="00E913A4"/>
    <w:rsid w:val="00E91571"/>
    <w:rsid w:val="00E9219D"/>
    <w:rsid w:val="00E92A58"/>
    <w:rsid w:val="00E92CDA"/>
    <w:rsid w:val="00E92D6B"/>
    <w:rsid w:val="00E94A83"/>
    <w:rsid w:val="00E95B80"/>
    <w:rsid w:val="00E966F1"/>
    <w:rsid w:val="00EA01A6"/>
    <w:rsid w:val="00EA0BF9"/>
    <w:rsid w:val="00EA0EAC"/>
    <w:rsid w:val="00EA2646"/>
    <w:rsid w:val="00EA26B1"/>
    <w:rsid w:val="00EA2754"/>
    <w:rsid w:val="00EA4C09"/>
    <w:rsid w:val="00EA4E60"/>
    <w:rsid w:val="00EA5963"/>
    <w:rsid w:val="00EA5FE1"/>
    <w:rsid w:val="00EA67FE"/>
    <w:rsid w:val="00EA6865"/>
    <w:rsid w:val="00EA6D47"/>
    <w:rsid w:val="00EA7C02"/>
    <w:rsid w:val="00EB0218"/>
    <w:rsid w:val="00EB0751"/>
    <w:rsid w:val="00EB09FF"/>
    <w:rsid w:val="00EB165E"/>
    <w:rsid w:val="00EB1B21"/>
    <w:rsid w:val="00EB218E"/>
    <w:rsid w:val="00EB225A"/>
    <w:rsid w:val="00EB2DD5"/>
    <w:rsid w:val="00EB2E49"/>
    <w:rsid w:val="00EB33E1"/>
    <w:rsid w:val="00EB3643"/>
    <w:rsid w:val="00EB3B42"/>
    <w:rsid w:val="00EB406D"/>
    <w:rsid w:val="00EB431C"/>
    <w:rsid w:val="00EB4596"/>
    <w:rsid w:val="00EB4F52"/>
    <w:rsid w:val="00EB5B1C"/>
    <w:rsid w:val="00EB5CA3"/>
    <w:rsid w:val="00EB6DF6"/>
    <w:rsid w:val="00EB79AE"/>
    <w:rsid w:val="00EB7F78"/>
    <w:rsid w:val="00EC0A3D"/>
    <w:rsid w:val="00EC0DBD"/>
    <w:rsid w:val="00EC1259"/>
    <w:rsid w:val="00EC12EF"/>
    <w:rsid w:val="00EC2054"/>
    <w:rsid w:val="00EC22B1"/>
    <w:rsid w:val="00EC26BC"/>
    <w:rsid w:val="00EC2A66"/>
    <w:rsid w:val="00EC3AD6"/>
    <w:rsid w:val="00EC3B84"/>
    <w:rsid w:val="00EC41F8"/>
    <w:rsid w:val="00EC573E"/>
    <w:rsid w:val="00EC5B78"/>
    <w:rsid w:val="00EC6029"/>
    <w:rsid w:val="00EC6724"/>
    <w:rsid w:val="00EC7278"/>
    <w:rsid w:val="00ED0AB0"/>
    <w:rsid w:val="00ED0C7B"/>
    <w:rsid w:val="00ED0DCC"/>
    <w:rsid w:val="00ED16A9"/>
    <w:rsid w:val="00ED20F0"/>
    <w:rsid w:val="00ED4B5E"/>
    <w:rsid w:val="00ED4B80"/>
    <w:rsid w:val="00ED6059"/>
    <w:rsid w:val="00ED74AF"/>
    <w:rsid w:val="00EE0100"/>
    <w:rsid w:val="00EE0ACD"/>
    <w:rsid w:val="00EE0D46"/>
    <w:rsid w:val="00EE14EE"/>
    <w:rsid w:val="00EE1A02"/>
    <w:rsid w:val="00EE2A83"/>
    <w:rsid w:val="00EE40F1"/>
    <w:rsid w:val="00EE488A"/>
    <w:rsid w:val="00EE626A"/>
    <w:rsid w:val="00EE6AB0"/>
    <w:rsid w:val="00EE6D8C"/>
    <w:rsid w:val="00EE7533"/>
    <w:rsid w:val="00EE785B"/>
    <w:rsid w:val="00EF06E5"/>
    <w:rsid w:val="00EF12F9"/>
    <w:rsid w:val="00EF158C"/>
    <w:rsid w:val="00EF1709"/>
    <w:rsid w:val="00EF17FB"/>
    <w:rsid w:val="00EF19DF"/>
    <w:rsid w:val="00EF1D5B"/>
    <w:rsid w:val="00EF28CF"/>
    <w:rsid w:val="00EF3630"/>
    <w:rsid w:val="00EF4A08"/>
    <w:rsid w:val="00EF4F07"/>
    <w:rsid w:val="00EF526F"/>
    <w:rsid w:val="00EF5340"/>
    <w:rsid w:val="00EF5A03"/>
    <w:rsid w:val="00EF633E"/>
    <w:rsid w:val="00EF6DF0"/>
    <w:rsid w:val="00F015F1"/>
    <w:rsid w:val="00F01C13"/>
    <w:rsid w:val="00F01ECE"/>
    <w:rsid w:val="00F0218C"/>
    <w:rsid w:val="00F0249C"/>
    <w:rsid w:val="00F030C2"/>
    <w:rsid w:val="00F04400"/>
    <w:rsid w:val="00F04766"/>
    <w:rsid w:val="00F05088"/>
    <w:rsid w:val="00F05363"/>
    <w:rsid w:val="00F057C1"/>
    <w:rsid w:val="00F059D9"/>
    <w:rsid w:val="00F05D54"/>
    <w:rsid w:val="00F065A8"/>
    <w:rsid w:val="00F06A4E"/>
    <w:rsid w:val="00F07140"/>
    <w:rsid w:val="00F0720C"/>
    <w:rsid w:val="00F07A79"/>
    <w:rsid w:val="00F1031B"/>
    <w:rsid w:val="00F106ED"/>
    <w:rsid w:val="00F10AE8"/>
    <w:rsid w:val="00F110E8"/>
    <w:rsid w:val="00F1128F"/>
    <w:rsid w:val="00F118A0"/>
    <w:rsid w:val="00F11C30"/>
    <w:rsid w:val="00F12121"/>
    <w:rsid w:val="00F1235C"/>
    <w:rsid w:val="00F1283A"/>
    <w:rsid w:val="00F12BE6"/>
    <w:rsid w:val="00F131E2"/>
    <w:rsid w:val="00F1353A"/>
    <w:rsid w:val="00F13C39"/>
    <w:rsid w:val="00F13C92"/>
    <w:rsid w:val="00F14841"/>
    <w:rsid w:val="00F1526C"/>
    <w:rsid w:val="00F15609"/>
    <w:rsid w:val="00F158C3"/>
    <w:rsid w:val="00F158EB"/>
    <w:rsid w:val="00F15B3E"/>
    <w:rsid w:val="00F15CBD"/>
    <w:rsid w:val="00F15D40"/>
    <w:rsid w:val="00F16088"/>
    <w:rsid w:val="00F16E02"/>
    <w:rsid w:val="00F17348"/>
    <w:rsid w:val="00F17479"/>
    <w:rsid w:val="00F20FC7"/>
    <w:rsid w:val="00F21528"/>
    <w:rsid w:val="00F2296F"/>
    <w:rsid w:val="00F2299D"/>
    <w:rsid w:val="00F23425"/>
    <w:rsid w:val="00F2420B"/>
    <w:rsid w:val="00F24E56"/>
    <w:rsid w:val="00F2500B"/>
    <w:rsid w:val="00F25BD7"/>
    <w:rsid w:val="00F2620C"/>
    <w:rsid w:val="00F2668E"/>
    <w:rsid w:val="00F26752"/>
    <w:rsid w:val="00F26C4A"/>
    <w:rsid w:val="00F26D86"/>
    <w:rsid w:val="00F26E11"/>
    <w:rsid w:val="00F273AC"/>
    <w:rsid w:val="00F27599"/>
    <w:rsid w:val="00F30AF6"/>
    <w:rsid w:val="00F30B1F"/>
    <w:rsid w:val="00F31098"/>
    <w:rsid w:val="00F3187A"/>
    <w:rsid w:val="00F333D4"/>
    <w:rsid w:val="00F335BE"/>
    <w:rsid w:val="00F33943"/>
    <w:rsid w:val="00F33BA4"/>
    <w:rsid w:val="00F33CBA"/>
    <w:rsid w:val="00F3518C"/>
    <w:rsid w:val="00F35283"/>
    <w:rsid w:val="00F367FF"/>
    <w:rsid w:val="00F36CE1"/>
    <w:rsid w:val="00F36EAC"/>
    <w:rsid w:val="00F36EBB"/>
    <w:rsid w:val="00F37BAD"/>
    <w:rsid w:val="00F408D3"/>
    <w:rsid w:val="00F40A87"/>
    <w:rsid w:val="00F411E4"/>
    <w:rsid w:val="00F41B5C"/>
    <w:rsid w:val="00F43196"/>
    <w:rsid w:val="00F43D3C"/>
    <w:rsid w:val="00F448D3"/>
    <w:rsid w:val="00F44A7A"/>
    <w:rsid w:val="00F4614A"/>
    <w:rsid w:val="00F46300"/>
    <w:rsid w:val="00F47346"/>
    <w:rsid w:val="00F47835"/>
    <w:rsid w:val="00F47886"/>
    <w:rsid w:val="00F47AD7"/>
    <w:rsid w:val="00F5001D"/>
    <w:rsid w:val="00F50644"/>
    <w:rsid w:val="00F5091F"/>
    <w:rsid w:val="00F51DE7"/>
    <w:rsid w:val="00F52348"/>
    <w:rsid w:val="00F527B3"/>
    <w:rsid w:val="00F52D01"/>
    <w:rsid w:val="00F52FBF"/>
    <w:rsid w:val="00F530F9"/>
    <w:rsid w:val="00F5353D"/>
    <w:rsid w:val="00F53AB3"/>
    <w:rsid w:val="00F53EF9"/>
    <w:rsid w:val="00F53FB4"/>
    <w:rsid w:val="00F545B8"/>
    <w:rsid w:val="00F54EB6"/>
    <w:rsid w:val="00F55342"/>
    <w:rsid w:val="00F55704"/>
    <w:rsid w:val="00F55CD4"/>
    <w:rsid w:val="00F561E7"/>
    <w:rsid w:val="00F56641"/>
    <w:rsid w:val="00F5673D"/>
    <w:rsid w:val="00F56855"/>
    <w:rsid w:val="00F56934"/>
    <w:rsid w:val="00F56A2F"/>
    <w:rsid w:val="00F56DB1"/>
    <w:rsid w:val="00F578A1"/>
    <w:rsid w:val="00F62791"/>
    <w:rsid w:val="00F629D1"/>
    <w:rsid w:val="00F62AD6"/>
    <w:rsid w:val="00F62F15"/>
    <w:rsid w:val="00F64910"/>
    <w:rsid w:val="00F652CF"/>
    <w:rsid w:val="00F656C7"/>
    <w:rsid w:val="00F657DA"/>
    <w:rsid w:val="00F663FE"/>
    <w:rsid w:val="00F66FE0"/>
    <w:rsid w:val="00F670FB"/>
    <w:rsid w:val="00F67559"/>
    <w:rsid w:val="00F700FD"/>
    <w:rsid w:val="00F70A65"/>
    <w:rsid w:val="00F70EF4"/>
    <w:rsid w:val="00F7220D"/>
    <w:rsid w:val="00F72BB2"/>
    <w:rsid w:val="00F72ECB"/>
    <w:rsid w:val="00F72EF0"/>
    <w:rsid w:val="00F73995"/>
    <w:rsid w:val="00F739C2"/>
    <w:rsid w:val="00F73BF4"/>
    <w:rsid w:val="00F7408B"/>
    <w:rsid w:val="00F748BE"/>
    <w:rsid w:val="00F74AE3"/>
    <w:rsid w:val="00F74DEC"/>
    <w:rsid w:val="00F75922"/>
    <w:rsid w:val="00F75FF0"/>
    <w:rsid w:val="00F761C3"/>
    <w:rsid w:val="00F7621A"/>
    <w:rsid w:val="00F764B9"/>
    <w:rsid w:val="00F764DE"/>
    <w:rsid w:val="00F7662E"/>
    <w:rsid w:val="00F76B7C"/>
    <w:rsid w:val="00F772A7"/>
    <w:rsid w:val="00F773AD"/>
    <w:rsid w:val="00F77FF8"/>
    <w:rsid w:val="00F802F2"/>
    <w:rsid w:val="00F80463"/>
    <w:rsid w:val="00F8136A"/>
    <w:rsid w:val="00F81743"/>
    <w:rsid w:val="00F81E10"/>
    <w:rsid w:val="00F8259F"/>
    <w:rsid w:val="00F826E7"/>
    <w:rsid w:val="00F8306D"/>
    <w:rsid w:val="00F833F0"/>
    <w:rsid w:val="00F840DD"/>
    <w:rsid w:val="00F84334"/>
    <w:rsid w:val="00F85475"/>
    <w:rsid w:val="00F858C9"/>
    <w:rsid w:val="00F860D8"/>
    <w:rsid w:val="00F86461"/>
    <w:rsid w:val="00F86DFF"/>
    <w:rsid w:val="00F87998"/>
    <w:rsid w:val="00F87AFC"/>
    <w:rsid w:val="00F92A00"/>
    <w:rsid w:val="00F92F77"/>
    <w:rsid w:val="00F932D6"/>
    <w:rsid w:val="00F93746"/>
    <w:rsid w:val="00F94346"/>
    <w:rsid w:val="00F94BDB"/>
    <w:rsid w:val="00F94DD0"/>
    <w:rsid w:val="00F95483"/>
    <w:rsid w:val="00F9549B"/>
    <w:rsid w:val="00F95563"/>
    <w:rsid w:val="00F962AF"/>
    <w:rsid w:val="00F967D0"/>
    <w:rsid w:val="00F96B79"/>
    <w:rsid w:val="00F96D90"/>
    <w:rsid w:val="00F96F01"/>
    <w:rsid w:val="00F97200"/>
    <w:rsid w:val="00F979E1"/>
    <w:rsid w:val="00F97E1F"/>
    <w:rsid w:val="00FA0125"/>
    <w:rsid w:val="00FA05B8"/>
    <w:rsid w:val="00FA0FE8"/>
    <w:rsid w:val="00FA165B"/>
    <w:rsid w:val="00FA1805"/>
    <w:rsid w:val="00FA1A24"/>
    <w:rsid w:val="00FA1B3F"/>
    <w:rsid w:val="00FA223B"/>
    <w:rsid w:val="00FA3A2E"/>
    <w:rsid w:val="00FA3FF2"/>
    <w:rsid w:val="00FA432F"/>
    <w:rsid w:val="00FA4870"/>
    <w:rsid w:val="00FA51D4"/>
    <w:rsid w:val="00FA538A"/>
    <w:rsid w:val="00FA6330"/>
    <w:rsid w:val="00FA749C"/>
    <w:rsid w:val="00FA7B71"/>
    <w:rsid w:val="00FA7BA3"/>
    <w:rsid w:val="00FB0C16"/>
    <w:rsid w:val="00FB1B7A"/>
    <w:rsid w:val="00FB2396"/>
    <w:rsid w:val="00FB2C4F"/>
    <w:rsid w:val="00FB2F75"/>
    <w:rsid w:val="00FB3B0B"/>
    <w:rsid w:val="00FB5230"/>
    <w:rsid w:val="00FB5825"/>
    <w:rsid w:val="00FB5ADE"/>
    <w:rsid w:val="00FB6312"/>
    <w:rsid w:val="00FB66DD"/>
    <w:rsid w:val="00FB6C76"/>
    <w:rsid w:val="00FB6DDB"/>
    <w:rsid w:val="00FB6E30"/>
    <w:rsid w:val="00FC0266"/>
    <w:rsid w:val="00FC0A13"/>
    <w:rsid w:val="00FC1FB2"/>
    <w:rsid w:val="00FC27B1"/>
    <w:rsid w:val="00FC3C86"/>
    <w:rsid w:val="00FC4028"/>
    <w:rsid w:val="00FC4945"/>
    <w:rsid w:val="00FC59B1"/>
    <w:rsid w:val="00FC6315"/>
    <w:rsid w:val="00FC6653"/>
    <w:rsid w:val="00FC6AA4"/>
    <w:rsid w:val="00FC713D"/>
    <w:rsid w:val="00FC719A"/>
    <w:rsid w:val="00FD01BE"/>
    <w:rsid w:val="00FD02A5"/>
    <w:rsid w:val="00FD04A4"/>
    <w:rsid w:val="00FD04E4"/>
    <w:rsid w:val="00FD0605"/>
    <w:rsid w:val="00FD0790"/>
    <w:rsid w:val="00FD0EE7"/>
    <w:rsid w:val="00FD0F56"/>
    <w:rsid w:val="00FD1154"/>
    <w:rsid w:val="00FD1B06"/>
    <w:rsid w:val="00FD1D41"/>
    <w:rsid w:val="00FD2CA3"/>
    <w:rsid w:val="00FD3002"/>
    <w:rsid w:val="00FD346B"/>
    <w:rsid w:val="00FD37D3"/>
    <w:rsid w:val="00FD4347"/>
    <w:rsid w:val="00FD43E6"/>
    <w:rsid w:val="00FD54D3"/>
    <w:rsid w:val="00FD57F3"/>
    <w:rsid w:val="00FD5A94"/>
    <w:rsid w:val="00FD6187"/>
    <w:rsid w:val="00FD69D5"/>
    <w:rsid w:val="00FD7199"/>
    <w:rsid w:val="00FD767B"/>
    <w:rsid w:val="00FD7878"/>
    <w:rsid w:val="00FD7908"/>
    <w:rsid w:val="00FE015C"/>
    <w:rsid w:val="00FE07AF"/>
    <w:rsid w:val="00FE0958"/>
    <w:rsid w:val="00FE0BDB"/>
    <w:rsid w:val="00FE11D0"/>
    <w:rsid w:val="00FE165D"/>
    <w:rsid w:val="00FE18FE"/>
    <w:rsid w:val="00FE2875"/>
    <w:rsid w:val="00FE2F77"/>
    <w:rsid w:val="00FE3317"/>
    <w:rsid w:val="00FE4BBA"/>
    <w:rsid w:val="00FE4D1F"/>
    <w:rsid w:val="00FE4DB8"/>
    <w:rsid w:val="00FE4EB0"/>
    <w:rsid w:val="00FE5B08"/>
    <w:rsid w:val="00FE5C18"/>
    <w:rsid w:val="00FE6FC2"/>
    <w:rsid w:val="00FE7461"/>
    <w:rsid w:val="00FE7832"/>
    <w:rsid w:val="00FF0EC8"/>
    <w:rsid w:val="00FF1159"/>
    <w:rsid w:val="00FF185B"/>
    <w:rsid w:val="00FF195C"/>
    <w:rsid w:val="00FF201C"/>
    <w:rsid w:val="00FF21B9"/>
    <w:rsid w:val="00FF273E"/>
    <w:rsid w:val="00FF2DA5"/>
    <w:rsid w:val="00FF32B9"/>
    <w:rsid w:val="00FF37E1"/>
    <w:rsid w:val="00FF4AD9"/>
    <w:rsid w:val="00FF4FF1"/>
    <w:rsid w:val="00FF542B"/>
    <w:rsid w:val="00FF6185"/>
    <w:rsid w:val="00FF6670"/>
    <w:rsid w:val="00FF67AD"/>
    <w:rsid w:val="00FF7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BB3C16"/>
  <w15:docId w15:val="{AA0FD09D-BC10-433C-A23F-401C8D61E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color w:val="2E74B5"/>
      <w:sz w:val="32"/>
      <w:szCs w:val="32"/>
    </w:rPr>
  </w:style>
  <w:style w:type="paragraph" w:styleId="Heading2">
    <w:name w:val="heading 2"/>
    <w:link w:val="Heading2Char"/>
    <w:uiPriority w:val="9"/>
    <w:semiHidden/>
    <w:unhideWhenUsed/>
    <w:qFormat/>
    <w:pPr>
      <w:outlineLvl w:val="1"/>
    </w:pPr>
    <w:rPr>
      <w:color w:val="2E74B5"/>
      <w:sz w:val="26"/>
      <w:szCs w:val="26"/>
    </w:rPr>
  </w:style>
  <w:style w:type="paragraph" w:styleId="Heading3">
    <w:name w:val="heading 3"/>
    <w:link w:val="Heading3Char"/>
    <w:uiPriority w:val="9"/>
    <w:semiHidden/>
    <w:unhideWhenUsed/>
    <w:qFormat/>
    <w:pPr>
      <w:outlineLvl w:val="2"/>
    </w:pPr>
    <w:rPr>
      <w:color w:val="1F4D78"/>
      <w:sz w:val="24"/>
      <w:szCs w:val="24"/>
    </w:rPr>
  </w:style>
  <w:style w:type="paragraph" w:styleId="Heading4">
    <w:name w:val="heading 4"/>
    <w:link w:val="Heading4Char"/>
    <w:uiPriority w:val="9"/>
    <w:semiHidden/>
    <w:unhideWhenUsed/>
    <w:qFormat/>
    <w:pPr>
      <w:outlineLvl w:val="3"/>
    </w:pPr>
    <w:rPr>
      <w:i/>
      <w:iCs/>
      <w:color w:val="2E74B5"/>
    </w:rPr>
  </w:style>
  <w:style w:type="paragraph" w:styleId="Heading5">
    <w:name w:val="heading 5"/>
    <w:link w:val="Heading5Char"/>
    <w:uiPriority w:val="9"/>
    <w:semiHidden/>
    <w:unhideWhenUsed/>
    <w:qFormat/>
    <w:pPr>
      <w:outlineLvl w:val="4"/>
    </w:pPr>
    <w:rPr>
      <w:color w:val="2E74B5"/>
    </w:rPr>
  </w:style>
  <w:style w:type="paragraph" w:styleId="Heading6">
    <w:name w:val="heading 6"/>
    <w:link w:val="Heading6Char"/>
    <w:uiPriority w:val="9"/>
    <w:semiHidden/>
    <w:unhideWhenUsed/>
    <w:qFormat/>
    <w:pPr>
      <w:outlineLvl w:val="5"/>
    </w:pPr>
    <w:rPr>
      <w:color w:val="1F4D78"/>
    </w:rPr>
  </w:style>
  <w:style w:type="paragraph" w:styleId="Heading7">
    <w:name w:val="heading 7"/>
    <w:basedOn w:val="Normal"/>
    <w:next w:val="Normal"/>
    <w:link w:val="Heading7Char"/>
    <w:uiPriority w:val="9"/>
    <w:semiHidden/>
    <w:unhideWhenUsed/>
    <w:qFormat/>
    <w:rsid w:val="00031B7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1B7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1B7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unhideWhenUsed/>
    <w:rPr>
      <w:sz w:val="20"/>
      <w:szCs w:val="20"/>
    </w:rPr>
  </w:style>
  <w:style w:type="character" w:customStyle="1" w:styleId="FootnoteTextChar">
    <w:name w:val="Footnote Text Char"/>
    <w:link w:val="FootnoteText"/>
    <w:uiPriority w:val="99"/>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364AA"/>
    <w:pPr>
      <w:tabs>
        <w:tab w:val="center" w:pos="4680"/>
        <w:tab w:val="right" w:pos="9360"/>
      </w:tabs>
    </w:pPr>
  </w:style>
  <w:style w:type="character" w:customStyle="1" w:styleId="HeaderChar">
    <w:name w:val="Header Char"/>
    <w:basedOn w:val="DefaultParagraphFont"/>
    <w:link w:val="Header"/>
    <w:uiPriority w:val="99"/>
    <w:rsid w:val="003364AA"/>
  </w:style>
  <w:style w:type="paragraph" w:styleId="Footer">
    <w:name w:val="footer"/>
    <w:basedOn w:val="Normal"/>
    <w:link w:val="FooterChar"/>
    <w:uiPriority w:val="99"/>
    <w:unhideWhenUsed/>
    <w:rsid w:val="003364AA"/>
    <w:pPr>
      <w:tabs>
        <w:tab w:val="center" w:pos="4680"/>
        <w:tab w:val="right" w:pos="9360"/>
      </w:tabs>
    </w:pPr>
  </w:style>
  <w:style w:type="character" w:customStyle="1" w:styleId="FooterChar">
    <w:name w:val="Footer Char"/>
    <w:basedOn w:val="DefaultParagraphFont"/>
    <w:link w:val="Footer"/>
    <w:uiPriority w:val="99"/>
    <w:rsid w:val="003364AA"/>
  </w:style>
  <w:style w:type="character" w:styleId="PlaceholderText">
    <w:name w:val="Placeholder Text"/>
    <w:basedOn w:val="DefaultParagraphFont"/>
    <w:uiPriority w:val="99"/>
    <w:semiHidden/>
    <w:rsid w:val="008566F7"/>
    <w:rPr>
      <w:color w:val="666666"/>
    </w:rPr>
  </w:style>
  <w:style w:type="table" w:styleId="TableGrid">
    <w:name w:val="Table Grid"/>
    <w:basedOn w:val="TableNormal"/>
    <w:uiPriority w:val="39"/>
    <w:rsid w:val="007B1F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4F5AB1"/>
    <w:pPr>
      <w:spacing w:before="180" w:after="180"/>
    </w:pPr>
    <w:rPr>
      <w:rFonts w:asciiTheme="minorHAnsi" w:eastAsiaTheme="minorHAnsi" w:hAnsiTheme="minorHAnsi" w:cstheme="minorBidi"/>
      <w:sz w:val="24"/>
      <w:szCs w:val="24"/>
    </w:rPr>
  </w:style>
  <w:style w:type="character" w:customStyle="1" w:styleId="BodyTextChar">
    <w:name w:val="Body Text Char"/>
    <w:basedOn w:val="DefaultParagraphFont"/>
    <w:link w:val="BodyText"/>
    <w:rsid w:val="004F5AB1"/>
    <w:rPr>
      <w:rFonts w:asciiTheme="minorHAnsi" w:eastAsiaTheme="minorHAnsi" w:hAnsiTheme="minorHAnsi" w:cstheme="minorBidi"/>
      <w:sz w:val="24"/>
      <w:szCs w:val="24"/>
    </w:rPr>
  </w:style>
  <w:style w:type="paragraph" w:customStyle="1" w:styleId="FirstParagraph">
    <w:name w:val="First Paragraph"/>
    <w:basedOn w:val="BodyText"/>
    <w:next w:val="BodyText"/>
    <w:qFormat/>
    <w:rsid w:val="004F5AB1"/>
  </w:style>
  <w:style w:type="character" w:styleId="UnresolvedMention">
    <w:name w:val="Unresolved Mention"/>
    <w:basedOn w:val="DefaultParagraphFont"/>
    <w:uiPriority w:val="99"/>
    <w:semiHidden/>
    <w:unhideWhenUsed/>
    <w:rsid w:val="004A3AAE"/>
    <w:rPr>
      <w:color w:val="605E5C"/>
      <w:shd w:val="clear" w:color="auto" w:fill="E1DFDD"/>
    </w:rPr>
  </w:style>
  <w:style w:type="paragraph" w:styleId="Revision">
    <w:name w:val="Revision"/>
    <w:hidden/>
    <w:uiPriority w:val="99"/>
    <w:semiHidden/>
    <w:rsid w:val="00B65996"/>
  </w:style>
  <w:style w:type="character" w:styleId="CommentReference">
    <w:name w:val="annotation reference"/>
    <w:basedOn w:val="DefaultParagraphFont"/>
    <w:uiPriority w:val="99"/>
    <w:semiHidden/>
    <w:unhideWhenUsed/>
    <w:rsid w:val="002A0BA7"/>
    <w:rPr>
      <w:sz w:val="16"/>
      <w:szCs w:val="16"/>
    </w:rPr>
  </w:style>
  <w:style w:type="paragraph" w:styleId="CommentText">
    <w:name w:val="annotation text"/>
    <w:basedOn w:val="Normal"/>
    <w:link w:val="CommentTextChar"/>
    <w:uiPriority w:val="99"/>
    <w:unhideWhenUsed/>
    <w:rsid w:val="002A0BA7"/>
    <w:rPr>
      <w:sz w:val="20"/>
      <w:szCs w:val="20"/>
    </w:rPr>
  </w:style>
  <w:style w:type="character" w:customStyle="1" w:styleId="CommentTextChar">
    <w:name w:val="Comment Text Char"/>
    <w:basedOn w:val="DefaultParagraphFont"/>
    <w:link w:val="CommentText"/>
    <w:uiPriority w:val="99"/>
    <w:rsid w:val="002A0BA7"/>
    <w:rPr>
      <w:sz w:val="20"/>
      <w:szCs w:val="20"/>
    </w:rPr>
  </w:style>
  <w:style w:type="paragraph" w:styleId="CommentSubject">
    <w:name w:val="annotation subject"/>
    <w:basedOn w:val="CommentText"/>
    <w:next w:val="CommentText"/>
    <w:link w:val="CommentSubjectChar"/>
    <w:uiPriority w:val="99"/>
    <w:semiHidden/>
    <w:unhideWhenUsed/>
    <w:rsid w:val="002A0BA7"/>
    <w:rPr>
      <w:b/>
      <w:bCs/>
    </w:rPr>
  </w:style>
  <w:style w:type="character" w:customStyle="1" w:styleId="CommentSubjectChar">
    <w:name w:val="Comment Subject Char"/>
    <w:basedOn w:val="CommentTextChar"/>
    <w:link w:val="CommentSubject"/>
    <w:uiPriority w:val="99"/>
    <w:semiHidden/>
    <w:rsid w:val="002A0BA7"/>
    <w:rPr>
      <w:b/>
      <w:bCs/>
      <w:sz w:val="20"/>
      <w:szCs w:val="20"/>
    </w:rPr>
  </w:style>
  <w:style w:type="paragraph" w:customStyle="1" w:styleId="MTDisplayEquation">
    <w:name w:val="MTDisplayEquation"/>
    <w:basedOn w:val="Normal"/>
    <w:next w:val="Normal"/>
    <w:link w:val="MTDisplayEquationChar"/>
    <w:rsid w:val="00623B70"/>
    <w:pPr>
      <w:shd w:val="clear" w:color="auto" w:fill="FFFFFF"/>
      <w:tabs>
        <w:tab w:val="center" w:pos="4680"/>
        <w:tab w:val="right" w:pos="9360"/>
      </w:tabs>
      <w:jc w:val="both"/>
    </w:pPr>
    <w:rPr>
      <w:rFonts w:eastAsiaTheme="minorHAnsi" w:cstheme="minorBidi"/>
      <w:kern w:val="2"/>
      <w:sz w:val="24"/>
      <w:szCs w:val="24"/>
      <w14:ligatures w14:val="standardContextual"/>
    </w:rPr>
  </w:style>
  <w:style w:type="character" w:customStyle="1" w:styleId="MTDisplayEquationChar">
    <w:name w:val="MTDisplayEquation Char"/>
    <w:basedOn w:val="DefaultParagraphFont"/>
    <w:link w:val="MTDisplayEquation"/>
    <w:rsid w:val="00623B70"/>
    <w:rPr>
      <w:rFonts w:eastAsiaTheme="minorHAnsi" w:cstheme="minorBidi"/>
      <w:kern w:val="2"/>
      <w:sz w:val="24"/>
      <w:szCs w:val="24"/>
      <w:shd w:val="clear" w:color="auto" w:fill="FFFFFF"/>
      <w14:ligatures w14:val="standardContextual"/>
    </w:rPr>
  </w:style>
  <w:style w:type="character" w:customStyle="1" w:styleId="MTConvertedEquation">
    <w:name w:val="MTConvertedEquation"/>
    <w:basedOn w:val="DefaultParagraphFont"/>
    <w:rsid w:val="00623B70"/>
    <w:rPr>
      <w:rFonts w:ascii="Cambria Math" w:hAnsi="Cambria Math"/>
      <w:color w:val="000000"/>
      <w:sz w:val="24"/>
      <w:szCs w:val="24"/>
    </w:rPr>
  </w:style>
  <w:style w:type="paragraph" w:styleId="NormalWeb">
    <w:name w:val="Normal (Web)"/>
    <w:basedOn w:val="Normal"/>
    <w:uiPriority w:val="99"/>
    <w:unhideWhenUsed/>
    <w:rsid w:val="000C38C0"/>
    <w:pPr>
      <w:spacing w:before="100" w:beforeAutospacing="1" w:after="100" w:afterAutospacing="1"/>
    </w:pPr>
    <w:rPr>
      <w:sz w:val="24"/>
      <w:szCs w:val="24"/>
    </w:rPr>
  </w:style>
  <w:style w:type="character" w:customStyle="1" w:styleId="Heading7Char">
    <w:name w:val="Heading 7 Char"/>
    <w:basedOn w:val="DefaultParagraphFont"/>
    <w:link w:val="Heading7"/>
    <w:uiPriority w:val="9"/>
    <w:semiHidden/>
    <w:rsid w:val="00031B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1B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1B7E"/>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031B7E"/>
    <w:rPr>
      <w:color w:val="2E74B5"/>
      <w:sz w:val="32"/>
      <w:szCs w:val="32"/>
    </w:rPr>
  </w:style>
  <w:style w:type="character" w:customStyle="1" w:styleId="Heading2Char">
    <w:name w:val="Heading 2 Char"/>
    <w:basedOn w:val="DefaultParagraphFont"/>
    <w:link w:val="Heading2"/>
    <w:uiPriority w:val="9"/>
    <w:semiHidden/>
    <w:rsid w:val="00031B7E"/>
    <w:rPr>
      <w:color w:val="2E74B5"/>
      <w:sz w:val="26"/>
      <w:szCs w:val="26"/>
    </w:rPr>
  </w:style>
  <w:style w:type="character" w:customStyle="1" w:styleId="Heading3Char">
    <w:name w:val="Heading 3 Char"/>
    <w:basedOn w:val="DefaultParagraphFont"/>
    <w:link w:val="Heading3"/>
    <w:uiPriority w:val="9"/>
    <w:semiHidden/>
    <w:rsid w:val="00031B7E"/>
    <w:rPr>
      <w:color w:val="1F4D78"/>
      <w:sz w:val="24"/>
      <w:szCs w:val="24"/>
    </w:rPr>
  </w:style>
  <w:style w:type="character" w:customStyle="1" w:styleId="Heading4Char">
    <w:name w:val="Heading 4 Char"/>
    <w:basedOn w:val="DefaultParagraphFont"/>
    <w:link w:val="Heading4"/>
    <w:uiPriority w:val="9"/>
    <w:semiHidden/>
    <w:rsid w:val="00031B7E"/>
    <w:rPr>
      <w:i/>
      <w:iCs/>
      <w:color w:val="2E74B5"/>
    </w:rPr>
  </w:style>
  <w:style w:type="character" w:customStyle="1" w:styleId="Heading5Char">
    <w:name w:val="Heading 5 Char"/>
    <w:basedOn w:val="DefaultParagraphFont"/>
    <w:link w:val="Heading5"/>
    <w:uiPriority w:val="9"/>
    <w:semiHidden/>
    <w:rsid w:val="00031B7E"/>
    <w:rPr>
      <w:color w:val="2E74B5"/>
    </w:rPr>
  </w:style>
  <w:style w:type="character" w:customStyle="1" w:styleId="Heading6Char">
    <w:name w:val="Heading 6 Char"/>
    <w:basedOn w:val="DefaultParagraphFont"/>
    <w:link w:val="Heading6"/>
    <w:uiPriority w:val="9"/>
    <w:semiHidden/>
    <w:rsid w:val="00031B7E"/>
    <w:rPr>
      <w:color w:val="1F4D78"/>
    </w:rPr>
  </w:style>
  <w:style w:type="character" w:customStyle="1" w:styleId="TitleChar">
    <w:name w:val="Title Char"/>
    <w:basedOn w:val="DefaultParagraphFont"/>
    <w:link w:val="Title"/>
    <w:uiPriority w:val="10"/>
    <w:rsid w:val="00031B7E"/>
    <w:rPr>
      <w:sz w:val="56"/>
      <w:szCs w:val="56"/>
    </w:rPr>
  </w:style>
  <w:style w:type="paragraph" w:styleId="Subtitle">
    <w:name w:val="Subtitle"/>
    <w:basedOn w:val="Normal"/>
    <w:next w:val="Normal"/>
    <w:link w:val="SubtitleChar"/>
    <w:uiPriority w:val="11"/>
    <w:qFormat/>
    <w:rsid w:val="00031B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1B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1B7E"/>
    <w:pPr>
      <w:spacing w:before="160"/>
      <w:jc w:val="center"/>
    </w:pPr>
    <w:rPr>
      <w:i/>
      <w:iCs/>
      <w:color w:val="404040" w:themeColor="text1" w:themeTint="BF"/>
    </w:rPr>
  </w:style>
  <w:style w:type="character" w:customStyle="1" w:styleId="QuoteChar">
    <w:name w:val="Quote Char"/>
    <w:basedOn w:val="DefaultParagraphFont"/>
    <w:link w:val="Quote"/>
    <w:uiPriority w:val="29"/>
    <w:rsid w:val="00031B7E"/>
    <w:rPr>
      <w:i/>
      <w:iCs/>
      <w:color w:val="404040" w:themeColor="text1" w:themeTint="BF"/>
    </w:rPr>
  </w:style>
  <w:style w:type="character" w:styleId="IntenseEmphasis">
    <w:name w:val="Intense Emphasis"/>
    <w:basedOn w:val="DefaultParagraphFont"/>
    <w:uiPriority w:val="21"/>
    <w:qFormat/>
    <w:rsid w:val="00031B7E"/>
    <w:rPr>
      <w:i/>
      <w:iCs/>
      <w:color w:val="0F4761" w:themeColor="accent1" w:themeShade="BF"/>
    </w:rPr>
  </w:style>
  <w:style w:type="paragraph" w:styleId="IntenseQuote">
    <w:name w:val="Intense Quote"/>
    <w:basedOn w:val="Normal"/>
    <w:next w:val="Normal"/>
    <w:link w:val="IntenseQuoteChar"/>
    <w:uiPriority w:val="30"/>
    <w:qFormat/>
    <w:rsid w:val="00031B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1B7E"/>
    <w:rPr>
      <w:i/>
      <w:iCs/>
      <w:color w:val="0F4761" w:themeColor="accent1" w:themeShade="BF"/>
    </w:rPr>
  </w:style>
  <w:style w:type="character" w:styleId="IntenseReference">
    <w:name w:val="Intense Reference"/>
    <w:basedOn w:val="DefaultParagraphFont"/>
    <w:uiPriority w:val="32"/>
    <w:qFormat/>
    <w:rsid w:val="00031B7E"/>
    <w:rPr>
      <w:b/>
      <w:bCs/>
      <w:smallCaps/>
      <w:color w:val="0F4761" w:themeColor="accent1" w:themeShade="BF"/>
      <w:spacing w:val="5"/>
    </w:rPr>
  </w:style>
  <w:style w:type="paragraph" w:customStyle="1" w:styleId="pdq2pgselectionanchorcontainer">
    <w:name w:val="pdq2pg_selectionanchorcontainer"/>
    <w:basedOn w:val="Normal"/>
    <w:rsid w:val="002234FC"/>
    <w:pPr>
      <w:spacing w:before="100" w:beforeAutospacing="1" w:after="100" w:afterAutospacing="1"/>
    </w:pPr>
    <w:rPr>
      <w:sz w:val="24"/>
      <w:szCs w:val="24"/>
    </w:rPr>
  </w:style>
  <w:style w:type="character" w:styleId="Strong">
    <w:name w:val="Strong"/>
    <w:basedOn w:val="DefaultParagraphFont"/>
    <w:uiPriority w:val="22"/>
    <w:qFormat/>
    <w:rsid w:val="00780E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3297">
      <w:marLeft w:val="480"/>
      <w:marRight w:val="0"/>
      <w:marTop w:val="0"/>
      <w:marBottom w:val="0"/>
      <w:divBdr>
        <w:top w:val="none" w:sz="0" w:space="0" w:color="auto"/>
        <w:left w:val="none" w:sz="0" w:space="0" w:color="auto"/>
        <w:bottom w:val="none" w:sz="0" w:space="0" w:color="auto"/>
        <w:right w:val="none" w:sz="0" w:space="0" w:color="auto"/>
      </w:divBdr>
    </w:div>
    <w:div w:id="5906740">
      <w:marLeft w:val="480"/>
      <w:marRight w:val="0"/>
      <w:marTop w:val="0"/>
      <w:marBottom w:val="0"/>
      <w:divBdr>
        <w:top w:val="none" w:sz="0" w:space="0" w:color="auto"/>
        <w:left w:val="none" w:sz="0" w:space="0" w:color="auto"/>
        <w:bottom w:val="none" w:sz="0" w:space="0" w:color="auto"/>
        <w:right w:val="none" w:sz="0" w:space="0" w:color="auto"/>
      </w:divBdr>
    </w:div>
    <w:div w:id="6294941">
      <w:marLeft w:val="480"/>
      <w:marRight w:val="0"/>
      <w:marTop w:val="0"/>
      <w:marBottom w:val="0"/>
      <w:divBdr>
        <w:top w:val="none" w:sz="0" w:space="0" w:color="auto"/>
        <w:left w:val="none" w:sz="0" w:space="0" w:color="auto"/>
        <w:bottom w:val="none" w:sz="0" w:space="0" w:color="auto"/>
        <w:right w:val="none" w:sz="0" w:space="0" w:color="auto"/>
      </w:divBdr>
    </w:div>
    <w:div w:id="6491360">
      <w:marLeft w:val="480"/>
      <w:marRight w:val="0"/>
      <w:marTop w:val="0"/>
      <w:marBottom w:val="0"/>
      <w:divBdr>
        <w:top w:val="none" w:sz="0" w:space="0" w:color="auto"/>
        <w:left w:val="none" w:sz="0" w:space="0" w:color="auto"/>
        <w:bottom w:val="none" w:sz="0" w:space="0" w:color="auto"/>
        <w:right w:val="none" w:sz="0" w:space="0" w:color="auto"/>
      </w:divBdr>
    </w:div>
    <w:div w:id="7602327">
      <w:marLeft w:val="480"/>
      <w:marRight w:val="0"/>
      <w:marTop w:val="0"/>
      <w:marBottom w:val="0"/>
      <w:divBdr>
        <w:top w:val="none" w:sz="0" w:space="0" w:color="auto"/>
        <w:left w:val="none" w:sz="0" w:space="0" w:color="auto"/>
        <w:bottom w:val="none" w:sz="0" w:space="0" w:color="auto"/>
        <w:right w:val="none" w:sz="0" w:space="0" w:color="auto"/>
      </w:divBdr>
    </w:div>
    <w:div w:id="9725983">
      <w:marLeft w:val="480"/>
      <w:marRight w:val="0"/>
      <w:marTop w:val="0"/>
      <w:marBottom w:val="0"/>
      <w:divBdr>
        <w:top w:val="none" w:sz="0" w:space="0" w:color="auto"/>
        <w:left w:val="none" w:sz="0" w:space="0" w:color="auto"/>
        <w:bottom w:val="none" w:sz="0" w:space="0" w:color="auto"/>
        <w:right w:val="none" w:sz="0" w:space="0" w:color="auto"/>
      </w:divBdr>
    </w:div>
    <w:div w:id="12273129">
      <w:marLeft w:val="480"/>
      <w:marRight w:val="0"/>
      <w:marTop w:val="0"/>
      <w:marBottom w:val="0"/>
      <w:divBdr>
        <w:top w:val="none" w:sz="0" w:space="0" w:color="auto"/>
        <w:left w:val="none" w:sz="0" w:space="0" w:color="auto"/>
        <w:bottom w:val="none" w:sz="0" w:space="0" w:color="auto"/>
        <w:right w:val="none" w:sz="0" w:space="0" w:color="auto"/>
      </w:divBdr>
    </w:div>
    <w:div w:id="12851509">
      <w:marLeft w:val="480"/>
      <w:marRight w:val="0"/>
      <w:marTop w:val="0"/>
      <w:marBottom w:val="0"/>
      <w:divBdr>
        <w:top w:val="none" w:sz="0" w:space="0" w:color="auto"/>
        <w:left w:val="none" w:sz="0" w:space="0" w:color="auto"/>
        <w:bottom w:val="none" w:sz="0" w:space="0" w:color="auto"/>
        <w:right w:val="none" w:sz="0" w:space="0" w:color="auto"/>
      </w:divBdr>
    </w:div>
    <w:div w:id="13044402">
      <w:marLeft w:val="480"/>
      <w:marRight w:val="0"/>
      <w:marTop w:val="0"/>
      <w:marBottom w:val="0"/>
      <w:divBdr>
        <w:top w:val="none" w:sz="0" w:space="0" w:color="auto"/>
        <w:left w:val="none" w:sz="0" w:space="0" w:color="auto"/>
        <w:bottom w:val="none" w:sz="0" w:space="0" w:color="auto"/>
        <w:right w:val="none" w:sz="0" w:space="0" w:color="auto"/>
      </w:divBdr>
    </w:div>
    <w:div w:id="13769963">
      <w:marLeft w:val="480"/>
      <w:marRight w:val="0"/>
      <w:marTop w:val="0"/>
      <w:marBottom w:val="0"/>
      <w:divBdr>
        <w:top w:val="none" w:sz="0" w:space="0" w:color="auto"/>
        <w:left w:val="none" w:sz="0" w:space="0" w:color="auto"/>
        <w:bottom w:val="none" w:sz="0" w:space="0" w:color="auto"/>
        <w:right w:val="none" w:sz="0" w:space="0" w:color="auto"/>
      </w:divBdr>
    </w:div>
    <w:div w:id="17200704">
      <w:marLeft w:val="480"/>
      <w:marRight w:val="0"/>
      <w:marTop w:val="0"/>
      <w:marBottom w:val="0"/>
      <w:divBdr>
        <w:top w:val="none" w:sz="0" w:space="0" w:color="auto"/>
        <w:left w:val="none" w:sz="0" w:space="0" w:color="auto"/>
        <w:bottom w:val="none" w:sz="0" w:space="0" w:color="auto"/>
        <w:right w:val="none" w:sz="0" w:space="0" w:color="auto"/>
      </w:divBdr>
    </w:div>
    <w:div w:id="20472611">
      <w:marLeft w:val="480"/>
      <w:marRight w:val="0"/>
      <w:marTop w:val="0"/>
      <w:marBottom w:val="0"/>
      <w:divBdr>
        <w:top w:val="none" w:sz="0" w:space="0" w:color="auto"/>
        <w:left w:val="none" w:sz="0" w:space="0" w:color="auto"/>
        <w:bottom w:val="none" w:sz="0" w:space="0" w:color="auto"/>
        <w:right w:val="none" w:sz="0" w:space="0" w:color="auto"/>
      </w:divBdr>
    </w:div>
    <w:div w:id="22675990">
      <w:marLeft w:val="480"/>
      <w:marRight w:val="0"/>
      <w:marTop w:val="0"/>
      <w:marBottom w:val="0"/>
      <w:divBdr>
        <w:top w:val="none" w:sz="0" w:space="0" w:color="auto"/>
        <w:left w:val="none" w:sz="0" w:space="0" w:color="auto"/>
        <w:bottom w:val="none" w:sz="0" w:space="0" w:color="auto"/>
        <w:right w:val="none" w:sz="0" w:space="0" w:color="auto"/>
      </w:divBdr>
    </w:div>
    <w:div w:id="31274138">
      <w:marLeft w:val="480"/>
      <w:marRight w:val="0"/>
      <w:marTop w:val="0"/>
      <w:marBottom w:val="0"/>
      <w:divBdr>
        <w:top w:val="none" w:sz="0" w:space="0" w:color="auto"/>
        <w:left w:val="none" w:sz="0" w:space="0" w:color="auto"/>
        <w:bottom w:val="none" w:sz="0" w:space="0" w:color="auto"/>
        <w:right w:val="none" w:sz="0" w:space="0" w:color="auto"/>
      </w:divBdr>
    </w:div>
    <w:div w:id="32970656">
      <w:marLeft w:val="480"/>
      <w:marRight w:val="0"/>
      <w:marTop w:val="0"/>
      <w:marBottom w:val="0"/>
      <w:divBdr>
        <w:top w:val="none" w:sz="0" w:space="0" w:color="auto"/>
        <w:left w:val="none" w:sz="0" w:space="0" w:color="auto"/>
        <w:bottom w:val="none" w:sz="0" w:space="0" w:color="auto"/>
        <w:right w:val="none" w:sz="0" w:space="0" w:color="auto"/>
      </w:divBdr>
    </w:div>
    <w:div w:id="34937180">
      <w:marLeft w:val="480"/>
      <w:marRight w:val="0"/>
      <w:marTop w:val="0"/>
      <w:marBottom w:val="0"/>
      <w:divBdr>
        <w:top w:val="none" w:sz="0" w:space="0" w:color="auto"/>
        <w:left w:val="none" w:sz="0" w:space="0" w:color="auto"/>
        <w:bottom w:val="none" w:sz="0" w:space="0" w:color="auto"/>
        <w:right w:val="none" w:sz="0" w:space="0" w:color="auto"/>
      </w:divBdr>
    </w:div>
    <w:div w:id="40135827">
      <w:marLeft w:val="480"/>
      <w:marRight w:val="0"/>
      <w:marTop w:val="0"/>
      <w:marBottom w:val="0"/>
      <w:divBdr>
        <w:top w:val="none" w:sz="0" w:space="0" w:color="auto"/>
        <w:left w:val="none" w:sz="0" w:space="0" w:color="auto"/>
        <w:bottom w:val="none" w:sz="0" w:space="0" w:color="auto"/>
        <w:right w:val="none" w:sz="0" w:space="0" w:color="auto"/>
      </w:divBdr>
    </w:div>
    <w:div w:id="40643238">
      <w:marLeft w:val="480"/>
      <w:marRight w:val="0"/>
      <w:marTop w:val="0"/>
      <w:marBottom w:val="0"/>
      <w:divBdr>
        <w:top w:val="none" w:sz="0" w:space="0" w:color="auto"/>
        <w:left w:val="none" w:sz="0" w:space="0" w:color="auto"/>
        <w:bottom w:val="none" w:sz="0" w:space="0" w:color="auto"/>
        <w:right w:val="none" w:sz="0" w:space="0" w:color="auto"/>
      </w:divBdr>
    </w:div>
    <w:div w:id="41366137">
      <w:marLeft w:val="480"/>
      <w:marRight w:val="0"/>
      <w:marTop w:val="0"/>
      <w:marBottom w:val="0"/>
      <w:divBdr>
        <w:top w:val="none" w:sz="0" w:space="0" w:color="auto"/>
        <w:left w:val="none" w:sz="0" w:space="0" w:color="auto"/>
        <w:bottom w:val="none" w:sz="0" w:space="0" w:color="auto"/>
        <w:right w:val="none" w:sz="0" w:space="0" w:color="auto"/>
      </w:divBdr>
    </w:div>
    <w:div w:id="42608992">
      <w:marLeft w:val="480"/>
      <w:marRight w:val="0"/>
      <w:marTop w:val="0"/>
      <w:marBottom w:val="0"/>
      <w:divBdr>
        <w:top w:val="none" w:sz="0" w:space="0" w:color="auto"/>
        <w:left w:val="none" w:sz="0" w:space="0" w:color="auto"/>
        <w:bottom w:val="none" w:sz="0" w:space="0" w:color="auto"/>
        <w:right w:val="none" w:sz="0" w:space="0" w:color="auto"/>
      </w:divBdr>
    </w:div>
    <w:div w:id="46153742">
      <w:marLeft w:val="480"/>
      <w:marRight w:val="0"/>
      <w:marTop w:val="0"/>
      <w:marBottom w:val="0"/>
      <w:divBdr>
        <w:top w:val="none" w:sz="0" w:space="0" w:color="auto"/>
        <w:left w:val="none" w:sz="0" w:space="0" w:color="auto"/>
        <w:bottom w:val="none" w:sz="0" w:space="0" w:color="auto"/>
        <w:right w:val="none" w:sz="0" w:space="0" w:color="auto"/>
      </w:divBdr>
    </w:div>
    <w:div w:id="46538869">
      <w:marLeft w:val="480"/>
      <w:marRight w:val="0"/>
      <w:marTop w:val="0"/>
      <w:marBottom w:val="0"/>
      <w:divBdr>
        <w:top w:val="none" w:sz="0" w:space="0" w:color="auto"/>
        <w:left w:val="none" w:sz="0" w:space="0" w:color="auto"/>
        <w:bottom w:val="none" w:sz="0" w:space="0" w:color="auto"/>
        <w:right w:val="none" w:sz="0" w:space="0" w:color="auto"/>
      </w:divBdr>
    </w:div>
    <w:div w:id="49153887">
      <w:marLeft w:val="480"/>
      <w:marRight w:val="0"/>
      <w:marTop w:val="0"/>
      <w:marBottom w:val="0"/>
      <w:divBdr>
        <w:top w:val="none" w:sz="0" w:space="0" w:color="auto"/>
        <w:left w:val="none" w:sz="0" w:space="0" w:color="auto"/>
        <w:bottom w:val="none" w:sz="0" w:space="0" w:color="auto"/>
        <w:right w:val="none" w:sz="0" w:space="0" w:color="auto"/>
      </w:divBdr>
    </w:div>
    <w:div w:id="49504993">
      <w:marLeft w:val="480"/>
      <w:marRight w:val="0"/>
      <w:marTop w:val="0"/>
      <w:marBottom w:val="0"/>
      <w:divBdr>
        <w:top w:val="none" w:sz="0" w:space="0" w:color="auto"/>
        <w:left w:val="none" w:sz="0" w:space="0" w:color="auto"/>
        <w:bottom w:val="none" w:sz="0" w:space="0" w:color="auto"/>
        <w:right w:val="none" w:sz="0" w:space="0" w:color="auto"/>
      </w:divBdr>
    </w:div>
    <w:div w:id="50540856">
      <w:marLeft w:val="480"/>
      <w:marRight w:val="0"/>
      <w:marTop w:val="0"/>
      <w:marBottom w:val="0"/>
      <w:divBdr>
        <w:top w:val="none" w:sz="0" w:space="0" w:color="auto"/>
        <w:left w:val="none" w:sz="0" w:space="0" w:color="auto"/>
        <w:bottom w:val="none" w:sz="0" w:space="0" w:color="auto"/>
        <w:right w:val="none" w:sz="0" w:space="0" w:color="auto"/>
      </w:divBdr>
    </w:div>
    <w:div w:id="51078822">
      <w:marLeft w:val="480"/>
      <w:marRight w:val="0"/>
      <w:marTop w:val="0"/>
      <w:marBottom w:val="0"/>
      <w:divBdr>
        <w:top w:val="none" w:sz="0" w:space="0" w:color="auto"/>
        <w:left w:val="none" w:sz="0" w:space="0" w:color="auto"/>
        <w:bottom w:val="none" w:sz="0" w:space="0" w:color="auto"/>
        <w:right w:val="none" w:sz="0" w:space="0" w:color="auto"/>
      </w:divBdr>
    </w:div>
    <w:div w:id="51395437">
      <w:marLeft w:val="480"/>
      <w:marRight w:val="0"/>
      <w:marTop w:val="0"/>
      <w:marBottom w:val="0"/>
      <w:divBdr>
        <w:top w:val="none" w:sz="0" w:space="0" w:color="auto"/>
        <w:left w:val="none" w:sz="0" w:space="0" w:color="auto"/>
        <w:bottom w:val="none" w:sz="0" w:space="0" w:color="auto"/>
        <w:right w:val="none" w:sz="0" w:space="0" w:color="auto"/>
      </w:divBdr>
    </w:div>
    <w:div w:id="53771779">
      <w:marLeft w:val="480"/>
      <w:marRight w:val="0"/>
      <w:marTop w:val="0"/>
      <w:marBottom w:val="0"/>
      <w:divBdr>
        <w:top w:val="none" w:sz="0" w:space="0" w:color="auto"/>
        <w:left w:val="none" w:sz="0" w:space="0" w:color="auto"/>
        <w:bottom w:val="none" w:sz="0" w:space="0" w:color="auto"/>
        <w:right w:val="none" w:sz="0" w:space="0" w:color="auto"/>
      </w:divBdr>
    </w:div>
    <w:div w:id="55709308">
      <w:marLeft w:val="480"/>
      <w:marRight w:val="0"/>
      <w:marTop w:val="0"/>
      <w:marBottom w:val="0"/>
      <w:divBdr>
        <w:top w:val="none" w:sz="0" w:space="0" w:color="auto"/>
        <w:left w:val="none" w:sz="0" w:space="0" w:color="auto"/>
        <w:bottom w:val="none" w:sz="0" w:space="0" w:color="auto"/>
        <w:right w:val="none" w:sz="0" w:space="0" w:color="auto"/>
      </w:divBdr>
    </w:div>
    <w:div w:id="57439965">
      <w:marLeft w:val="480"/>
      <w:marRight w:val="0"/>
      <w:marTop w:val="0"/>
      <w:marBottom w:val="0"/>
      <w:divBdr>
        <w:top w:val="none" w:sz="0" w:space="0" w:color="auto"/>
        <w:left w:val="none" w:sz="0" w:space="0" w:color="auto"/>
        <w:bottom w:val="none" w:sz="0" w:space="0" w:color="auto"/>
        <w:right w:val="none" w:sz="0" w:space="0" w:color="auto"/>
      </w:divBdr>
    </w:div>
    <w:div w:id="60837720">
      <w:marLeft w:val="480"/>
      <w:marRight w:val="0"/>
      <w:marTop w:val="0"/>
      <w:marBottom w:val="0"/>
      <w:divBdr>
        <w:top w:val="none" w:sz="0" w:space="0" w:color="auto"/>
        <w:left w:val="none" w:sz="0" w:space="0" w:color="auto"/>
        <w:bottom w:val="none" w:sz="0" w:space="0" w:color="auto"/>
        <w:right w:val="none" w:sz="0" w:space="0" w:color="auto"/>
      </w:divBdr>
    </w:div>
    <w:div w:id="61832637">
      <w:marLeft w:val="480"/>
      <w:marRight w:val="0"/>
      <w:marTop w:val="0"/>
      <w:marBottom w:val="0"/>
      <w:divBdr>
        <w:top w:val="none" w:sz="0" w:space="0" w:color="auto"/>
        <w:left w:val="none" w:sz="0" w:space="0" w:color="auto"/>
        <w:bottom w:val="none" w:sz="0" w:space="0" w:color="auto"/>
        <w:right w:val="none" w:sz="0" w:space="0" w:color="auto"/>
      </w:divBdr>
    </w:div>
    <w:div w:id="62066039">
      <w:marLeft w:val="480"/>
      <w:marRight w:val="0"/>
      <w:marTop w:val="0"/>
      <w:marBottom w:val="0"/>
      <w:divBdr>
        <w:top w:val="none" w:sz="0" w:space="0" w:color="auto"/>
        <w:left w:val="none" w:sz="0" w:space="0" w:color="auto"/>
        <w:bottom w:val="none" w:sz="0" w:space="0" w:color="auto"/>
        <w:right w:val="none" w:sz="0" w:space="0" w:color="auto"/>
      </w:divBdr>
    </w:div>
    <w:div w:id="65500854">
      <w:marLeft w:val="480"/>
      <w:marRight w:val="0"/>
      <w:marTop w:val="0"/>
      <w:marBottom w:val="0"/>
      <w:divBdr>
        <w:top w:val="none" w:sz="0" w:space="0" w:color="auto"/>
        <w:left w:val="none" w:sz="0" w:space="0" w:color="auto"/>
        <w:bottom w:val="none" w:sz="0" w:space="0" w:color="auto"/>
        <w:right w:val="none" w:sz="0" w:space="0" w:color="auto"/>
      </w:divBdr>
    </w:div>
    <w:div w:id="66923519">
      <w:marLeft w:val="480"/>
      <w:marRight w:val="0"/>
      <w:marTop w:val="0"/>
      <w:marBottom w:val="0"/>
      <w:divBdr>
        <w:top w:val="none" w:sz="0" w:space="0" w:color="auto"/>
        <w:left w:val="none" w:sz="0" w:space="0" w:color="auto"/>
        <w:bottom w:val="none" w:sz="0" w:space="0" w:color="auto"/>
        <w:right w:val="none" w:sz="0" w:space="0" w:color="auto"/>
      </w:divBdr>
    </w:div>
    <w:div w:id="69273890">
      <w:marLeft w:val="480"/>
      <w:marRight w:val="0"/>
      <w:marTop w:val="0"/>
      <w:marBottom w:val="0"/>
      <w:divBdr>
        <w:top w:val="none" w:sz="0" w:space="0" w:color="auto"/>
        <w:left w:val="none" w:sz="0" w:space="0" w:color="auto"/>
        <w:bottom w:val="none" w:sz="0" w:space="0" w:color="auto"/>
        <w:right w:val="none" w:sz="0" w:space="0" w:color="auto"/>
      </w:divBdr>
    </w:div>
    <w:div w:id="69931326">
      <w:marLeft w:val="480"/>
      <w:marRight w:val="0"/>
      <w:marTop w:val="0"/>
      <w:marBottom w:val="0"/>
      <w:divBdr>
        <w:top w:val="none" w:sz="0" w:space="0" w:color="auto"/>
        <w:left w:val="none" w:sz="0" w:space="0" w:color="auto"/>
        <w:bottom w:val="none" w:sz="0" w:space="0" w:color="auto"/>
        <w:right w:val="none" w:sz="0" w:space="0" w:color="auto"/>
      </w:divBdr>
    </w:div>
    <w:div w:id="71586044">
      <w:marLeft w:val="480"/>
      <w:marRight w:val="0"/>
      <w:marTop w:val="0"/>
      <w:marBottom w:val="0"/>
      <w:divBdr>
        <w:top w:val="none" w:sz="0" w:space="0" w:color="auto"/>
        <w:left w:val="none" w:sz="0" w:space="0" w:color="auto"/>
        <w:bottom w:val="none" w:sz="0" w:space="0" w:color="auto"/>
        <w:right w:val="none" w:sz="0" w:space="0" w:color="auto"/>
      </w:divBdr>
    </w:div>
    <w:div w:id="73206436">
      <w:marLeft w:val="480"/>
      <w:marRight w:val="0"/>
      <w:marTop w:val="0"/>
      <w:marBottom w:val="0"/>
      <w:divBdr>
        <w:top w:val="none" w:sz="0" w:space="0" w:color="auto"/>
        <w:left w:val="none" w:sz="0" w:space="0" w:color="auto"/>
        <w:bottom w:val="none" w:sz="0" w:space="0" w:color="auto"/>
        <w:right w:val="none" w:sz="0" w:space="0" w:color="auto"/>
      </w:divBdr>
    </w:div>
    <w:div w:id="76099454">
      <w:marLeft w:val="480"/>
      <w:marRight w:val="0"/>
      <w:marTop w:val="0"/>
      <w:marBottom w:val="0"/>
      <w:divBdr>
        <w:top w:val="none" w:sz="0" w:space="0" w:color="auto"/>
        <w:left w:val="none" w:sz="0" w:space="0" w:color="auto"/>
        <w:bottom w:val="none" w:sz="0" w:space="0" w:color="auto"/>
        <w:right w:val="none" w:sz="0" w:space="0" w:color="auto"/>
      </w:divBdr>
    </w:div>
    <w:div w:id="76753927">
      <w:marLeft w:val="480"/>
      <w:marRight w:val="0"/>
      <w:marTop w:val="0"/>
      <w:marBottom w:val="0"/>
      <w:divBdr>
        <w:top w:val="none" w:sz="0" w:space="0" w:color="auto"/>
        <w:left w:val="none" w:sz="0" w:space="0" w:color="auto"/>
        <w:bottom w:val="none" w:sz="0" w:space="0" w:color="auto"/>
        <w:right w:val="none" w:sz="0" w:space="0" w:color="auto"/>
      </w:divBdr>
    </w:div>
    <w:div w:id="85348155">
      <w:marLeft w:val="480"/>
      <w:marRight w:val="0"/>
      <w:marTop w:val="0"/>
      <w:marBottom w:val="0"/>
      <w:divBdr>
        <w:top w:val="none" w:sz="0" w:space="0" w:color="auto"/>
        <w:left w:val="none" w:sz="0" w:space="0" w:color="auto"/>
        <w:bottom w:val="none" w:sz="0" w:space="0" w:color="auto"/>
        <w:right w:val="none" w:sz="0" w:space="0" w:color="auto"/>
      </w:divBdr>
    </w:div>
    <w:div w:id="86467155">
      <w:marLeft w:val="480"/>
      <w:marRight w:val="0"/>
      <w:marTop w:val="0"/>
      <w:marBottom w:val="0"/>
      <w:divBdr>
        <w:top w:val="none" w:sz="0" w:space="0" w:color="auto"/>
        <w:left w:val="none" w:sz="0" w:space="0" w:color="auto"/>
        <w:bottom w:val="none" w:sz="0" w:space="0" w:color="auto"/>
        <w:right w:val="none" w:sz="0" w:space="0" w:color="auto"/>
      </w:divBdr>
    </w:div>
    <w:div w:id="89351066">
      <w:marLeft w:val="480"/>
      <w:marRight w:val="0"/>
      <w:marTop w:val="0"/>
      <w:marBottom w:val="0"/>
      <w:divBdr>
        <w:top w:val="none" w:sz="0" w:space="0" w:color="auto"/>
        <w:left w:val="none" w:sz="0" w:space="0" w:color="auto"/>
        <w:bottom w:val="none" w:sz="0" w:space="0" w:color="auto"/>
        <w:right w:val="none" w:sz="0" w:space="0" w:color="auto"/>
      </w:divBdr>
    </w:div>
    <w:div w:id="89353870">
      <w:marLeft w:val="480"/>
      <w:marRight w:val="0"/>
      <w:marTop w:val="0"/>
      <w:marBottom w:val="0"/>
      <w:divBdr>
        <w:top w:val="none" w:sz="0" w:space="0" w:color="auto"/>
        <w:left w:val="none" w:sz="0" w:space="0" w:color="auto"/>
        <w:bottom w:val="none" w:sz="0" w:space="0" w:color="auto"/>
        <w:right w:val="none" w:sz="0" w:space="0" w:color="auto"/>
      </w:divBdr>
    </w:div>
    <w:div w:id="97263405">
      <w:marLeft w:val="480"/>
      <w:marRight w:val="0"/>
      <w:marTop w:val="0"/>
      <w:marBottom w:val="0"/>
      <w:divBdr>
        <w:top w:val="none" w:sz="0" w:space="0" w:color="auto"/>
        <w:left w:val="none" w:sz="0" w:space="0" w:color="auto"/>
        <w:bottom w:val="none" w:sz="0" w:space="0" w:color="auto"/>
        <w:right w:val="none" w:sz="0" w:space="0" w:color="auto"/>
      </w:divBdr>
    </w:div>
    <w:div w:id="97720622">
      <w:marLeft w:val="480"/>
      <w:marRight w:val="0"/>
      <w:marTop w:val="0"/>
      <w:marBottom w:val="0"/>
      <w:divBdr>
        <w:top w:val="none" w:sz="0" w:space="0" w:color="auto"/>
        <w:left w:val="none" w:sz="0" w:space="0" w:color="auto"/>
        <w:bottom w:val="none" w:sz="0" w:space="0" w:color="auto"/>
        <w:right w:val="none" w:sz="0" w:space="0" w:color="auto"/>
      </w:divBdr>
    </w:div>
    <w:div w:id="100882148">
      <w:marLeft w:val="480"/>
      <w:marRight w:val="0"/>
      <w:marTop w:val="0"/>
      <w:marBottom w:val="0"/>
      <w:divBdr>
        <w:top w:val="none" w:sz="0" w:space="0" w:color="auto"/>
        <w:left w:val="none" w:sz="0" w:space="0" w:color="auto"/>
        <w:bottom w:val="none" w:sz="0" w:space="0" w:color="auto"/>
        <w:right w:val="none" w:sz="0" w:space="0" w:color="auto"/>
      </w:divBdr>
    </w:div>
    <w:div w:id="101339489">
      <w:marLeft w:val="480"/>
      <w:marRight w:val="0"/>
      <w:marTop w:val="0"/>
      <w:marBottom w:val="0"/>
      <w:divBdr>
        <w:top w:val="none" w:sz="0" w:space="0" w:color="auto"/>
        <w:left w:val="none" w:sz="0" w:space="0" w:color="auto"/>
        <w:bottom w:val="none" w:sz="0" w:space="0" w:color="auto"/>
        <w:right w:val="none" w:sz="0" w:space="0" w:color="auto"/>
      </w:divBdr>
    </w:div>
    <w:div w:id="101801089">
      <w:marLeft w:val="480"/>
      <w:marRight w:val="0"/>
      <w:marTop w:val="0"/>
      <w:marBottom w:val="0"/>
      <w:divBdr>
        <w:top w:val="none" w:sz="0" w:space="0" w:color="auto"/>
        <w:left w:val="none" w:sz="0" w:space="0" w:color="auto"/>
        <w:bottom w:val="none" w:sz="0" w:space="0" w:color="auto"/>
        <w:right w:val="none" w:sz="0" w:space="0" w:color="auto"/>
      </w:divBdr>
    </w:div>
    <w:div w:id="104271439">
      <w:marLeft w:val="480"/>
      <w:marRight w:val="0"/>
      <w:marTop w:val="0"/>
      <w:marBottom w:val="0"/>
      <w:divBdr>
        <w:top w:val="none" w:sz="0" w:space="0" w:color="auto"/>
        <w:left w:val="none" w:sz="0" w:space="0" w:color="auto"/>
        <w:bottom w:val="none" w:sz="0" w:space="0" w:color="auto"/>
        <w:right w:val="none" w:sz="0" w:space="0" w:color="auto"/>
      </w:divBdr>
    </w:div>
    <w:div w:id="107242221">
      <w:marLeft w:val="480"/>
      <w:marRight w:val="0"/>
      <w:marTop w:val="0"/>
      <w:marBottom w:val="0"/>
      <w:divBdr>
        <w:top w:val="none" w:sz="0" w:space="0" w:color="auto"/>
        <w:left w:val="none" w:sz="0" w:space="0" w:color="auto"/>
        <w:bottom w:val="none" w:sz="0" w:space="0" w:color="auto"/>
        <w:right w:val="none" w:sz="0" w:space="0" w:color="auto"/>
      </w:divBdr>
    </w:div>
    <w:div w:id="108008370">
      <w:marLeft w:val="480"/>
      <w:marRight w:val="0"/>
      <w:marTop w:val="0"/>
      <w:marBottom w:val="0"/>
      <w:divBdr>
        <w:top w:val="none" w:sz="0" w:space="0" w:color="auto"/>
        <w:left w:val="none" w:sz="0" w:space="0" w:color="auto"/>
        <w:bottom w:val="none" w:sz="0" w:space="0" w:color="auto"/>
        <w:right w:val="none" w:sz="0" w:space="0" w:color="auto"/>
      </w:divBdr>
    </w:div>
    <w:div w:id="108427977">
      <w:marLeft w:val="480"/>
      <w:marRight w:val="0"/>
      <w:marTop w:val="0"/>
      <w:marBottom w:val="0"/>
      <w:divBdr>
        <w:top w:val="none" w:sz="0" w:space="0" w:color="auto"/>
        <w:left w:val="none" w:sz="0" w:space="0" w:color="auto"/>
        <w:bottom w:val="none" w:sz="0" w:space="0" w:color="auto"/>
        <w:right w:val="none" w:sz="0" w:space="0" w:color="auto"/>
      </w:divBdr>
    </w:div>
    <w:div w:id="109445887">
      <w:marLeft w:val="480"/>
      <w:marRight w:val="0"/>
      <w:marTop w:val="0"/>
      <w:marBottom w:val="0"/>
      <w:divBdr>
        <w:top w:val="none" w:sz="0" w:space="0" w:color="auto"/>
        <w:left w:val="none" w:sz="0" w:space="0" w:color="auto"/>
        <w:bottom w:val="none" w:sz="0" w:space="0" w:color="auto"/>
        <w:right w:val="none" w:sz="0" w:space="0" w:color="auto"/>
      </w:divBdr>
    </w:div>
    <w:div w:id="110320997">
      <w:marLeft w:val="480"/>
      <w:marRight w:val="0"/>
      <w:marTop w:val="0"/>
      <w:marBottom w:val="0"/>
      <w:divBdr>
        <w:top w:val="none" w:sz="0" w:space="0" w:color="auto"/>
        <w:left w:val="none" w:sz="0" w:space="0" w:color="auto"/>
        <w:bottom w:val="none" w:sz="0" w:space="0" w:color="auto"/>
        <w:right w:val="none" w:sz="0" w:space="0" w:color="auto"/>
      </w:divBdr>
    </w:div>
    <w:div w:id="112210058">
      <w:marLeft w:val="480"/>
      <w:marRight w:val="0"/>
      <w:marTop w:val="0"/>
      <w:marBottom w:val="0"/>
      <w:divBdr>
        <w:top w:val="none" w:sz="0" w:space="0" w:color="auto"/>
        <w:left w:val="none" w:sz="0" w:space="0" w:color="auto"/>
        <w:bottom w:val="none" w:sz="0" w:space="0" w:color="auto"/>
        <w:right w:val="none" w:sz="0" w:space="0" w:color="auto"/>
      </w:divBdr>
    </w:div>
    <w:div w:id="113526830">
      <w:marLeft w:val="480"/>
      <w:marRight w:val="0"/>
      <w:marTop w:val="0"/>
      <w:marBottom w:val="0"/>
      <w:divBdr>
        <w:top w:val="none" w:sz="0" w:space="0" w:color="auto"/>
        <w:left w:val="none" w:sz="0" w:space="0" w:color="auto"/>
        <w:bottom w:val="none" w:sz="0" w:space="0" w:color="auto"/>
        <w:right w:val="none" w:sz="0" w:space="0" w:color="auto"/>
      </w:divBdr>
    </w:div>
    <w:div w:id="113865784">
      <w:marLeft w:val="480"/>
      <w:marRight w:val="0"/>
      <w:marTop w:val="0"/>
      <w:marBottom w:val="0"/>
      <w:divBdr>
        <w:top w:val="none" w:sz="0" w:space="0" w:color="auto"/>
        <w:left w:val="none" w:sz="0" w:space="0" w:color="auto"/>
        <w:bottom w:val="none" w:sz="0" w:space="0" w:color="auto"/>
        <w:right w:val="none" w:sz="0" w:space="0" w:color="auto"/>
      </w:divBdr>
    </w:div>
    <w:div w:id="115178174">
      <w:marLeft w:val="480"/>
      <w:marRight w:val="0"/>
      <w:marTop w:val="0"/>
      <w:marBottom w:val="0"/>
      <w:divBdr>
        <w:top w:val="none" w:sz="0" w:space="0" w:color="auto"/>
        <w:left w:val="none" w:sz="0" w:space="0" w:color="auto"/>
        <w:bottom w:val="none" w:sz="0" w:space="0" w:color="auto"/>
        <w:right w:val="none" w:sz="0" w:space="0" w:color="auto"/>
      </w:divBdr>
    </w:div>
    <w:div w:id="115610434">
      <w:marLeft w:val="480"/>
      <w:marRight w:val="0"/>
      <w:marTop w:val="0"/>
      <w:marBottom w:val="0"/>
      <w:divBdr>
        <w:top w:val="none" w:sz="0" w:space="0" w:color="auto"/>
        <w:left w:val="none" w:sz="0" w:space="0" w:color="auto"/>
        <w:bottom w:val="none" w:sz="0" w:space="0" w:color="auto"/>
        <w:right w:val="none" w:sz="0" w:space="0" w:color="auto"/>
      </w:divBdr>
    </w:div>
    <w:div w:id="115755394">
      <w:marLeft w:val="480"/>
      <w:marRight w:val="0"/>
      <w:marTop w:val="0"/>
      <w:marBottom w:val="0"/>
      <w:divBdr>
        <w:top w:val="none" w:sz="0" w:space="0" w:color="auto"/>
        <w:left w:val="none" w:sz="0" w:space="0" w:color="auto"/>
        <w:bottom w:val="none" w:sz="0" w:space="0" w:color="auto"/>
        <w:right w:val="none" w:sz="0" w:space="0" w:color="auto"/>
      </w:divBdr>
    </w:div>
    <w:div w:id="115830972">
      <w:marLeft w:val="480"/>
      <w:marRight w:val="0"/>
      <w:marTop w:val="0"/>
      <w:marBottom w:val="0"/>
      <w:divBdr>
        <w:top w:val="none" w:sz="0" w:space="0" w:color="auto"/>
        <w:left w:val="none" w:sz="0" w:space="0" w:color="auto"/>
        <w:bottom w:val="none" w:sz="0" w:space="0" w:color="auto"/>
        <w:right w:val="none" w:sz="0" w:space="0" w:color="auto"/>
      </w:divBdr>
    </w:div>
    <w:div w:id="116224417">
      <w:marLeft w:val="480"/>
      <w:marRight w:val="0"/>
      <w:marTop w:val="0"/>
      <w:marBottom w:val="0"/>
      <w:divBdr>
        <w:top w:val="none" w:sz="0" w:space="0" w:color="auto"/>
        <w:left w:val="none" w:sz="0" w:space="0" w:color="auto"/>
        <w:bottom w:val="none" w:sz="0" w:space="0" w:color="auto"/>
        <w:right w:val="none" w:sz="0" w:space="0" w:color="auto"/>
      </w:divBdr>
    </w:div>
    <w:div w:id="117187846">
      <w:marLeft w:val="480"/>
      <w:marRight w:val="0"/>
      <w:marTop w:val="0"/>
      <w:marBottom w:val="0"/>
      <w:divBdr>
        <w:top w:val="none" w:sz="0" w:space="0" w:color="auto"/>
        <w:left w:val="none" w:sz="0" w:space="0" w:color="auto"/>
        <w:bottom w:val="none" w:sz="0" w:space="0" w:color="auto"/>
        <w:right w:val="none" w:sz="0" w:space="0" w:color="auto"/>
      </w:divBdr>
    </w:div>
    <w:div w:id="117796068">
      <w:marLeft w:val="480"/>
      <w:marRight w:val="0"/>
      <w:marTop w:val="0"/>
      <w:marBottom w:val="0"/>
      <w:divBdr>
        <w:top w:val="none" w:sz="0" w:space="0" w:color="auto"/>
        <w:left w:val="none" w:sz="0" w:space="0" w:color="auto"/>
        <w:bottom w:val="none" w:sz="0" w:space="0" w:color="auto"/>
        <w:right w:val="none" w:sz="0" w:space="0" w:color="auto"/>
      </w:divBdr>
    </w:div>
    <w:div w:id="121198415">
      <w:marLeft w:val="480"/>
      <w:marRight w:val="0"/>
      <w:marTop w:val="0"/>
      <w:marBottom w:val="0"/>
      <w:divBdr>
        <w:top w:val="none" w:sz="0" w:space="0" w:color="auto"/>
        <w:left w:val="none" w:sz="0" w:space="0" w:color="auto"/>
        <w:bottom w:val="none" w:sz="0" w:space="0" w:color="auto"/>
        <w:right w:val="none" w:sz="0" w:space="0" w:color="auto"/>
      </w:divBdr>
    </w:div>
    <w:div w:id="130364846">
      <w:marLeft w:val="480"/>
      <w:marRight w:val="0"/>
      <w:marTop w:val="0"/>
      <w:marBottom w:val="0"/>
      <w:divBdr>
        <w:top w:val="none" w:sz="0" w:space="0" w:color="auto"/>
        <w:left w:val="none" w:sz="0" w:space="0" w:color="auto"/>
        <w:bottom w:val="none" w:sz="0" w:space="0" w:color="auto"/>
        <w:right w:val="none" w:sz="0" w:space="0" w:color="auto"/>
      </w:divBdr>
    </w:div>
    <w:div w:id="130556733">
      <w:marLeft w:val="480"/>
      <w:marRight w:val="0"/>
      <w:marTop w:val="0"/>
      <w:marBottom w:val="0"/>
      <w:divBdr>
        <w:top w:val="none" w:sz="0" w:space="0" w:color="auto"/>
        <w:left w:val="none" w:sz="0" w:space="0" w:color="auto"/>
        <w:bottom w:val="none" w:sz="0" w:space="0" w:color="auto"/>
        <w:right w:val="none" w:sz="0" w:space="0" w:color="auto"/>
      </w:divBdr>
    </w:div>
    <w:div w:id="135345076">
      <w:marLeft w:val="480"/>
      <w:marRight w:val="0"/>
      <w:marTop w:val="0"/>
      <w:marBottom w:val="0"/>
      <w:divBdr>
        <w:top w:val="none" w:sz="0" w:space="0" w:color="auto"/>
        <w:left w:val="none" w:sz="0" w:space="0" w:color="auto"/>
        <w:bottom w:val="none" w:sz="0" w:space="0" w:color="auto"/>
        <w:right w:val="none" w:sz="0" w:space="0" w:color="auto"/>
      </w:divBdr>
      <w:divsChild>
        <w:div w:id="837695064">
          <w:marLeft w:val="480"/>
          <w:marRight w:val="0"/>
          <w:marTop w:val="0"/>
          <w:marBottom w:val="0"/>
          <w:divBdr>
            <w:top w:val="none" w:sz="0" w:space="0" w:color="auto"/>
            <w:left w:val="none" w:sz="0" w:space="0" w:color="auto"/>
            <w:bottom w:val="none" w:sz="0" w:space="0" w:color="auto"/>
            <w:right w:val="none" w:sz="0" w:space="0" w:color="auto"/>
          </w:divBdr>
        </w:div>
        <w:div w:id="1082022073">
          <w:marLeft w:val="480"/>
          <w:marRight w:val="0"/>
          <w:marTop w:val="0"/>
          <w:marBottom w:val="0"/>
          <w:divBdr>
            <w:top w:val="none" w:sz="0" w:space="0" w:color="auto"/>
            <w:left w:val="none" w:sz="0" w:space="0" w:color="auto"/>
            <w:bottom w:val="none" w:sz="0" w:space="0" w:color="auto"/>
            <w:right w:val="none" w:sz="0" w:space="0" w:color="auto"/>
          </w:divBdr>
        </w:div>
        <w:div w:id="1837650946">
          <w:marLeft w:val="480"/>
          <w:marRight w:val="0"/>
          <w:marTop w:val="0"/>
          <w:marBottom w:val="0"/>
          <w:divBdr>
            <w:top w:val="none" w:sz="0" w:space="0" w:color="auto"/>
            <w:left w:val="none" w:sz="0" w:space="0" w:color="auto"/>
            <w:bottom w:val="none" w:sz="0" w:space="0" w:color="auto"/>
            <w:right w:val="none" w:sz="0" w:space="0" w:color="auto"/>
          </w:divBdr>
        </w:div>
        <w:div w:id="628896320">
          <w:marLeft w:val="480"/>
          <w:marRight w:val="0"/>
          <w:marTop w:val="0"/>
          <w:marBottom w:val="0"/>
          <w:divBdr>
            <w:top w:val="none" w:sz="0" w:space="0" w:color="auto"/>
            <w:left w:val="none" w:sz="0" w:space="0" w:color="auto"/>
            <w:bottom w:val="none" w:sz="0" w:space="0" w:color="auto"/>
            <w:right w:val="none" w:sz="0" w:space="0" w:color="auto"/>
          </w:divBdr>
        </w:div>
        <w:div w:id="1750030880">
          <w:marLeft w:val="480"/>
          <w:marRight w:val="0"/>
          <w:marTop w:val="0"/>
          <w:marBottom w:val="0"/>
          <w:divBdr>
            <w:top w:val="none" w:sz="0" w:space="0" w:color="auto"/>
            <w:left w:val="none" w:sz="0" w:space="0" w:color="auto"/>
            <w:bottom w:val="none" w:sz="0" w:space="0" w:color="auto"/>
            <w:right w:val="none" w:sz="0" w:space="0" w:color="auto"/>
          </w:divBdr>
        </w:div>
        <w:div w:id="463738266">
          <w:marLeft w:val="480"/>
          <w:marRight w:val="0"/>
          <w:marTop w:val="0"/>
          <w:marBottom w:val="0"/>
          <w:divBdr>
            <w:top w:val="none" w:sz="0" w:space="0" w:color="auto"/>
            <w:left w:val="none" w:sz="0" w:space="0" w:color="auto"/>
            <w:bottom w:val="none" w:sz="0" w:space="0" w:color="auto"/>
            <w:right w:val="none" w:sz="0" w:space="0" w:color="auto"/>
          </w:divBdr>
        </w:div>
        <w:div w:id="594753927">
          <w:marLeft w:val="480"/>
          <w:marRight w:val="0"/>
          <w:marTop w:val="0"/>
          <w:marBottom w:val="0"/>
          <w:divBdr>
            <w:top w:val="none" w:sz="0" w:space="0" w:color="auto"/>
            <w:left w:val="none" w:sz="0" w:space="0" w:color="auto"/>
            <w:bottom w:val="none" w:sz="0" w:space="0" w:color="auto"/>
            <w:right w:val="none" w:sz="0" w:space="0" w:color="auto"/>
          </w:divBdr>
        </w:div>
        <w:div w:id="1491143340">
          <w:marLeft w:val="480"/>
          <w:marRight w:val="0"/>
          <w:marTop w:val="0"/>
          <w:marBottom w:val="0"/>
          <w:divBdr>
            <w:top w:val="none" w:sz="0" w:space="0" w:color="auto"/>
            <w:left w:val="none" w:sz="0" w:space="0" w:color="auto"/>
            <w:bottom w:val="none" w:sz="0" w:space="0" w:color="auto"/>
            <w:right w:val="none" w:sz="0" w:space="0" w:color="auto"/>
          </w:divBdr>
        </w:div>
        <w:div w:id="1961452417">
          <w:marLeft w:val="480"/>
          <w:marRight w:val="0"/>
          <w:marTop w:val="0"/>
          <w:marBottom w:val="0"/>
          <w:divBdr>
            <w:top w:val="none" w:sz="0" w:space="0" w:color="auto"/>
            <w:left w:val="none" w:sz="0" w:space="0" w:color="auto"/>
            <w:bottom w:val="none" w:sz="0" w:space="0" w:color="auto"/>
            <w:right w:val="none" w:sz="0" w:space="0" w:color="auto"/>
          </w:divBdr>
        </w:div>
        <w:div w:id="1267620949">
          <w:marLeft w:val="480"/>
          <w:marRight w:val="0"/>
          <w:marTop w:val="0"/>
          <w:marBottom w:val="0"/>
          <w:divBdr>
            <w:top w:val="none" w:sz="0" w:space="0" w:color="auto"/>
            <w:left w:val="none" w:sz="0" w:space="0" w:color="auto"/>
            <w:bottom w:val="none" w:sz="0" w:space="0" w:color="auto"/>
            <w:right w:val="none" w:sz="0" w:space="0" w:color="auto"/>
          </w:divBdr>
        </w:div>
        <w:div w:id="2073771394">
          <w:marLeft w:val="480"/>
          <w:marRight w:val="0"/>
          <w:marTop w:val="0"/>
          <w:marBottom w:val="0"/>
          <w:divBdr>
            <w:top w:val="none" w:sz="0" w:space="0" w:color="auto"/>
            <w:left w:val="none" w:sz="0" w:space="0" w:color="auto"/>
            <w:bottom w:val="none" w:sz="0" w:space="0" w:color="auto"/>
            <w:right w:val="none" w:sz="0" w:space="0" w:color="auto"/>
          </w:divBdr>
        </w:div>
        <w:div w:id="817459993">
          <w:marLeft w:val="480"/>
          <w:marRight w:val="0"/>
          <w:marTop w:val="0"/>
          <w:marBottom w:val="0"/>
          <w:divBdr>
            <w:top w:val="none" w:sz="0" w:space="0" w:color="auto"/>
            <w:left w:val="none" w:sz="0" w:space="0" w:color="auto"/>
            <w:bottom w:val="none" w:sz="0" w:space="0" w:color="auto"/>
            <w:right w:val="none" w:sz="0" w:space="0" w:color="auto"/>
          </w:divBdr>
        </w:div>
        <w:div w:id="1473599764">
          <w:marLeft w:val="480"/>
          <w:marRight w:val="0"/>
          <w:marTop w:val="0"/>
          <w:marBottom w:val="0"/>
          <w:divBdr>
            <w:top w:val="none" w:sz="0" w:space="0" w:color="auto"/>
            <w:left w:val="none" w:sz="0" w:space="0" w:color="auto"/>
            <w:bottom w:val="none" w:sz="0" w:space="0" w:color="auto"/>
            <w:right w:val="none" w:sz="0" w:space="0" w:color="auto"/>
          </w:divBdr>
        </w:div>
        <w:div w:id="1271619770">
          <w:marLeft w:val="480"/>
          <w:marRight w:val="0"/>
          <w:marTop w:val="0"/>
          <w:marBottom w:val="0"/>
          <w:divBdr>
            <w:top w:val="none" w:sz="0" w:space="0" w:color="auto"/>
            <w:left w:val="none" w:sz="0" w:space="0" w:color="auto"/>
            <w:bottom w:val="none" w:sz="0" w:space="0" w:color="auto"/>
            <w:right w:val="none" w:sz="0" w:space="0" w:color="auto"/>
          </w:divBdr>
        </w:div>
        <w:div w:id="1022975302">
          <w:marLeft w:val="480"/>
          <w:marRight w:val="0"/>
          <w:marTop w:val="0"/>
          <w:marBottom w:val="0"/>
          <w:divBdr>
            <w:top w:val="none" w:sz="0" w:space="0" w:color="auto"/>
            <w:left w:val="none" w:sz="0" w:space="0" w:color="auto"/>
            <w:bottom w:val="none" w:sz="0" w:space="0" w:color="auto"/>
            <w:right w:val="none" w:sz="0" w:space="0" w:color="auto"/>
          </w:divBdr>
        </w:div>
        <w:div w:id="779450298">
          <w:marLeft w:val="480"/>
          <w:marRight w:val="0"/>
          <w:marTop w:val="0"/>
          <w:marBottom w:val="0"/>
          <w:divBdr>
            <w:top w:val="none" w:sz="0" w:space="0" w:color="auto"/>
            <w:left w:val="none" w:sz="0" w:space="0" w:color="auto"/>
            <w:bottom w:val="none" w:sz="0" w:space="0" w:color="auto"/>
            <w:right w:val="none" w:sz="0" w:space="0" w:color="auto"/>
          </w:divBdr>
        </w:div>
        <w:div w:id="640503690">
          <w:marLeft w:val="480"/>
          <w:marRight w:val="0"/>
          <w:marTop w:val="0"/>
          <w:marBottom w:val="0"/>
          <w:divBdr>
            <w:top w:val="none" w:sz="0" w:space="0" w:color="auto"/>
            <w:left w:val="none" w:sz="0" w:space="0" w:color="auto"/>
            <w:bottom w:val="none" w:sz="0" w:space="0" w:color="auto"/>
            <w:right w:val="none" w:sz="0" w:space="0" w:color="auto"/>
          </w:divBdr>
        </w:div>
        <w:div w:id="1788891044">
          <w:marLeft w:val="480"/>
          <w:marRight w:val="0"/>
          <w:marTop w:val="0"/>
          <w:marBottom w:val="0"/>
          <w:divBdr>
            <w:top w:val="none" w:sz="0" w:space="0" w:color="auto"/>
            <w:left w:val="none" w:sz="0" w:space="0" w:color="auto"/>
            <w:bottom w:val="none" w:sz="0" w:space="0" w:color="auto"/>
            <w:right w:val="none" w:sz="0" w:space="0" w:color="auto"/>
          </w:divBdr>
        </w:div>
        <w:div w:id="259996109">
          <w:marLeft w:val="480"/>
          <w:marRight w:val="0"/>
          <w:marTop w:val="0"/>
          <w:marBottom w:val="0"/>
          <w:divBdr>
            <w:top w:val="none" w:sz="0" w:space="0" w:color="auto"/>
            <w:left w:val="none" w:sz="0" w:space="0" w:color="auto"/>
            <w:bottom w:val="none" w:sz="0" w:space="0" w:color="auto"/>
            <w:right w:val="none" w:sz="0" w:space="0" w:color="auto"/>
          </w:divBdr>
        </w:div>
        <w:div w:id="112604558">
          <w:marLeft w:val="480"/>
          <w:marRight w:val="0"/>
          <w:marTop w:val="0"/>
          <w:marBottom w:val="0"/>
          <w:divBdr>
            <w:top w:val="none" w:sz="0" w:space="0" w:color="auto"/>
            <w:left w:val="none" w:sz="0" w:space="0" w:color="auto"/>
            <w:bottom w:val="none" w:sz="0" w:space="0" w:color="auto"/>
            <w:right w:val="none" w:sz="0" w:space="0" w:color="auto"/>
          </w:divBdr>
        </w:div>
        <w:div w:id="540091216">
          <w:marLeft w:val="480"/>
          <w:marRight w:val="0"/>
          <w:marTop w:val="0"/>
          <w:marBottom w:val="0"/>
          <w:divBdr>
            <w:top w:val="none" w:sz="0" w:space="0" w:color="auto"/>
            <w:left w:val="none" w:sz="0" w:space="0" w:color="auto"/>
            <w:bottom w:val="none" w:sz="0" w:space="0" w:color="auto"/>
            <w:right w:val="none" w:sz="0" w:space="0" w:color="auto"/>
          </w:divBdr>
        </w:div>
        <w:div w:id="855577023">
          <w:marLeft w:val="480"/>
          <w:marRight w:val="0"/>
          <w:marTop w:val="0"/>
          <w:marBottom w:val="0"/>
          <w:divBdr>
            <w:top w:val="none" w:sz="0" w:space="0" w:color="auto"/>
            <w:left w:val="none" w:sz="0" w:space="0" w:color="auto"/>
            <w:bottom w:val="none" w:sz="0" w:space="0" w:color="auto"/>
            <w:right w:val="none" w:sz="0" w:space="0" w:color="auto"/>
          </w:divBdr>
        </w:div>
        <w:div w:id="640036371">
          <w:marLeft w:val="480"/>
          <w:marRight w:val="0"/>
          <w:marTop w:val="0"/>
          <w:marBottom w:val="0"/>
          <w:divBdr>
            <w:top w:val="none" w:sz="0" w:space="0" w:color="auto"/>
            <w:left w:val="none" w:sz="0" w:space="0" w:color="auto"/>
            <w:bottom w:val="none" w:sz="0" w:space="0" w:color="auto"/>
            <w:right w:val="none" w:sz="0" w:space="0" w:color="auto"/>
          </w:divBdr>
        </w:div>
        <w:div w:id="517622171">
          <w:marLeft w:val="480"/>
          <w:marRight w:val="0"/>
          <w:marTop w:val="0"/>
          <w:marBottom w:val="0"/>
          <w:divBdr>
            <w:top w:val="none" w:sz="0" w:space="0" w:color="auto"/>
            <w:left w:val="none" w:sz="0" w:space="0" w:color="auto"/>
            <w:bottom w:val="none" w:sz="0" w:space="0" w:color="auto"/>
            <w:right w:val="none" w:sz="0" w:space="0" w:color="auto"/>
          </w:divBdr>
        </w:div>
        <w:div w:id="271322471">
          <w:marLeft w:val="480"/>
          <w:marRight w:val="0"/>
          <w:marTop w:val="0"/>
          <w:marBottom w:val="0"/>
          <w:divBdr>
            <w:top w:val="none" w:sz="0" w:space="0" w:color="auto"/>
            <w:left w:val="none" w:sz="0" w:space="0" w:color="auto"/>
            <w:bottom w:val="none" w:sz="0" w:space="0" w:color="auto"/>
            <w:right w:val="none" w:sz="0" w:space="0" w:color="auto"/>
          </w:divBdr>
        </w:div>
        <w:div w:id="604070371">
          <w:marLeft w:val="480"/>
          <w:marRight w:val="0"/>
          <w:marTop w:val="0"/>
          <w:marBottom w:val="0"/>
          <w:divBdr>
            <w:top w:val="none" w:sz="0" w:space="0" w:color="auto"/>
            <w:left w:val="none" w:sz="0" w:space="0" w:color="auto"/>
            <w:bottom w:val="none" w:sz="0" w:space="0" w:color="auto"/>
            <w:right w:val="none" w:sz="0" w:space="0" w:color="auto"/>
          </w:divBdr>
        </w:div>
        <w:div w:id="849611613">
          <w:marLeft w:val="480"/>
          <w:marRight w:val="0"/>
          <w:marTop w:val="0"/>
          <w:marBottom w:val="0"/>
          <w:divBdr>
            <w:top w:val="none" w:sz="0" w:space="0" w:color="auto"/>
            <w:left w:val="none" w:sz="0" w:space="0" w:color="auto"/>
            <w:bottom w:val="none" w:sz="0" w:space="0" w:color="auto"/>
            <w:right w:val="none" w:sz="0" w:space="0" w:color="auto"/>
          </w:divBdr>
        </w:div>
        <w:div w:id="837961081">
          <w:marLeft w:val="480"/>
          <w:marRight w:val="0"/>
          <w:marTop w:val="0"/>
          <w:marBottom w:val="0"/>
          <w:divBdr>
            <w:top w:val="none" w:sz="0" w:space="0" w:color="auto"/>
            <w:left w:val="none" w:sz="0" w:space="0" w:color="auto"/>
            <w:bottom w:val="none" w:sz="0" w:space="0" w:color="auto"/>
            <w:right w:val="none" w:sz="0" w:space="0" w:color="auto"/>
          </w:divBdr>
        </w:div>
        <w:div w:id="1794909805">
          <w:marLeft w:val="480"/>
          <w:marRight w:val="0"/>
          <w:marTop w:val="0"/>
          <w:marBottom w:val="0"/>
          <w:divBdr>
            <w:top w:val="none" w:sz="0" w:space="0" w:color="auto"/>
            <w:left w:val="none" w:sz="0" w:space="0" w:color="auto"/>
            <w:bottom w:val="none" w:sz="0" w:space="0" w:color="auto"/>
            <w:right w:val="none" w:sz="0" w:space="0" w:color="auto"/>
          </w:divBdr>
        </w:div>
        <w:div w:id="44649549">
          <w:marLeft w:val="480"/>
          <w:marRight w:val="0"/>
          <w:marTop w:val="0"/>
          <w:marBottom w:val="0"/>
          <w:divBdr>
            <w:top w:val="none" w:sz="0" w:space="0" w:color="auto"/>
            <w:left w:val="none" w:sz="0" w:space="0" w:color="auto"/>
            <w:bottom w:val="none" w:sz="0" w:space="0" w:color="auto"/>
            <w:right w:val="none" w:sz="0" w:space="0" w:color="auto"/>
          </w:divBdr>
        </w:div>
        <w:div w:id="565379283">
          <w:marLeft w:val="480"/>
          <w:marRight w:val="0"/>
          <w:marTop w:val="0"/>
          <w:marBottom w:val="0"/>
          <w:divBdr>
            <w:top w:val="none" w:sz="0" w:space="0" w:color="auto"/>
            <w:left w:val="none" w:sz="0" w:space="0" w:color="auto"/>
            <w:bottom w:val="none" w:sz="0" w:space="0" w:color="auto"/>
            <w:right w:val="none" w:sz="0" w:space="0" w:color="auto"/>
          </w:divBdr>
        </w:div>
        <w:div w:id="1083062893">
          <w:marLeft w:val="480"/>
          <w:marRight w:val="0"/>
          <w:marTop w:val="0"/>
          <w:marBottom w:val="0"/>
          <w:divBdr>
            <w:top w:val="none" w:sz="0" w:space="0" w:color="auto"/>
            <w:left w:val="none" w:sz="0" w:space="0" w:color="auto"/>
            <w:bottom w:val="none" w:sz="0" w:space="0" w:color="auto"/>
            <w:right w:val="none" w:sz="0" w:space="0" w:color="auto"/>
          </w:divBdr>
        </w:div>
        <w:div w:id="234780648">
          <w:marLeft w:val="480"/>
          <w:marRight w:val="0"/>
          <w:marTop w:val="0"/>
          <w:marBottom w:val="0"/>
          <w:divBdr>
            <w:top w:val="none" w:sz="0" w:space="0" w:color="auto"/>
            <w:left w:val="none" w:sz="0" w:space="0" w:color="auto"/>
            <w:bottom w:val="none" w:sz="0" w:space="0" w:color="auto"/>
            <w:right w:val="none" w:sz="0" w:space="0" w:color="auto"/>
          </w:divBdr>
        </w:div>
        <w:div w:id="2072119880">
          <w:marLeft w:val="480"/>
          <w:marRight w:val="0"/>
          <w:marTop w:val="0"/>
          <w:marBottom w:val="0"/>
          <w:divBdr>
            <w:top w:val="none" w:sz="0" w:space="0" w:color="auto"/>
            <w:left w:val="none" w:sz="0" w:space="0" w:color="auto"/>
            <w:bottom w:val="none" w:sz="0" w:space="0" w:color="auto"/>
            <w:right w:val="none" w:sz="0" w:space="0" w:color="auto"/>
          </w:divBdr>
        </w:div>
        <w:div w:id="1206521846">
          <w:marLeft w:val="480"/>
          <w:marRight w:val="0"/>
          <w:marTop w:val="0"/>
          <w:marBottom w:val="0"/>
          <w:divBdr>
            <w:top w:val="none" w:sz="0" w:space="0" w:color="auto"/>
            <w:left w:val="none" w:sz="0" w:space="0" w:color="auto"/>
            <w:bottom w:val="none" w:sz="0" w:space="0" w:color="auto"/>
            <w:right w:val="none" w:sz="0" w:space="0" w:color="auto"/>
          </w:divBdr>
        </w:div>
        <w:div w:id="1035736010">
          <w:marLeft w:val="480"/>
          <w:marRight w:val="0"/>
          <w:marTop w:val="0"/>
          <w:marBottom w:val="0"/>
          <w:divBdr>
            <w:top w:val="none" w:sz="0" w:space="0" w:color="auto"/>
            <w:left w:val="none" w:sz="0" w:space="0" w:color="auto"/>
            <w:bottom w:val="none" w:sz="0" w:space="0" w:color="auto"/>
            <w:right w:val="none" w:sz="0" w:space="0" w:color="auto"/>
          </w:divBdr>
        </w:div>
        <w:div w:id="1114790457">
          <w:marLeft w:val="480"/>
          <w:marRight w:val="0"/>
          <w:marTop w:val="0"/>
          <w:marBottom w:val="0"/>
          <w:divBdr>
            <w:top w:val="none" w:sz="0" w:space="0" w:color="auto"/>
            <w:left w:val="none" w:sz="0" w:space="0" w:color="auto"/>
            <w:bottom w:val="none" w:sz="0" w:space="0" w:color="auto"/>
            <w:right w:val="none" w:sz="0" w:space="0" w:color="auto"/>
          </w:divBdr>
        </w:div>
        <w:div w:id="1973166950">
          <w:marLeft w:val="480"/>
          <w:marRight w:val="0"/>
          <w:marTop w:val="0"/>
          <w:marBottom w:val="0"/>
          <w:divBdr>
            <w:top w:val="none" w:sz="0" w:space="0" w:color="auto"/>
            <w:left w:val="none" w:sz="0" w:space="0" w:color="auto"/>
            <w:bottom w:val="none" w:sz="0" w:space="0" w:color="auto"/>
            <w:right w:val="none" w:sz="0" w:space="0" w:color="auto"/>
          </w:divBdr>
        </w:div>
        <w:div w:id="1691829728">
          <w:marLeft w:val="480"/>
          <w:marRight w:val="0"/>
          <w:marTop w:val="0"/>
          <w:marBottom w:val="0"/>
          <w:divBdr>
            <w:top w:val="none" w:sz="0" w:space="0" w:color="auto"/>
            <w:left w:val="none" w:sz="0" w:space="0" w:color="auto"/>
            <w:bottom w:val="none" w:sz="0" w:space="0" w:color="auto"/>
            <w:right w:val="none" w:sz="0" w:space="0" w:color="auto"/>
          </w:divBdr>
        </w:div>
        <w:div w:id="416679995">
          <w:marLeft w:val="480"/>
          <w:marRight w:val="0"/>
          <w:marTop w:val="0"/>
          <w:marBottom w:val="0"/>
          <w:divBdr>
            <w:top w:val="none" w:sz="0" w:space="0" w:color="auto"/>
            <w:left w:val="none" w:sz="0" w:space="0" w:color="auto"/>
            <w:bottom w:val="none" w:sz="0" w:space="0" w:color="auto"/>
            <w:right w:val="none" w:sz="0" w:space="0" w:color="auto"/>
          </w:divBdr>
        </w:div>
        <w:div w:id="1853839627">
          <w:marLeft w:val="480"/>
          <w:marRight w:val="0"/>
          <w:marTop w:val="0"/>
          <w:marBottom w:val="0"/>
          <w:divBdr>
            <w:top w:val="none" w:sz="0" w:space="0" w:color="auto"/>
            <w:left w:val="none" w:sz="0" w:space="0" w:color="auto"/>
            <w:bottom w:val="none" w:sz="0" w:space="0" w:color="auto"/>
            <w:right w:val="none" w:sz="0" w:space="0" w:color="auto"/>
          </w:divBdr>
        </w:div>
        <w:div w:id="501236817">
          <w:marLeft w:val="480"/>
          <w:marRight w:val="0"/>
          <w:marTop w:val="0"/>
          <w:marBottom w:val="0"/>
          <w:divBdr>
            <w:top w:val="none" w:sz="0" w:space="0" w:color="auto"/>
            <w:left w:val="none" w:sz="0" w:space="0" w:color="auto"/>
            <w:bottom w:val="none" w:sz="0" w:space="0" w:color="auto"/>
            <w:right w:val="none" w:sz="0" w:space="0" w:color="auto"/>
          </w:divBdr>
        </w:div>
        <w:div w:id="1923029641">
          <w:marLeft w:val="480"/>
          <w:marRight w:val="0"/>
          <w:marTop w:val="0"/>
          <w:marBottom w:val="0"/>
          <w:divBdr>
            <w:top w:val="none" w:sz="0" w:space="0" w:color="auto"/>
            <w:left w:val="none" w:sz="0" w:space="0" w:color="auto"/>
            <w:bottom w:val="none" w:sz="0" w:space="0" w:color="auto"/>
            <w:right w:val="none" w:sz="0" w:space="0" w:color="auto"/>
          </w:divBdr>
        </w:div>
        <w:div w:id="1598322763">
          <w:marLeft w:val="480"/>
          <w:marRight w:val="0"/>
          <w:marTop w:val="0"/>
          <w:marBottom w:val="0"/>
          <w:divBdr>
            <w:top w:val="none" w:sz="0" w:space="0" w:color="auto"/>
            <w:left w:val="none" w:sz="0" w:space="0" w:color="auto"/>
            <w:bottom w:val="none" w:sz="0" w:space="0" w:color="auto"/>
            <w:right w:val="none" w:sz="0" w:space="0" w:color="auto"/>
          </w:divBdr>
        </w:div>
        <w:div w:id="28989663">
          <w:marLeft w:val="480"/>
          <w:marRight w:val="0"/>
          <w:marTop w:val="0"/>
          <w:marBottom w:val="0"/>
          <w:divBdr>
            <w:top w:val="none" w:sz="0" w:space="0" w:color="auto"/>
            <w:left w:val="none" w:sz="0" w:space="0" w:color="auto"/>
            <w:bottom w:val="none" w:sz="0" w:space="0" w:color="auto"/>
            <w:right w:val="none" w:sz="0" w:space="0" w:color="auto"/>
          </w:divBdr>
        </w:div>
        <w:div w:id="1366562851">
          <w:marLeft w:val="480"/>
          <w:marRight w:val="0"/>
          <w:marTop w:val="0"/>
          <w:marBottom w:val="0"/>
          <w:divBdr>
            <w:top w:val="none" w:sz="0" w:space="0" w:color="auto"/>
            <w:left w:val="none" w:sz="0" w:space="0" w:color="auto"/>
            <w:bottom w:val="none" w:sz="0" w:space="0" w:color="auto"/>
            <w:right w:val="none" w:sz="0" w:space="0" w:color="auto"/>
          </w:divBdr>
        </w:div>
        <w:div w:id="1156073151">
          <w:marLeft w:val="480"/>
          <w:marRight w:val="0"/>
          <w:marTop w:val="0"/>
          <w:marBottom w:val="0"/>
          <w:divBdr>
            <w:top w:val="none" w:sz="0" w:space="0" w:color="auto"/>
            <w:left w:val="none" w:sz="0" w:space="0" w:color="auto"/>
            <w:bottom w:val="none" w:sz="0" w:space="0" w:color="auto"/>
            <w:right w:val="none" w:sz="0" w:space="0" w:color="auto"/>
          </w:divBdr>
        </w:div>
        <w:div w:id="365839687">
          <w:marLeft w:val="480"/>
          <w:marRight w:val="0"/>
          <w:marTop w:val="0"/>
          <w:marBottom w:val="0"/>
          <w:divBdr>
            <w:top w:val="none" w:sz="0" w:space="0" w:color="auto"/>
            <w:left w:val="none" w:sz="0" w:space="0" w:color="auto"/>
            <w:bottom w:val="none" w:sz="0" w:space="0" w:color="auto"/>
            <w:right w:val="none" w:sz="0" w:space="0" w:color="auto"/>
          </w:divBdr>
        </w:div>
        <w:div w:id="1798184377">
          <w:marLeft w:val="480"/>
          <w:marRight w:val="0"/>
          <w:marTop w:val="0"/>
          <w:marBottom w:val="0"/>
          <w:divBdr>
            <w:top w:val="none" w:sz="0" w:space="0" w:color="auto"/>
            <w:left w:val="none" w:sz="0" w:space="0" w:color="auto"/>
            <w:bottom w:val="none" w:sz="0" w:space="0" w:color="auto"/>
            <w:right w:val="none" w:sz="0" w:space="0" w:color="auto"/>
          </w:divBdr>
        </w:div>
        <w:div w:id="1836190795">
          <w:marLeft w:val="480"/>
          <w:marRight w:val="0"/>
          <w:marTop w:val="0"/>
          <w:marBottom w:val="0"/>
          <w:divBdr>
            <w:top w:val="none" w:sz="0" w:space="0" w:color="auto"/>
            <w:left w:val="none" w:sz="0" w:space="0" w:color="auto"/>
            <w:bottom w:val="none" w:sz="0" w:space="0" w:color="auto"/>
            <w:right w:val="none" w:sz="0" w:space="0" w:color="auto"/>
          </w:divBdr>
        </w:div>
        <w:div w:id="280846126">
          <w:marLeft w:val="480"/>
          <w:marRight w:val="0"/>
          <w:marTop w:val="0"/>
          <w:marBottom w:val="0"/>
          <w:divBdr>
            <w:top w:val="none" w:sz="0" w:space="0" w:color="auto"/>
            <w:left w:val="none" w:sz="0" w:space="0" w:color="auto"/>
            <w:bottom w:val="none" w:sz="0" w:space="0" w:color="auto"/>
            <w:right w:val="none" w:sz="0" w:space="0" w:color="auto"/>
          </w:divBdr>
        </w:div>
        <w:div w:id="1078401555">
          <w:marLeft w:val="480"/>
          <w:marRight w:val="0"/>
          <w:marTop w:val="0"/>
          <w:marBottom w:val="0"/>
          <w:divBdr>
            <w:top w:val="none" w:sz="0" w:space="0" w:color="auto"/>
            <w:left w:val="none" w:sz="0" w:space="0" w:color="auto"/>
            <w:bottom w:val="none" w:sz="0" w:space="0" w:color="auto"/>
            <w:right w:val="none" w:sz="0" w:space="0" w:color="auto"/>
          </w:divBdr>
        </w:div>
        <w:div w:id="1984772625">
          <w:marLeft w:val="480"/>
          <w:marRight w:val="0"/>
          <w:marTop w:val="0"/>
          <w:marBottom w:val="0"/>
          <w:divBdr>
            <w:top w:val="none" w:sz="0" w:space="0" w:color="auto"/>
            <w:left w:val="none" w:sz="0" w:space="0" w:color="auto"/>
            <w:bottom w:val="none" w:sz="0" w:space="0" w:color="auto"/>
            <w:right w:val="none" w:sz="0" w:space="0" w:color="auto"/>
          </w:divBdr>
        </w:div>
        <w:div w:id="975792968">
          <w:marLeft w:val="480"/>
          <w:marRight w:val="0"/>
          <w:marTop w:val="0"/>
          <w:marBottom w:val="0"/>
          <w:divBdr>
            <w:top w:val="none" w:sz="0" w:space="0" w:color="auto"/>
            <w:left w:val="none" w:sz="0" w:space="0" w:color="auto"/>
            <w:bottom w:val="none" w:sz="0" w:space="0" w:color="auto"/>
            <w:right w:val="none" w:sz="0" w:space="0" w:color="auto"/>
          </w:divBdr>
        </w:div>
        <w:div w:id="440877224">
          <w:marLeft w:val="480"/>
          <w:marRight w:val="0"/>
          <w:marTop w:val="0"/>
          <w:marBottom w:val="0"/>
          <w:divBdr>
            <w:top w:val="none" w:sz="0" w:space="0" w:color="auto"/>
            <w:left w:val="none" w:sz="0" w:space="0" w:color="auto"/>
            <w:bottom w:val="none" w:sz="0" w:space="0" w:color="auto"/>
            <w:right w:val="none" w:sz="0" w:space="0" w:color="auto"/>
          </w:divBdr>
        </w:div>
        <w:div w:id="1563251731">
          <w:marLeft w:val="480"/>
          <w:marRight w:val="0"/>
          <w:marTop w:val="0"/>
          <w:marBottom w:val="0"/>
          <w:divBdr>
            <w:top w:val="none" w:sz="0" w:space="0" w:color="auto"/>
            <w:left w:val="none" w:sz="0" w:space="0" w:color="auto"/>
            <w:bottom w:val="none" w:sz="0" w:space="0" w:color="auto"/>
            <w:right w:val="none" w:sz="0" w:space="0" w:color="auto"/>
          </w:divBdr>
        </w:div>
        <w:div w:id="1923955241">
          <w:marLeft w:val="480"/>
          <w:marRight w:val="0"/>
          <w:marTop w:val="0"/>
          <w:marBottom w:val="0"/>
          <w:divBdr>
            <w:top w:val="none" w:sz="0" w:space="0" w:color="auto"/>
            <w:left w:val="none" w:sz="0" w:space="0" w:color="auto"/>
            <w:bottom w:val="none" w:sz="0" w:space="0" w:color="auto"/>
            <w:right w:val="none" w:sz="0" w:space="0" w:color="auto"/>
          </w:divBdr>
        </w:div>
        <w:div w:id="1167357260">
          <w:marLeft w:val="480"/>
          <w:marRight w:val="0"/>
          <w:marTop w:val="0"/>
          <w:marBottom w:val="0"/>
          <w:divBdr>
            <w:top w:val="none" w:sz="0" w:space="0" w:color="auto"/>
            <w:left w:val="none" w:sz="0" w:space="0" w:color="auto"/>
            <w:bottom w:val="none" w:sz="0" w:space="0" w:color="auto"/>
            <w:right w:val="none" w:sz="0" w:space="0" w:color="auto"/>
          </w:divBdr>
        </w:div>
        <w:div w:id="1027173132">
          <w:marLeft w:val="480"/>
          <w:marRight w:val="0"/>
          <w:marTop w:val="0"/>
          <w:marBottom w:val="0"/>
          <w:divBdr>
            <w:top w:val="none" w:sz="0" w:space="0" w:color="auto"/>
            <w:left w:val="none" w:sz="0" w:space="0" w:color="auto"/>
            <w:bottom w:val="none" w:sz="0" w:space="0" w:color="auto"/>
            <w:right w:val="none" w:sz="0" w:space="0" w:color="auto"/>
          </w:divBdr>
        </w:div>
        <w:div w:id="1367411111">
          <w:marLeft w:val="480"/>
          <w:marRight w:val="0"/>
          <w:marTop w:val="0"/>
          <w:marBottom w:val="0"/>
          <w:divBdr>
            <w:top w:val="none" w:sz="0" w:space="0" w:color="auto"/>
            <w:left w:val="none" w:sz="0" w:space="0" w:color="auto"/>
            <w:bottom w:val="none" w:sz="0" w:space="0" w:color="auto"/>
            <w:right w:val="none" w:sz="0" w:space="0" w:color="auto"/>
          </w:divBdr>
        </w:div>
        <w:div w:id="526528473">
          <w:marLeft w:val="480"/>
          <w:marRight w:val="0"/>
          <w:marTop w:val="0"/>
          <w:marBottom w:val="0"/>
          <w:divBdr>
            <w:top w:val="none" w:sz="0" w:space="0" w:color="auto"/>
            <w:left w:val="none" w:sz="0" w:space="0" w:color="auto"/>
            <w:bottom w:val="none" w:sz="0" w:space="0" w:color="auto"/>
            <w:right w:val="none" w:sz="0" w:space="0" w:color="auto"/>
          </w:divBdr>
        </w:div>
        <w:div w:id="2024017612">
          <w:marLeft w:val="480"/>
          <w:marRight w:val="0"/>
          <w:marTop w:val="0"/>
          <w:marBottom w:val="0"/>
          <w:divBdr>
            <w:top w:val="none" w:sz="0" w:space="0" w:color="auto"/>
            <w:left w:val="none" w:sz="0" w:space="0" w:color="auto"/>
            <w:bottom w:val="none" w:sz="0" w:space="0" w:color="auto"/>
            <w:right w:val="none" w:sz="0" w:space="0" w:color="auto"/>
          </w:divBdr>
        </w:div>
        <w:div w:id="1943798740">
          <w:marLeft w:val="480"/>
          <w:marRight w:val="0"/>
          <w:marTop w:val="0"/>
          <w:marBottom w:val="0"/>
          <w:divBdr>
            <w:top w:val="none" w:sz="0" w:space="0" w:color="auto"/>
            <w:left w:val="none" w:sz="0" w:space="0" w:color="auto"/>
            <w:bottom w:val="none" w:sz="0" w:space="0" w:color="auto"/>
            <w:right w:val="none" w:sz="0" w:space="0" w:color="auto"/>
          </w:divBdr>
        </w:div>
        <w:div w:id="1221405671">
          <w:marLeft w:val="480"/>
          <w:marRight w:val="0"/>
          <w:marTop w:val="0"/>
          <w:marBottom w:val="0"/>
          <w:divBdr>
            <w:top w:val="none" w:sz="0" w:space="0" w:color="auto"/>
            <w:left w:val="none" w:sz="0" w:space="0" w:color="auto"/>
            <w:bottom w:val="none" w:sz="0" w:space="0" w:color="auto"/>
            <w:right w:val="none" w:sz="0" w:space="0" w:color="auto"/>
          </w:divBdr>
        </w:div>
        <w:div w:id="29498438">
          <w:marLeft w:val="480"/>
          <w:marRight w:val="0"/>
          <w:marTop w:val="0"/>
          <w:marBottom w:val="0"/>
          <w:divBdr>
            <w:top w:val="none" w:sz="0" w:space="0" w:color="auto"/>
            <w:left w:val="none" w:sz="0" w:space="0" w:color="auto"/>
            <w:bottom w:val="none" w:sz="0" w:space="0" w:color="auto"/>
            <w:right w:val="none" w:sz="0" w:space="0" w:color="auto"/>
          </w:divBdr>
        </w:div>
        <w:div w:id="942343220">
          <w:marLeft w:val="480"/>
          <w:marRight w:val="0"/>
          <w:marTop w:val="0"/>
          <w:marBottom w:val="0"/>
          <w:divBdr>
            <w:top w:val="none" w:sz="0" w:space="0" w:color="auto"/>
            <w:left w:val="none" w:sz="0" w:space="0" w:color="auto"/>
            <w:bottom w:val="none" w:sz="0" w:space="0" w:color="auto"/>
            <w:right w:val="none" w:sz="0" w:space="0" w:color="auto"/>
          </w:divBdr>
        </w:div>
        <w:div w:id="1854570010">
          <w:marLeft w:val="480"/>
          <w:marRight w:val="0"/>
          <w:marTop w:val="0"/>
          <w:marBottom w:val="0"/>
          <w:divBdr>
            <w:top w:val="none" w:sz="0" w:space="0" w:color="auto"/>
            <w:left w:val="none" w:sz="0" w:space="0" w:color="auto"/>
            <w:bottom w:val="none" w:sz="0" w:space="0" w:color="auto"/>
            <w:right w:val="none" w:sz="0" w:space="0" w:color="auto"/>
          </w:divBdr>
        </w:div>
        <w:div w:id="41953864">
          <w:marLeft w:val="480"/>
          <w:marRight w:val="0"/>
          <w:marTop w:val="0"/>
          <w:marBottom w:val="0"/>
          <w:divBdr>
            <w:top w:val="none" w:sz="0" w:space="0" w:color="auto"/>
            <w:left w:val="none" w:sz="0" w:space="0" w:color="auto"/>
            <w:bottom w:val="none" w:sz="0" w:space="0" w:color="auto"/>
            <w:right w:val="none" w:sz="0" w:space="0" w:color="auto"/>
          </w:divBdr>
        </w:div>
        <w:div w:id="526333580">
          <w:marLeft w:val="480"/>
          <w:marRight w:val="0"/>
          <w:marTop w:val="0"/>
          <w:marBottom w:val="0"/>
          <w:divBdr>
            <w:top w:val="none" w:sz="0" w:space="0" w:color="auto"/>
            <w:left w:val="none" w:sz="0" w:space="0" w:color="auto"/>
            <w:bottom w:val="none" w:sz="0" w:space="0" w:color="auto"/>
            <w:right w:val="none" w:sz="0" w:space="0" w:color="auto"/>
          </w:divBdr>
        </w:div>
        <w:div w:id="1319918543">
          <w:marLeft w:val="480"/>
          <w:marRight w:val="0"/>
          <w:marTop w:val="0"/>
          <w:marBottom w:val="0"/>
          <w:divBdr>
            <w:top w:val="none" w:sz="0" w:space="0" w:color="auto"/>
            <w:left w:val="none" w:sz="0" w:space="0" w:color="auto"/>
            <w:bottom w:val="none" w:sz="0" w:space="0" w:color="auto"/>
            <w:right w:val="none" w:sz="0" w:space="0" w:color="auto"/>
          </w:divBdr>
        </w:div>
        <w:div w:id="1286039161">
          <w:marLeft w:val="480"/>
          <w:marRight w:val="0"/>
          <w:marTop w:val="0"/>
          <w:marBottom w:val="0"/>
          <w:divBdr>
            <w:top w:val="none" w:sz="0" w:space="0" w:color="auto"/>
            <w:left w:val="none" w:sz="0" w:space="0" w:color="auto"/>
            <w:bottom w:val="none" w:sz="0" w:space="0" w:color="auto"/>
            <w:right w:val="none" w:sz="0" w:space="0" w:color="auto"/>
          </w:divBdr>
        </w:div>
        <w:div w:id="434137102">
          <w:marLeft w:val="480"/>
          <w:marRight w:val="0"/>
          <w:marTop w:val="0"/>
          <w:marBottom w:val="0"/>
          <w:divBdr>
            <w:top w:val="none" w:sz="0" w:space="0" w:color="auto"/>
            <w:left w:val="none" w:sz="0" w:space="0" w:color="auto"/>
            <w:bottom w:val="none" w:sz="0" w:space="0" w:color="auto"/>
            <w:right w:val="none" w:sz="0" w:space="0" w:color="auto"/>
          </w:divBdr>
        </w:div>
        <w:div w:id="723602174">
          <w:marLeft w:val="480"/>
          <w:marRight w:val="0"/>
          <w:marTop w:val="0"/>
          <w:marBottom w:val="0"/>
          <w:divBdr>
            <w:top w:val="none" w:sz="0" w:space="0" w:color="auto"/>
            <w:left w:val="none" w:sz="0" w:space="0" w:color="auto"/>
            <w:bottom w:val="none" w:sz="0" w:space="0" w:color="auto"/>
            <w:right w:val="none" w:sz="0" w:space="0" w:color="auto"/>
          </w:divBdr>
        </w:div>
        <w:div w:id="219249564">
          <w:marLeft w:val="480"/>
          <w:marRight w:val="0"/>
          <w:marTop w:val="0"/>
          <w:marBottom w:val="0"/>
          <w:divBdr>
            <w:top w:val="none" w:sz="0" w:space="0" w:color="auto"/>
            <w:left w:val="none" w:sz="0" w:space="0" w:color="auto"/>
            <w:bottom w:val="none" w:sz="0" w:space="0" w:color="auto"/>
            <w:right w:val="none" w:sz="0" w:space="0" w:color="auto"/>
          </w:divBdr>
        </w:div>
        <w:div w:id="611518082">
          <w:marLeft w:val="480"/>
          <w:marRight w:val="0"/>
          <w:marTop w:val="0"/>
          <w:marBottom w:val="0"/>
          <w:divBdr>
            <w:top w:val="none" w:sz="0" w:space="0" w:color="auto"/>
            <w:left w:val="none" w:sz="0" w:space="0" w:color="auto"/>
            <w:bottom w:val="none" w:sz="0" w:space="0" w:color="auto"/>
            <w:right w:val="none" w:sz="0" w:space="0" w:color="auto"/>
          </w:divBdr>
        </w:div>
        <w:div w:id="1785953549">
          <w:marLeft w:val="480"/>
          <w:marRight w:val="0"/>
          <w:marTop w:val="0"/>
          <w:marBottom w:val="0"/>
          <w:divBdr>
            <w:top w:val="none" w:sz="0" w:space="0" w:color="auto"/>
            <w:left w:val="none" w:sz="0" w:space="0" w:color="auto"/>
            <w:bottom w:val="none" w:sz="0" w:space="0" w:color="auto"/>
            <w:right w:val="none" w:sz="0" w:space="0" w:color="auto"/>
          </w:divBdr>
        </w:div>
        <w:div w:id="1473328531">
          <w:marLeft w:val="480"/>
          <w:marRight w:val="0"/>
          <w:marTop w:val="0"/>
          <w:marBottom w:val="0"/>
          <w:divBdr>
            <w:top w:val="none" w:sz="0" w:space="0" w:color="auto"/>
            <w:left w:val="none" w:sz="0" w:space="0" w:color="auto"/>
            <w:bottom w:val="none" w:sz="0" w:space="0" w:color="auto"/>
            <w:right w:val="none" w:sz="0" w:space="0" w:color="auto"/>
          </w:divBdr>
        </w:div>
        <w:div w:id="564678892">
          <w:marLeft w:val="480"/>
          <w:marRight w:val="0"/>
          <w:marTop w:val="0"/>
          <w:marBottom w:val="0"/>
          <w:divBdr>
            <w:top w:val="none" w:sz="0" w:space="0" w:color="auto"/>
            <w:left w:val="none" w:sz="0" w:space="0" w:color="auto"/>
            <w:bottom w:val="none" w:sz="0" w:space="0" w:color="auto"/>
            <w:right w:val="none" w:sz="0" w:space="0" w:color="auto"/>
          </w:divBdr>
        </w:div>
        <w:div w:id="1745571145">
          <w:marLeft w:val="480"/>
          <w:marRight w:val="0"/>
          <w:marTop w:val="0"/>
          <w:marBottom w:val="0"/>
          <w:divBdr>
            <w:top w:val="none" w:sz="0" w:space="0" w:color="auto"/>
            <w:left w:val="none" w:sz="0" w:space="0" w:color="auto"/>
            <w:bottom w:val="none" w:sz="0" w:space="0" w:color="auto"/>
            <w:right w:val="none" w:sz="0" w:space="0" w:color="auto"/>
          </w:divBdr>
        </w:div>
        <w:div w:id="770124425">
          <w:marLeft w:val="480"/>
          <w:marRight w:val="0"/>
          <w:marTop w:val="0"/>
          <w:marBottom w:val="0"/>
          <w:divBdr>
            <w:top w:val="none" w:sz="0" w:space="0" w:color="auto"/>
            <w:left w:val="none" w:sz="0" w:space="0" w:color="auto"/>
            <w:bottom w:val="none" w:sz="0" w:space="0" w:color="auto"/>
            <w:right w:val="none" w:sz="0" w:space="0" w:color="auto"/>
          </w:divBdr>
        </w:div>
        <w:div w:id="461003563">
          <w:marLeft w:val="480"/>
          <w:marRight w:val="0"/>
          <w:marTop w:val="0"/>
          <w:marBottom w:val="0"/>
          <w:divBdr>
            <w:top w:val="none" w:sz="0" w:space="0" w:color="auto"/>
            <w:left w:val="none" w:sz="0" w:space="0" w:color="auto"/>
            <w:bottom w:val="none" w:sz="0" w:space="0" w:color="auto"/>
            <w:right w:val="none" w:sz="0" w:space="0" w:color="auto"/>
          </w:divBdr>
        </w:div>
        <w:div w:id="160245540">
          <w:marLeft w:val="480"/>
          <w:marRight w:val="0"/>
          <w:marTop w:val="0"/>
          <w:marBottom w:val="0"/>
          <w:divBdr>
            <w:top w:val="none" w:sz="0" w:space="0" w:color="auto"/>
            <w:left w:val="none" w:sz="0" w:space="0" w:color="auto"/>
            <w:bottom w:val="none" w:sz="0" w:space="0" w:color="auto"/>
            <w:right w:val="none" w:sz="0" w:space="0" w:color="auto"/>
          </w:divBdr>
        </w:div>
        <w:div w:id="1810322843">
          <w:marLeft w:val="480"/>
          <w:marRight w:val="0"/>
          <w:marTop w:val="0"/>
          <w:marBottom w:val="0"/>
          <w:divBdr>
            <w:top w:val="none" w:sz="0" w:space="0" w:color="auto"/>
            <w:left w:val="none" w:sz="0" w:space="0" w:color="auto"/>
            <w:bottom w:val="none" w:sz="0" w:space="0" w:color="auto"/>
            <w:right w:val="none" w:sz="0" w:space="0" w:color="auto"/>
          </w:divBdr>
        </w:div>
        <w:div w:id="271742747">
          <w:marLeft w:val="480"/>
          <w:marRight w:val="0"/>
          <w:marTop w:val="0"/>
          <w:marBottom w:val="0"/>
          <w:divBdr>
            <w:top w:val="none" w:sz="0" w:space="0" w:color="auto"/>
            <w:left w:val="none" w:sz="0" w:space="0" w:color="auto"/>
            <w:bottom w:val="none" w:sz="0" w:space="0" w:color="auto"/>
            <w:right w:val="none" w:sz="0" w:space="0" w:color="auto"/>
          </w:divBdr>
        </w:div>
        <w:div w:id="657195126">
          <w:marLeft w:val="480"/>
          <w:marRight w:val="0"/>
          <w:marTop w:val="0"/>
          <w:marBottom w:val="0"/>
          <w:divBdr>
            <w:top w:val="none" w:sz="0" w:space="0" w:color="auto"/>
            <w:left w:val="none" w:sz="0" w:space="0" w:color="auto"/>
            <w:bottom w:val="none" w:sz="0" w:space="0" w:color="auto"/>
            <w:right w:val="none" w:sz="0" w:space="0" w:color="auto"/>
          </w:divBdr>
        </w:div>
        <w:div w:id="201327375">
          <w:marLeft w:val="480"/>
          <w:marRight w:val="0"/>
          <w:marTop w:val="0"/>
          <w:marBottom w:val="0"/>
          <w:divBdr>
            <w:top w:val="none" w:sz="0" w:space="0" w:color="auto"/>
            <w:left w:val="none" w:sz="0" w:space="0" w:color="auto"/>
            <w:bottom w:val="none" w:sz="0" w:space="0" w:color="auto"/>
            <w:right w:val="none" w:sz="0" w:space="0" w:color="auto"/>
          </w:divBdr>
        </w:div>
        <w:div w:id="477495880">
          <w:marLeft w:val="480"/>
          <w:marRight w:val="0"/>
          <w:marTop w:val="0"/>
          <w:marBottom w:val="0"/>
          <w:divBdr>
            <w:top w:val="none" w:sz="0" w:space="0" w:color="auto"/>
            <w:left w:val="none" w:sz="0" w:space="0" w:color="auto"/>
            <w:bottom w:val="none" w:sz="0" w:space="0" w:color="auto"/>
            <w:right w:val="none" w:sz="0" w:space="0" w:color="auto"/>
          </w:divBdr>
        </w:div>
        <w:div w:id="763767350">
          <w:marLeft w:val="480"/>
          <w:marRight w:val="0"/>
          <w:marTop w:val="0"/>
          <w:marBottom w:val="0"/>
          <w:divBdr>
            <w:top w:val="none" w:sz="0" w:space="0" w:color="auto"/>
            <w:left w:val="none" w:sz="0" w:space="0" w:color="auto"/>
            <w:bottom w:val="none" w:sz="0" w:space="0" w:color="auto"/>
            <w:right w:val="none" w:sz="0" w:space="0" w:color="auto"/>
          </w:divBdr>
        </w:div>
        <w:div w:id="129397539">
          <w:marLeft w:val="480"/>
          <w:marRight w:val="0"/>
          <w:marTop w:val="0"/>
          <w:marBottom w:val="0"/>
          <w:divBdr>
            <w:top w:val="none" w:sz="0" w:space="0" w:color="auto"/>
            <w:left w:val="none" w:sz="0" w:space="0" w:color="auto"/>
            <w:bottom w:val="none" w:sz="0" w:space="0" w:color="auto"/>
            <w:right w:val="none" w:sz="0" w:space="0" w:color="auto"/>
          </w:divBdr>
        </w:div>
        <w:div w:id="2133983917">
          <w:marLeft w:val="480"/>
          <w:marRight w:val="0"/>
          <w:marTop w:val="0"/>
          <w:marBottom w:val="0"/>
          <w:divBdr>
            <w:top w:val="none" w:sz="0" w:space="0" w:color="auto"/>
            <w:left w:val="none" w:sz="0" w:space="0" w:color="auto"/>
            <w:bottom w:val="none" w:sz="0" w:space="0" w:color="auto"/>
            <w:right w:val="none" w:sz="0" w:space="0" w:color="auto"/>
          </w:divBdr>
        </w:div>
        <w:div w:id="2083408223">
          <w:marLeft w:val="480"/>
          <w:marRight w:val="0"/>
          <w:marTop w:val="0"/>
          <w:marBottom w:val="0"/>
          <w:divBdr>
            <w:top w:val="none" w:sz="0" w:space="0" w:color="auto"/>
            <w:left w:val="none" w:sz="0" w:space="0" w:color="auto"/>
            <w:bottom w:val="none" w:sz="0" w:space="0" w:color="auto"/>
            <w:right w:val="none" w:sz="0" w:space="0" w:color="auto"/>
          </w:divBdr>
        </w:div>
        <w:div w:id="153570093">
          <w:marLeft w:val="480"/>
          <w:marRight w:val="0"/>
          <w:marTop w:val="0"/>
          <w:marBottom w:val="0"/>
          <w:divBdr>
            <w:top w:val="none" w:sz="0" w:space="0" w:color="auto"/>
            <w:left w:val="none" w:sz="0" w:space="0" w:color="auto"/>
            <w:bottom w:val="none" w:sz="0" w:space="0" w:color="auto"/>
            <w:right w:val="none" w:sz="0" w:space="0" w:color="auto"/>
          </w:divBdr>
        </w:div>
        <w:div w:id="1593583027">
          <w:marLeft w:val="480"/>
          <w:marRight w:val="0"/>
          <w:marTop w:val="0"/>
          <w:marBottom w:val="0"/>
          <w:divBdr>
            <w:top w:val="none" w:sz="0" w:space="0" w:color="auto"/>
            <w:left w:val="none" w:sz="0" w:space="0" w:color="auto"/>
            <w:bottom w:val="none" w:sz="0" w:space="0" w:color="auto"/>
            <w:right w:val="none" w:sz="0" w:space="0" w:color="auto"/>
          </w:divBdr>
        </w:div>
        <w:div w:id="612595594">
          <w:marLeft w:val="480"/>
          <w:marRight w:val="0"/>
          <w:marTop w:val="0"/>
          <w:marBottom w:val="0"/>
          <w:divBdr>
            <w:top w:val="none" w:sz="0" w:space="0" w:color="auto"/>
            <w:left w:val="none" w:sz="0" w:space="0" w:color="auto"/>
            <w:bottom w:val="none" w:sz="0" w:space="0" w:color="auto"/>
            <w:right w:val="none" w:sz="0" w:space="0" w:color="auto"/>
          </w:divBdr>
        </w:div>
        <w:div w:id="1749694540">
          <w:marLeft w:val="480"/>
          <w:marRight w:val="0"/>
          <w:marTop w:val="0"/>
          <w:marBottom w:val="0"/>
          <w:divBdr>
            <w:top w:val="none" w:sz="0" w:space="0" w:color="auto"/>
            <w:left w:val="none" w:sz="0" w:space="0" w:color="auto"/>
            <w:bottom w:val="none" w:sz="0" w:space="0" w:color="auto"/>
            <w:right w:val="none" w:sz="0" w:space="0" w:color="auto"/>
          </w:divBdr>
        </w:div>
        <w:div w:id="244000431">
          <w:marLeft w:val="480"/>
          <w:marRight w:val="0"/>
          <w:marTop w:val="0"/>
          <w:marBottom w:val="0"/>
          <w:divBdr>
            <w:top w:val="none" w:sz="0" w:space="0" w:color="auto"/>
            <w:left w:val="none" w:sz="0" w:space="0" w:color="auto"/>
            <w:bottom w:val="none" w:sz="0" w:space="0" w:color="auto"/>
            <w:right w:val="none" w:sz="0" w:space="0" w:color="auto"/>
          </w:divBdr>
        </w:div>
        <w:div w:id="1799568240">
          <w:marLeft w:val="480"/>
          <w:marRight w:val="0"/>
          <w:marTop w:val="0"/>
          <w:marBottom w:val="0"/>
          <w:divBdr>
            <w:top w:val="none" w:sz="0" w:space="0" w:color="auto"/>
            <w:left w:val="none" w:sz="0" w:space="0" w:color="auto"/>
            <w:bottom w:val="none" w:sz="0" w:space="0" w:color="auto"/>
            <w:right w:val="none" w:sz="0" w:space="0" w:color="auto"/>
          </w:divBdr>
        </w:div>
        <w:div w:id="1714231932">
          <w:marLeft w:val="480"/>
          <w:marRight w:val="0"/>
          <w:marTop w:val="0"/>
          <w:marBottom w:val="0"/>
          <w:divBdr>
            <w:top w:val="none" w:sz="0" w:space="0" w:color="auto"/>
            <w:left w:val="none" w:sz="0" w:space="0" w:color="auto"/>
            <w:bottom w:val="none" w:sz="0" w:space="0" w:color="auto"/>
            <w:right w:val="none" w:sz="0" w:space="0" w:color="auto"/>
          </w:divBdr>
        </w:div>
        <w:div w:id="87889046">
          <w:marLeft w:val="480"/>
          <w:marRight w:val="0"/>
          <w:marTop w:val="0"/>
          <w:marBottom w:val="0"/>
          <w:divBdr>
            <w:top w:val="none" w:sz="0" w:space="0" w:color="auto"/>
            <w:left w:val="none" w:sz="0" w:space="0" w:color="auto"/>
            <w:bottom w:val="none" w:sz="0" w:space="0" w:color="auto"/>
            <w:right w:val="none" w:sz="0" w:space="0" w:color="auto"/>
          </w:divBdr>
        </w:div>
        <w:div w:id="567542638">
          <w:marLeft w:val="480"/>
          <w:marRight w:val="0"/>
          <w:marTop w:val="0"/>
          <w:marBottom w:val="0"/>
          <w:divBdr>
            <w:top w:val="none" w:sz="0" w:space="0" w:color="auto"/>
            <w:left w:val="none" w:sz="0" w:space="0" w:color="auto"/>
            <w:bottom w:val="none" w:sz="0" w:space="0" w:color="auto"/>
            <w:right w:val="none" w:sz="0" w:space="0" w:color="auto"/>
          </w:divBdr>
        </w:div>
        <w:div w:id="1486504761">
          <w:marLeft w:val="480"/>
          <w:marRight w:val="0"/>
          <w:marTop w:val="0"/>
          <w:marBottom w:val="0"/>
          <w:divBdr>
            <w:top w:val="none" w:sz="0" w:space="0" w:color="auto"/>
            <w:left w:val="none" w:sz="0" w:space="0" w:color="auto"/>
            <w:bottom w:val="none" w:sz="0" w:space="0" w:color="auto"/>
            <w:right w:val="none" w:sz="0" w:space="0" w:color="auto"/>
          </w:divBdr>
        </w:div>
        <w:div w:id="340621214">
          <w:marLeft w:val="480"/>
          <w:marRight w:val="0"/>
          <w:marTop w:val="0"/>
          <w:marBottom w:val="0"/>
          <w:divBdr>
            <w:top w:val="none" w:sz="0" w:space="0" w:color="auto"/>
            <w:left w:val="none" w:sz="0" w:space="0" w:color="auto"/>
            <w:bottom w:val="none" w:sz="0" w:space="0" w:color="auto"/>
            <w:right w:val="none" w:sz="0" w:space="0" w:color="auto"/>
          </w:divBdr>
        </w:div>
        <w:div w:id="1200361541">
          <w:marLeft w:val="480"/>
          <w:marRight w:val="0"/>
          <w:marTop w:val="0"/>
          <w:marBottom w:val="0"/>
          <w:divBdr>
            <w:top w:val="none" w:sz="0" w:space="0" w:color="auto"/>
            <w:left w:val="none" w:sz="0" w:space="0" w:color="auto"/>
            <w:bottom w:val="none" w:sz="0" w:space="0" w:color="auto"/>
            <w:right w:val="none" w:sz="0" w:space="0" w:color="auto"/>
          </w:divBdr>
        </w:div>
        <w:div w:id="443307013">
          <w:marLeft w:val="480"/>
          <w:marRight w:val="0"/>
          <w:marTop w:val="0"/>
          <w:marBottom w:val="0"/>
          <w:divBdr>
            <w:top w:val="none" w:sz="0" w:space="0" w:color="auto"/>
            <w:left w:val="none" w:sz="0" w:space="0" w:color="auto"/>
            <w:bottom w:val="none" w:sz="0" w:space="0" w:color="auto"/>
            <w:right w:val="none" w:sz="0" w:space="0" w:color="auto"/>
          </w:divBdr>
        </w:div>
        <w:div w:id="92018047">
          <w:marLeft w:val="480"/>
          <w:marRight w:val="0"/>
          <w:marTop w:val="0"/>
          <w:marBottom w:val="0"/>
          <w:divBdr>
            <w:top w:val="none" w:sz="0" w:space="0" w:color="auto"/>
            <w:left w:val="none" w:sz="0" w:space="0" w:color="auto"/>
            <w:bottom w:val="none" w:sz="0" w:space="0" w:color="auto"/>
            <w:right w:val="none" w:sz="0" w:space="0" w:color="auto"/>
          </w:divBdr>
        </w:div>
        <w:div w:id="1219628588">
          <w:marLeft w:val="480"/>
          <w:marRight w:val="0"/>
          <w:marTop w:val="0"/>
          <w:marBottom w:val="0"/>
          <w:divBdr>
            <w:top w:val="none" w:sz="0" w:space="0" w:color="auto"/>
            <w:left w:val="none" w:sz="0" w:space="0" w:color="auto"/>
            <w:bottom w:val="none" w:sz="0" w:space="0" w:color="auto"/>
            <w:right w:val="none" w:sz="0" w:space="0" w:color="auto"/>
          </w:divBdr>
        </w:div>
        <w:div w:id="1958020759">
          <w:marLeft w:val="480"/>
          <w:marRight w:val="0"/>
          <w:marTop w:val="0"/>
          <w:marBottom w:val="0"/>
          <w:divBdr>
            <w:top w:val="none" w:sz="0" w:space="0" w:color="auto"/>
            <w:left w:val="none" w:sz="0" w:space="0" w:color="auto"/>
            <w:bottom w:val="none" w:sz="0" w:space="0" w:color="auto"/>
            <w:right w:val="none" w:sz="0" w:space="0" w:color="auto"/>
          </w:divBdr>
        </w:div>
        <w:div w:id="688917750">
          <w:marLeft w:val="480"/>
          <w:marRight w:val="0"/>
          <w:marTop w:val="0"/>
          <w:marBottom w:val="0"/>
          <w:divBdr>
            <w:top w:val="none" w:sz="0" w:space="0" w:color="auto"/>
            <w:left w:val="none" w:sz="0" w:space="0" w:color="auto"/>
            <w:bottom w:val="none" w:sz="0" w:space="0" w:color="auto"/>
            <w:right w:val="none" w:sz="0" w:space="0" w:color="auto"/>
          </w:divBdr>
        </w:div>
        <w:div w:id="1667124278">
          <w:marLeft w:val="480"/>
          <w:marRight w:val="0"/>
          <w:marTop w:val="0"/>
          <w:marBottom w:val="0"/>
          <w:divBdr>
            <w:top w:val="none" w:sz="0" w:space="0" w:color="auto"/>
            <w:left w:val="none" w:sz="0" w:space="0" w:color="auto"/>
            <w:bottom w:val="none" w:sz="0" w:space="0" w:color="auto"/>
            <w:right w:val="none" w:sz="0" w:space="0" w:color="auto"/>
          </w:divBdr>
        </w:div>
        <w:div w:id="1400596864">
          <w:marLeft w:val="480"/>
          <w:marRight w:val="0"/>
          <w:marTop w:val="0"/>
          <w:marBottom w:val="0"/>
          <w:divBdr>
            <w:top w:val="none" w:sz="0" w:space="0" w:color="auto"/>
            <w:left w:val="none" w:sz="0" w:space="0" w:color="auto"/>
            <w:bottom w:val="none" w:sz="0" w:space="0" w:color="auto"/>
            <w:right w:val="none" w:sz="0" w:space="0" w:color="auto"/>
          </w:divBdr>
        </w:div>
        <w:div w:id="100420912">
          <w:marLeft w:val="480"/>
          <w:marRight w:val="0"/>
          <w:marTop w:val="0"/>
          <w:marBottom w:val="0"/>
          <w:divBdr>
            <w:top w:val="none" w:sz="0" w:space="0" w:color="auto"/>
            <w:left w:val="none" w:sz="0" w:space="0" w:color="auto"/>
            <w:bottom w:val="none" w:sz="0" w:space="0" w:color="auto"/>
            <w:right w:val="none" w:sz="0" w:space="0" w:color="auto"/>
          </w:divBdr>
        </w:div>
        <w:div w:id="854223471">
          <w:marLeft w:val="480"/>
          <w:marRight w:val="0"/>
          <w:marTop w:val="0"/>
          <w:marBottom w:val="0"/>
          <w:divBdr>
            <w:top w:val="none" w:sz="0" w:space="0" w:color="auto"/>
            <w:left w:val="none" w:sz="0" w:space="0" w:color="auto"/>
            <w:bottom w:val="none" w:sz="0" w:space="0" w:color="auto"/>
            <w:right w:val="none" w:sz="0" w:space="0" w:color="auto"/>
          </w:divBdr>
        </w:div>
        <w:div w:id="848718333">
          <w:marLeft w:val="480"/>
          <w:marRight w:val="0"/>
          <w:marTop w:val="0"/>
          <w:marBottom w:val="0"/>
          <w:divBdr>
            <w:top w:val="none" w:sz="0" w:space="0" w:color="auto"/>
            <w:left w:val="none" w:sz="0" w:space="0" w:color="auto"/>
            <w:bottom w:val="none" w:sz="0" w:space="0" w:color="auto"/>
            <w:right w:val="none" w:sz="0" w:space="0" w:color="auto"/>
          </w:divBdr>
        </w:div>
        <w:div w:id="347831023">
          <w:marLeft w:val="480"/>
          <w:marRight w:val="0"/>
          <w:marTop w:val="0"/>
          <w:marBottom w:val="0"/>
          <w:divBdr>
            <w:top w:val="none" w:sz="0" w:space="0" w:color="auto"/>
            <w:left w:val="none" w:sz="0" w:space="0" w:color="auto"/>
            <w:bottom w:val="none" w:sz="0" w:space="0" w:color="auto"/>
            <w:right w:val="none" w:sz="0" w:space="0" w:color="auto"/>
          </w:divBdr>
        </w:div>
        <w:div w:id="578488607">
          <w:marLeft w:val="480"/>
          <w:marRight w:val="0"/>
          <w:marTop w:val="0"/>
          <w:marBottom w:val="0"/>
          <w:divBdr>
            <w:top w:val="none" w:sz="0" w:space="0" w:color="auto"/>
            <w:left w:val="none" w:sz="0" w:space="0" w:color="auto"/>
            <w:bottom w:val="none" w:sz="0" w:space="0" w:color="auto"/>
            <w:right w:val="none" w:sz="0" w:space="0" w:color="auto"/>
          </w:divBdr>
        </w:div>
        <w:div w:id="852305358">
          <w:marLeft w:val="480"/>
          <w:marRight w:val="0"/>
          <w:marTop w:val="0"/>
          <w:marBottom w:val="0"/>
          <w:divBdr>
            <w:top w:val="none" w:sz="0" w:space="0" w:color="auto"/>
            <w:left w:val="none" w:sz="0" w:space="0" w:color="auto"/>
            <w:bottom w:val="none" w:sz="0" w:space="0" w:color="auto"/>
            <w:right w:val="none" w:sz="0" w:space="0" w:color="auto"/>
          </w:divBdr>
        </w:div>
        <w:div w:id="561982764">
          <w:marLeft w:val="480"/>
          <w:marRight w:val="0"/>
          <w:marTop w:val="0"/>
          <w:marBottom w:val="0"/>
          <w:divBdr>
            <w:top w:val="none" w:sz="0" w:space="0" w:color="auto"/>
            <w:left w:val="none" w:sz="0" w:space="0" w:color="auto"/>
            <w:bottom w:val="none" w:sz="0" w:space="0" w:color="auto"/>
            <w:right w:val="none" w:sz="0" w:space="0" w:color="auto"/>
          </w:divBdr>
        </w:div>
        <w:div w:id="51002147">
          <w:marLeft w:val="480"/>
          <w:marRight w:val="0"/>
          <w:marTop w:val="0"/>
          <w:marBottom w:val="0"/>
          <w:divBdr>
            <w:top w:val="none" w:sz="0" w:space="0" w:color="auto"/>
            <w:left w:val="none" w:sz="0" w:space="0" w:color="auto"/>
            <w:bottom w:val="none" w:sz="0" w:space="0" w:color="auto"/>
            <w:right w:val="none" w:sz="0" w:space="0" w:color="auto"/>
          </w:divBdr>
        </w:div>
        <w:div w:id="712341566">
          <w:marLeft w:val="480"/>
          <w:marRight w:val="0"/>
          <w:marTop w:val="0"/>
          <w:marBottom w:val="0"/>
          <w:divBdr>
            <w:top w:val="none" w:sz="0" w:space="0" w:color="auto"/>
            <w:left w:val="none" w:sz="0" w:space="0" w:color="auto"/>
            <w:bottom w:val="none" w:sz="0" w:space="0" w:color="auto"/>
            <w:right w:val="none" w:sz="0" w:space="0" w:color="auto"/>
          </w:divBdr>
        </w:div>
        <w:div w:id="727413443">
          <w:marLeft w:val="480"/>
          <w:marRight w:val="0"/>
          <w:marTop w:val="0"/>
          <w:marBottom w:val="0"/>
          <w:divBdr>
            <w:top w:val="none" w:sz="0" w:space="0" w:color="auto"/>
            <w:left w:val="none" w:sz="0" w:space="0" w:color="auto"/>
            <w:bottom w:val="none" w:sz="0" w:space="0" w:color="auto"/>
            <w:right w:val="none" w:sz="0" w:space="0" w:color="auto"/>
          </w:divBdr>
        </w:div>
        <w:div w:id="676418629">
          <w:marLeft w:val="480"/>
          <w:marRight w:val="0"/>
          <w:marTop w:val="0"/>
          <w:marBottom w:val="0"/>
          <w:divBdr>
            <w:top w:val="none" w:sz="0" w:space="0" w:color="auto"/>
            <w:left w:val="none" w:sz="0" w:space="0" w:color="auto"/>
            <w:bottom w:val="none" w:sz="0" w:space="0" w:color="auto"/>
            <w:right w:val="none" w:sz="0" w:space="0" w:color="auto"/>
          </w:divBdr>
        </w:div>
        <w:div w:id="652876748">
          <w:marLeft w:val="480"/>
          <w:marRight w:val="0"/>
          <w:marTop w:val="0"/>
          <w:marBottom w:val="0"/>
          <w:divBdr>
            <w:top w:val="none" w:sz="0" w:space="0" w:color="auto"/>
            <w:left w:val="none" w:sz="0" w:space="0" w:color="auto"/>
            <w:bottom w:val="none" w:sz="0" w:space="0" w:color="auto"/>
            <w:right w:val="none" w:sz="0" w:space="0" w:color="auto"/>
          </w:divBdr>
        </w:div>
        <w:div w:id="637954599">
          <w:marLeft w:val="480"/>
          <w:marRight w:val="0"/>
          <w:marTop w:val="0"/>
          <w:marBottom w:val="0"/>
          <w:divBdr>
            <w:top w:val="none" w:sz="0" w:space="0" w:color="auto"/>
            <w:left w:val="none" w:sz="0" w:space="0" w:color="auto"/>
            <w:bottom w:val="none" w:sz="0" w:space="0" w:color="auto"/>
            <w:right w:val="none" w:sz="0" w:space="0" w:color="auto"/>
          </w:divBdr>
        </w:div>
        <w:div w:id="110440977">
          <w:marLeft w:val="480"/>
          <w:marRight w:val="0"/>
          <w:marTop w:val="0"/>
          <w:marBottom w:val="0"/>
          <w:divBdr>
            <w:top w:val="none" w:sz="0" w:space="0" w:color="auto"/>
            <w:left w:val="none" w:sz="0" w:space="0" w:color="auto"/>
            <w:bottom w:val="none" w:sz="0" w:space="0" w:color="auto"/>
            <w:right w:val="none" w:sz="0" w:space="0" w:color="auto"/>
          </w:divBdr>
        </w:div>
        <w:div w:id="1244684862">
          <w:marLeft w:val="480"/>
          <w:marRight w:val="0"/>
          <w:marTop w:val="0"/>
          <w:marBottom w:val="0"/>
          <w:divBdr>
            <w:top w:val="none" w:sz="0" w:space="0" w:color="auto"/>
            <w:left w:val="none" w:sz="0" w:space="0" w:color="auto"/>
            <w:bottom w:val="none" w:sz="0" w:space="0" w:color="auto"/>
            <w:right w:val="none" w:sz="0" w:space="0" w:color="auto"/>
          </w:divBdr>
        </w:div>
        <w:div w:id="1395271610">
          <w:marLeft w:val="480"/>
          <w:marRight w:val="0"/>
          <w:marTop w:val="0"/>
          <w:marBottom w:val="0"/>
          <w:divBdr>
            <w:top w:val="none" w:sz="0" w:space="0" w:color="auto"/>
            <w:left w:val="none" w:sz="0" w:space="0" w:color="auto"/>
            <w:bottom w:val="none" w:sz="0" w:space="0" w:color="auto"/>
            <w:right w:val="none" w:sz="0" w:space="0" w:color="auto"/>
          </w:divBdr>
        </w:div>
        <w:div w:id="45036789">
          <w:marLeft w:val="480"/>
          <w:marRight w:val="0"/>
          <w:marTop w:val="0"/>
          <w:marBottom w:val="0"/>
          <w:divBdr>
            <w:top w:val="none" w:sz="0" w:space="0" w:color="auto"/>
            <w:left w:val="none" w:sz="0" w:space="0" w:color="auto"/>
            <w:bottom w:val="none" w:sz="0" w:space="0" w:color="auto"/>
            <w:right w:val="none" w:sz="0" w:space="0" w:color="auto"/>
          </w:divBdr>
        </w:div>
        <w:div w:id="599026378">
          <w:marLeft w:val="480"/>
          <w:marRight w:val="0"/>
          <w:marTop w:val="0"/>
          <w:marBottom w:val="0"/>
          <w:divBdr>
            <w:top w:val="none" w:sz="0" w:space="0" w:color="auto"/>
            <w:left w:val="none" w:sz="0" w:space="0" w:color="auto"/>
            <w:bottom w:val="none" w:sz="0" w:space="0" w:color="auto"/>
            <w:right w:val="none" w:sz="0" w:space="0" w:color="auto"/>
          </w:divBdr>
        </w:div>
        <w:div w:id="1767114569">
          <w:marLeft w:val="480"/>
          <w:marRight w:val="0"/>
          <w:marTop w:val="0"/>
          <w:marBottom w:val="0"/>
          <w:divBdr>
            <w:top w:val="none" w:sz="0" w:space="0" w:color="auto"/>
            <w:left w:val="none" w:sz="0" w:space="0" w:color="auto"/>
            <w:bottom w:val="none" w:sz="0" w:space="0" w:color="auto"/>
            <w:right w:val="none" w:sz="0" w:space="0" w:color="auto"/>
          </w:divBdr>
        </w:div>
        <w:div w:id="301620736">
          <w:marLeft w:val="480"/>
          <w:marRight w:val="0"/>
          <w:marTop w:val="0"/>
          <w:marBottom w:val="0"/>
          <w:divBdr>
            <w:top w:val="none" w:sz="0" w:space="0" w:color="auto"/>
            <w:left w:val="none" w:sz="0" w:space="0" w:color="auto"/>
            <w:bottom w:val="none" w:sz="0" w:space="0" w:color="auto"/>
            <w:right w:val="none" w:sz="0" w:space="0" w:color="auto"/>
          </w:divBdr>
        </w:div>
        <w:div w:id="535311126">
          <w:marLeft w:val="480"/>
          <w:marRight w:val="0"/>
          <w:marTop w:val="0"/>
          <w:marBottom w:val="0"/>
          <w:divBdr>
            <w:top w:val="none" w:sz="0" w:space="0" w:color="auto"/>
            <w:left w:val="none" w:sz="0" w:space="0" w:color="auto"/>
            <w:bottom w:val="none" w:sz="0" w:space="0" w:color="auto"/>
            <w:right w:val="none" w:sz="0" w:space="0" w:color="auto"/>
          </w:divBdr>
        </w:div>
        <w:div w:id="1274050443">
          <w:marLeft w:val="480"/>
          <w:marRight w:val="0"/>
          <w:marTop w:val="0"/>
          <w:marBottom w:val="0"/>
          <w:divBdr>
            <w:top w:val="none" w:sz="0" w:space="0" w:color="auto"/>
            <w:left w:val="none" w:sz="0" w:space="0" w:color="auto"/>
            <w:bottom w:val="none" w:sz="0" w:space="0" w:color="auto"/>
            <w:right w:val="none" w:sz="0" w:space="0" w:color="auto"/>
          </w:divBdr>
        </w:div>
        <w:div w:id="1663461670">
          <w:marLeft w:val="480"/>
          <w:marRight w:val="0"/>
          <w:marTop w:val="0"/>
          <w:marBottom w:val="0"/>
          <w:divBdr>
            <w:top w:val="none" w:sz="0" w:space="0" w:color="auto"/>
            <w:left w:val="none" w:sz="0" w:space="0" w:color="auto"/>
            <w:bottom w:val="none" w:sz="0" w:space="0" w:color="auto"/>
            <w:right w:val="none" w:sz="0" w:space="0" w:color="auto"/>
          </w:divBdr>
        </w:div>
        <w:div w:id="1341542391">
          <w:marLeft w:val="480"/>
          <w:marRight w:val="0"/>
          <w:marTop w:val="0"/>
          <w:marBottom w:val="0"/>
          <w:divBdr>
            <w:top w:val="none" w:sz="0" w:space="0" w:color="auto"/>
            <w:left w:val="none" w:sz="0" w:space="0" w:color="auto"/>
            <w:bottom w:val="none" w:sz="0" w:space="0" w:color="auto"/>
            <w:right w:val="none" w:sz="0" w:space="0" w:color="auto"/>
          </w:divBdr>
        </w:div>
        <w:div w:id="1769352069">
          <w:marLeft w:val="480"/>
          <w:marRight w:val="0"/>
          <w:marTop w:val="0"/>
          <w:marBottom w:val="0"/>
          <w:divBdr>
            <w:top w:val="none" w:sz="0" w:space="0" w:color="auto"/>
            <w:left w:val="none" w:sz="0" w:space="0" w:color="auto"/>
            <w:bottom w:val="none" w:sz="0" w:space="0" w:color="auto"/>
            <w:right w:val="none" w:sz="0" w:space="0" w:color="auto"/>
          </w:divBdr>
        </w:div>
        <w:div w:id="978387252">
          <w:marLeft w:val="480"/>
          <w:marRight w:val="0"/>
          <w:marTop w:val="0"/>
          <w:marBottom w:val="0"/>
          <w:divBdr>
            <w:top w:val="none" w:sz="0" w:space="0" w:color="auto"/>
            <w:left w:val="none" w:sz="0" w:space="0" w:color="auto"/>
            <w:bottom w:val="none" w:sz="0" w:space="0" w:color="auto"/>
            <w:right w:val="none" w:sz="0" w:space="0" w:color="auto"/>
          </w:divBdr>
        </w:div>
        <w:div w:id="863906762">
          <w:marLeft w:val="480"/>
          <w:marRight w:val="0"/>
          <w:marTop w:val="0"/>
          <w:marBottom w:val="0"/>
          <w:divBdr>
            <w:top w:val="none" w:sz="0" w:space="0" w:color="auto"/>
            <w:left w:val="none" w:sz="0" w:space="0" w:color="auto"/>
            <w:bottom w:val="none" w:sz="0" w:space="0" w:color="auto"/>
            <w:right w:val="none" w:sz="0" w:space="0" w:color="auto"/>
          </w:divBdr>
        </w:div>
        <w:div w:id="541598573">
          <w:marLeft w:val="480"/>
          <w:marRight w:val="0"/>
          <w:marTop w:val="0"/>
          <w:marBottom w:val="0"/>
          <w:divBdr>
            <w:top w:val="none" w:sz="0" w:space="0" w:color="auto"/>
            <w:left w:val="none" w:sz="0" w:space="0" w:color="auto"/>
            <w:bottom w:val="none" w:sz="0" w:space="0" w:color="auto"/>
            <w:right w:val="none" w:sz="0" w:space="0" w:color="auto"/>
          </w:divBdr>
        </w:div>
        <w:div w:id="1877035528">
          <w:marLeft w:val="480"/>
          <w:marRight w:val="0"/>
          <w:marTop w:val="0"/>
          <w:marBottom w:val="0"/>
          <w:divBdr>
            <w:top w:val="none" w:sz="0" w:space="0" w:color="auto"/>
            <w:left w:val="none" w:sz="0" w:space="0" w:color="auto"/>
            <w:bottom w:val="none" w:sz="0" w:space="0" w:color="auto"/>
            <w:right w:val="none" w:sz="0" w:space="0" w:color="auto"/>
          </w:divBdr>
        </w:div>
        <w:div w:id="2055500227">
          <w:marLeft w:val="480"/>
          <w:marRight w:val="0"/>
          <w:marTop w:val="0"/>
          <w:marBottom w:val="0"/>
          <w:divBdr>
            <w:top w:val="none" w:sz="0" w:space="0" w:color="auto"/>
            <w:left w:val="none" w:sz="0" w:space="0" w:color="auto"/>
            <w:bottom w:val="none" w:sz="0" w:space="0" w:color="auto"/>
            <w:right w:val="none" w:sz="0" w:space="0" w:color="auto"/>
          </w:divBdr>
        </w:div>
        <w:div w:id="96757405">
          <w:marLeft w:val="480"/>
          <w:marRight w:val="0"/>
          <w:marTop w:val="0"/>
          <w:marBottom w:val="0"/>
          <w:divBdr>
            <w:top w:val="none" w:sz="0" w:space="0" w:color="auto"/>
            <w:left w:val="none" w:sz="0" w:space="0" w:color="auto"/>
            <w:bottom w:val="none" w:sz="0" w:space="0" w:color="auto"/>
            <w:right w:val="none" w:sz="0" w:space="0" w:color="auto"/>
          </w:divBdr>
        </w:div>
        <w:div w:id="1455559711">
          <w:marLeft w:val="480"/>
          <w:marRight w:val="0"/>
          <w:marTop w:val="0"/>
          <w:marBottom w:val="0"/>
          <w:divBdr>
            <w:top w:val="none" w:sz="0" w:space="0" w:color="auto"/>
            <w:left w:val="none" w:sz="0" w:space="0" w:color="auto"/>
            <w:bottom w:val="none" w:sz="0" w:space="0" w:color="auto"/>
            <w:right w:val="none" w:sz="0" w:space="0" w:color="auto"/>
          </w:divBdr>
        </w:div>
        <w:div w:id="1834446627">
          <w:marLeft w:val="480"/>
          <w:marRight w:val="0"/>
          <w:marTop w:val="0"/>
          <w:marBottom w:val="0"/>
          <w:divBdr>
            <w:top w:val="none" w:sz="0" w:space="0" w:color="auto"/>
            <w:left w:val="none" w:sz="0" w:space="0" w:color="auto"/>
            <w:bottom w:val="none" w:sz="0" w:space="0" w:color="auto"/>
            <w:right w:val="none" w:sz="0" w:space="0" w:color="auto"/>
          </w:divBdr>
        </w:div>
        <w:div w:id="66998095">
          <w:marLeft w:val="480"/>
          <w:marRight w:val="0"/>
          <w:marTop w:val="0"/>
          <w:marBottom w:val="0"/>
          <w:divBdr>
            <w:top w:val="none" w:sz="0" w:space="0" w:color="auto"/>
            <w:left w:val="none" w:sz="0" w:space="0" w:color="auto"/>
            <w:bottom w:val="none" w:sz="0" w:space="0" w:color="auto"/>
            <w:right w:val="none" w:sz="0" w:space="0" w:color="auto"/>
          </w:divBdr>
        </w:div>
        <w:div w:id="155196145">
          <w:marLeft w:val="480"/>
          <w:marRight w:val="0"/>
          <w:marTop w:val="0"/>
          <w:marBottom w:val="0"/>
          <w:divBdr>
            <w:top w:val="none" w:sz="0" w:space="0" w:color="auto"/>
            <w:left w:val="none" w:sz="0" w:space="0" w:color="auto"/>
            <w:bottom w:val="none" w:sz="0" w:space="0" w:color="auto"/>
            <w:right w:val="none" w:sz="0" w:space="0" w:color="auto"/>
          </w:divBdr>
        </w:div>
        <w:div w:id="227301372">
          <w:marLeft w:val="480"/>
          <w:marRight w:val="0"/>
          <w:marTop w:val="0"/>
          <w:marBottom w:val="0"/>
          <w:divBdr>
            <w:top w:val="none" w:sz="0" w:space="0" w:color="auto"/>
            <w:left w:val="none" w:sz="0" w:space="0" w:color="auto"/>
            <w:bottom w:val="none" w:sz="0" w:space="0" w:color="auto"/>
            <w:right w:val="none" w:sz="0" w:space="0" w:color="auto"/>
          </w:divBdr>
        </w:div>
        <w:div w:id="1979994891">
          <w:marLeft w:val="480"/>
          <w:marRight w:val="0"/>
          <w:marTop w:val="0"/>
          <w:marBottom w:val="0"/>
          <w:divBdr>
            <w:top w:val="none" w:sz="0" w:space="0" w:color="auto"/>
            <w:left w:val="none" w:sz="0" w:space="0" w:color="auto"/>
            <w:bottom w:val="none" w:sz="0" w:space="0" w:color="auto"/>
            <w:right w:val="none" w:sz="0" w:space="0" w:color="auto"/>
          </w:divBdr>
        </w:div>
        <w:div w:id="1162964499">
          <w:marLeft w:val="480"/>
          <w:marRight w:val="0"/>
          <w:marTop w:val="0"/>
          <w:marBottom w:val="0"/>
          <w:divBdr>
            <w:top w:val="none" w:sz="0" w:space="0" w:color="auto"/>
            <w:left w:val="none" w:sz="0" w:space="0" w:color="auto"/>
            <w:bottom w:val="none" w:sz="0" w:space="0" w:color="auto"/>
            <w:right w:val="none" w:sz="0" w:space="0" w:color="auto"/>
          </w:divBdr>
        </w:div>
        <w:div w:id="1610895127">
          <w:marLeft w:val="480"/>
          <w:marRight w:val="0"/>
          <w:marTop w:val="0"/>
          <w:marBottom w:val="0"/>
          <w:divBdr>
            <w:top w:val="none" w:sz="0" w:space="0" w:color="auto"/>
            <w:left w:val="none" w:sz="0" w:space="0" w:color="auto"/>
            <w:bottom w:val="none" w:sz="0" w:space="0" w:color="auto"/>
            <w:right w:val="none" w:sz="0" w:space="0" w:color="auto"/>
          </w:divBdr>
        </w:div>
        <w:div w:id="1234243355">
          <w:marLeft w:val="480"/>
          <w:marRight w:val="0"/>
          <w:marTop w:val="0"/>
          <w:marBottom w:val="0"/>
          <w:divBdr>
            <w:top w:val="none" w:sz="0" w:space="0" w:color="auto"/>
            <w:left w:val="none" w:sz="0" w:space="0" w:color="auto"/>
            <w:bottom w:val="none" w:sz="0" w:space="0" w:color="auto"/>
            <w:right w:val="none" w:sz="0" w:space="0" w:color="auto"/>
          </w:divBdr>
        </w:div>
        <w:div w:id="2019651620">
          <w:marLeft w:val="480"/>
          <w:marRight w:val="0"/>
          <w:marTop w:val="0"/>
          <w:marBottom w:val="0"/>
          <w:divBdr>
            <w:top w:val="none" w:sz="0" w:space="0" w:color="auto"/>
            <w:left w:val="none" w:sz="0" w:space="0" w:color="auto"/>
            <w:bottom w:val="none" w:sz="0" w:space="0" w:color="auto"/>
            <w:right w:val="none" w:sz="0" w:space="0" w:color="auto"/>
          </w:divBdr>
        </w:div>
        <w:div w:id="955211769">
          <w:marLeft w:val="480"/>
          <w:marRight w:val="0"/>
          <w:marTop w:val="0"/>
          <w:marBottom w:val="0"/>
          <w:divBdr>
            <w:top w:val="none" w:sz="0" w:space="0" w:color="auto"/>
            <w:left w:val="none" w:sz="0" w:space="0" w:color="auto"/>
            <w:bottom w:val="none" w:sz="0" w:space="0" w:color="auto"/>
            <w:right w:val="none" w:sz="0" w:space="0" w:color="auto"/>
          </w:divBdr>
        </w:div>
        <w:div w:id="15230545">
          <w:marLeft w:val="480"/>
          <w:marRight w:val="0"/>
          <w:marTop w:val="0"/>
          <w:marBottom w:val="0"/>
          <w:divBdr>
            <w:top w:val="none" w:sz="0" w:space="0" w:color="auto"/>
            <w:left w:val="none" w:sz="0" w:space="0" w:color="auto"/>
            <w:bottom w:val="none" w:sz="0" w:space="0" w:color="auto"/>
            <w:right w:val="none" w:sz="0" w:space="0" w:color="auto"/>
          </w:divBdr>
        </w:div>
        <w:div w:id="1148130892">
          <w:marLeft w:val="480"/>
          <w:marRight w:val="0"/>
          <w:marTop w:val="0"/>
          <w:marBottom w:val="0"/>
          <w:divBdr>
            <w:top w:val="none" w:sz="0" w:space="0" w:color="auto"/>
            <w:left w:val="none" w:sz="0" w:space="0" w:color="auto"/>
            <w:bottom w:val="none" w:sz="0" w:space="0" w:color="auto"/>
            <w:right w:val="none" w:sz="0" w:space="0" w:color="auto"/>
          </w:divBdr>
        </w:div>
        <w:div w:id="1533765283">
          <w:marLeft w:val="480"/>
          <w:marRight w:val="0"/>
          <w:marTop w:val="0"/>
          <w:marBottom w:val="0"/>
          <w:divBdr>
            <w:top w:val="none" w:sz="0" w:space="0" w:color="auto"/>
            <w:left w:val="none" w:sz="0" w:space="0" w:color="auto"/>
            <w:bottom w:val="none" w:sz="0" w:space="0" w:color="auto"/>
            <w:right w:val="none" w:sz="0" w:space="0" w:color="auto"/>
          </w:divBdr>
        </w:div>
        <w:div w:id="1676374704">
          <w:marLeft w:val="480"/>
          <w:marRight w:val="0"/>
          <w:marTop w:val="0"/>
          <w:marBottom w:val="0"/>
          <w:divBdr>
            <w:top w:val="none" w:sz="0" w:space="0" w:color="auto"/>
            <w:left w:val="none" w:sz="0" w:space="0" w:color="auto"/>
            <w:bottom w:val="none" w:sz="0" w:space="0" w:color="auto"/>
            <w:right w:val="none" w:sz="0" w:space="0" w:color="auto"/>
          </w:divBdr>
        </w:div>
        <w:div w:id="1368675961">
          <w:marLeft w:val="480"/>
          <w:marRight w:val="0"/>
          <w:marTop w:val="0"/>
          <w:marBottom w:val="0"/>
          <w:divBdr>
            <w:top w:val="none" w:sz="0" w:space="0" w:color="auto"/>
            <w:left w:val="none" w:sz="0" w:space="0" w:color="auto"/>
            <w:bottom w:val="none" w:sz="0" w:space="0" w:color="auto"/>
            <w:right w:val="none" w:sz="0" w:space="0" w:color="auto"/>
          </w:divBdr>
        </w:div>
        <w:div w:id="1784616715">
          <w:marLeft w:val="480"/>
          <w:marRight w:val="0"/>
          <w:marTop w:val="0"/>
          <w:marBottom w:val="0"/>
          <w:divBdr>
            <w:top w:val="none" w:sz="0" w:space="0" w:color="auto"/>
            <w:left w:val="none" w:sz="0" w:space="0" w:color="auto"/>
            <w:bottom w:val="none" w:sz="0" w:space="0" w:color="auto"/>
            <w:right w:val="none" w:sz="0" w:space="0" w:color="auto"/>
          </w:divBdr>
        </w:div>
        <w:div w:id="966276803">
          <w:marLeft w:val="480"/>
          <w:marRight w:val="0"/>
          <w:marTop w:val="0"/>
          <w:marBottom w:val="0"/>
          <w:divBdr>
            <w:top w:val="none" w:sz="0" w:space="0" w:color="auto"/>
            <w:left w:val="none" w:sz="0" w:space="0" w:color="auto"/>
            <w:bottom w:val="none" w:sz="0" w:space="0" w:color="auto"/>
            <w:right w:val="none" w:sz="0" w:space="0" w:color="auto"/>
          </w:divBdr>
        </w:div>
        <w:div w:id="1358897229">
          <w:marLeft w:val="480"/>
          <w:marRight w:val="0"/>
          <w:marTop w:val="0"/>
          <w:marBottom w:val="0"/>
          <w:divBdr>
            <w:top w:val="none" w:sz="0" w:space="0" w:color="auto"/>
            <w:left w:val="none" w:sz="0" w:space="0" w:color="auto"/>
            <w:bottom w:val="none" w:sz="0" w:space="0" w:color="auto"/>
            <w:right w:val="none" w:sz="0" w:space="0" w:color="auto"/>
          </w:divBdr>
        </w:div>
        <w:div w:id="1748720295">
          <w:marLeft w:val="480"/>
          <w:marRight w:val="0"/>
          <w:marTop w:val="0"/>
          <w:marBottom w:val="0"/>
          <w:divBdr>
            <w:top w:val="none" w:sz="0" w:space="0" w:color="auto"/>
            <w:left w:val="none" w:sz="0" w:space="0" w:color="auto"/>
            <w:bottom w:val="none" w:sz="0" w:space="0" w:color="auto"/>
            <w:right w:val="none" w:sz="0" w:space="0" w:color="auto"/>
          </w:divBdr>
        </w:div>
        <w:div w:id="1341276845">
          <w:marLeft w:val="480"/>
          <w:marRight w:val="0"/>
          <w:marTop w:val="0"/>
          <w:marBottom w:val="0"/>
          <w:divBdr>
            <w:top w:val="none" w:sz="0" w:space="0" w:color="auto"/>
            <w:left w:val="none" w:sz="0" w:space="0" w:color="auto"/>
            <w:bottom w:val="none" w:sz="0" w:space="0" w:color="auto"/>
            <w:right w:val="none" w:sz="0" w:space="0" w:color="auto"/>
          </w:divBdr>
        </w:div>
        <w:div w:id="923029241">
          <w:marLeft w:val="480"/>
          <w:marRight w:val="0"/>
          <w:marTop w:val="0"/>
          <w:marBottom w:val="0"/>
          <w:divBdr>
            <w:top w:val="none" w:sz="0" w:space="0" w:color="auto"/>
            <w:left w:val="none" w:sz="0" w:space="0" w:color="auto"/>
            <w:bottom w:val="none" w:sz="0" w:space="0" w:color="auto"/>
            <w:right w:val="none" w:sz="0" w:space="0" w:color="auto"/>
          </w:divBdr>
        </w:div>
        <w:div w:id="409667698">
          <w:marLeft w:val="480"/>
          <w:marRight w:val="0"/>
          <w:marTop w:val="0"/>
          <w:marBottom w:val="0"/>
          <w:divBdr>
            <w:top w:val="none" w:sz="0" w:space="0" w:color="auto"/>
            <w:left w:val="none" w:sz="0" w:space="0" w:color="auto"/>
            <w:bottom w:val="none" w:sz="0" w:space="0" w:color="auto"/>
            <w:right w:val="none" w:sz="0" w:space="0" w:color="auto"/>
          </w:divBdr>
        </w:div>
        <w:div w:id="274295073">
          <w:marLeft w:val="480"/>
          <w:marRight w:val="0"/>
          <w:marTop w:val="0"/>
          <w:marBottom w:val="0"/>
          <w:divBdr>
            <w:top w:val="none" w:sz="0" w:space="0" w:color="auto"/>
            <w:left w:val="none" w:sz="0" w:space="0" w:color="auto"/>
            <w:bottom w:val="none" w:sz="0" w:space="0" w:color="auto"/>
            <w:right w:val="none" w:sz="0" w:space="0" w:color="auto"/>
          </w:divBdr>
        </w:div>
        <w:div w:id="710694068">
          <w:marLeft w:val="480"/>
          <w:marRight w:val="0"/>
          <w:marTop w:val="0"/>
          <w:marBottom w:val="0"/>
          <w:divBdr>
            <w:top w:val="none" w:sz="0" w:space="0" w:color="auto"/>
            <w:left w:val="none" w:sz="0" w:space="0" w:color="auto"/>
            <w:bottom w:val="none" w:sz="0" w:space="0" w:color="auto"/>
            <w:right w:val="none" w:sz="0" w:space="0" w:color="auto"/>
          </w:divBdr>
        </w:div>
        <w:div w:id="390807990">
          <w:marLeft w:val="480"/>
          <w:marRight w:val="0"/>
          <w:marTop w:val="0"/>
          <w:marBottom w:val="0"/>
          <w:divBdr>
            <w:top w:val="none" w:sz="0" w:space="0" w:color="auto"/>
            <w:left w:val="none" w:sz="0" w:space="0" w:color="auto"/>
            <w:bottom w:val="none" w:sz="0" w:space="0" w:color="auto"/>
            <w:right w:val="none" w:sz="0" w:space="0" w:color="auto"/>
          </w:divBdr>
        </w:div>
        <w:div w:id="925261738">
          <w:marLeft w:val="480"/>
          <w:marRight w:val="0"/>
          <w:marTop w:val="0"/>
          <w:marBottom w:val="0"/>
          <w:divBdr>
            <w:top w:val="none" w:sz="0" w:space="0" w:color="auto"/>
            <w:left w:val="none" w:sz="0" w:space="0" w:color="auto"/>
            <w:bottom w:val="none" w:sz="0" w:space="0" w:color="auto"/>
            <w:right w:val="none" w:sz="0" w:space="0" w:color="auto"/>
          </w:divBdr>
        </w:div>
        <w:div w:id="1230187590">
          <w:marLeft w:val="480"/>
          <w:marRight w:val="0"/>
          <w:marTop w:val="0"/>
          <w:marBottom w:val="0"/>
          <w:divBdr>
            <w:top w:val="none" w:sz="0" w:space="0" w:color="auto"/>
            <w:left w:val="none" w:sz="0" w:space="0" w:color="auto"/>
            <w:bottom w:val="none" w:sz="0" w:space="0" w:color="auto"/>
            <w:right w:val="none" w:sz="0" w:space="0" w:color="auto"/>
          </w:divBdr>
        </w:div>
        <w:div w:id="416707297">
          <w:marLeft w:val="480"/>
          <w:marRight w:val="0"/>
          <w:marTop w:val="0"/>
          <w:marBottom w:val="0"/>
          <w:divBdr>
            <w:top w:val="none" w:sz="0" w:space="0" w:color="auto"/>
            <w:left w:val="none" w:sz="0" w:space="0" w:color="auto"/>
            <w:bottom w:val="none" w:sz="0" w:space="0" w:color="auto"/>
            <w:right w:val="none" w:sz="0" w:space="0" w:color="auto"/>
          </w:divBdr>
        </w:div>
        <w:div w:id="1375733404">
          <w:marLeft w:val="480"/>
          <w:marRight w:val="0"/>
          <w:marTop w:val="0"/>
          <w:marBottom w:val="0"/>
          <w:divBdr>
            <w:top w:val="none" w:sz="0" w:space="0" w:color="auto"/>
            <w:left w:val="none" w:sz="0" w:space="0" w:color="auto"/>
            <w:bottom w:val="none" w:sz="0" w:space="0" w:color="auto"/>
            <w:right w:val="none" w:sz="0" w:space="0" w:color="auto"/>
          </w:divBdr>
        </w:div>
        <w:div w:id="106707304">
          <w:marLeft w:val="480"/>
          <w:marRight w:val="0"/>
          <w:marTop w:val="0"/>
          <w:marBottom w:val="0"/>
          <w:divBdr>
            <w:top w:val="none" w:sz="0" w:space="0" w:color="auto"/>
            <w:left w:val="none" w:sz="0" w:space="0" w:color="auto"/>
            <w:bottom w:val="none" w:sz="0" w:space="0" w:color="auto"/>
            <w:right w:val="none" w:sz="0" w:space="0" w:color="auto"/>
          </w:divBdr>
        </w:div>
        <w:div w:id="1312753761">
          <w:marLeft w:val="480"/>
          <w:marRight w:val="0"/>
          <w:marTop w:val="0"/>
          <w:marBottom w:val="0"/>
          <w:divBdr>
            <w:top w:val="none" w:sz="0" w:space="0" w:color="auto"/>
            <w:left w:val="none" w:sz="0" w:space="0" w:color="auto"/>
            <w:bottom w:val="none" w:sz="0" w:space="0" w:color="auto"/>
            <w:right w:val="none" w:sz="0" w:space="0" w:color="auto"/>
          </w:divBdr>
        </w:div>
        <w:div w:id="380830445">
          <w:marLeft w:val="480"/>
          <w:marRight w:val="0"/>
          <w:marTop w:val="0"/>
          <w:marBottom w:val="0"/>
          <w:divBdr>
            <w:top w:val="none" w:sz="0" w:space="0" w:color="auto"/>
            <w:left w:val="none" w:sz="0" w:space="0" w:color="auto"/>
            <w:bottom w:val="none" w:sz="0" w:space="0" w:color="auto"/>
            <w:right w:val="none" w:sz="0" w:space="0" w:color="auto"/>
          </w:divBdr>
        </w:div>
        <w:div w:id="1467626239">
          <w:marLeft w:val="480"/>
          <w:marRight w:val="0"/>
          <w:marTop w:val="0"/>
          <w:marBottom w:val="0"/>
          <w:divBdr>
            <w:top w:val="none" w:sz="0" w:space="0" w:color="auto"/>
            <w:left w:val="none" w:sz="0" w:space="0" w:color="auto"/>
            <w:bottom w:val="none" w:sz="0" w:space="0" w:color="auto"/>
            <w:right w:val="none" w:sz="0" w:space="0" w:color="auto"/>
          </w:divBdr>
        </w:div>
        <w:div w:id="1668440844">
          <w:marLeft w:val="480"/>
          <w:marRight w:val="0"/>
          <w:marTop w:val="0"/>
          <w:marBottom w:val="0"/>
          <w:divBdr>
            <w:top w:val="none" w:sz="0" w:space="0" w:color="auto"/>
            <w:left w:val="none" w:sz="0" w:space="0" w:color="auto"/>
            <w:bottom w:val="none" w:sz="0" w:space="0" w:color="auto"/>
            <w:right w:val="none" w:sz="0" w:space="0" w:color="auto"/>
          </w:divBdr>
        </w:div>
        <w:div w:id="1187137125">
          <w:marLeft w:val="480"/>
          <w:marRight w:val="0"/>
          <w:marTop w:val="0"/>
          <w:marBottom w:val="0"/>
          <w:divBdr>
            <w:top w:val="none" w:sz="0" w:space="0" w:color="auto"/>
            <w:left w:val="none" w:sz="0" w:space="0" w:color="auto"/>
            <w:bottom w:val="none" w:sz="0" w:space="0" w:color="auto"/>
            <w:right w:val="none" w:sz="0" w:space="0" w:color="auto"/>
          </w:divBdr>
        </w:div>
        <w:div w:id="286160680">
          <w:marLeft w:val="480"/>
          <w:marRight w:val="0"/>
          <w:marTop w:val="0"/>
          <w:marBottom w:val="0"/>
          <w:divBdr>
            <w:top w:val="none" w:sz="0" w:space="0" w:color="auto"/>
            <w:left w:val="none" w:sz="0" w:space="0" w:color="auto"/>
            <w:bottom w:val="none" w:sz="0" w:space="0" w:color="auto"/>
            <w:right w:val="none" w:sz="0" w:space="0" w:color="auto"/>
          </w:divBdr>
        </w:div>
        <w:div w:id="2045785228">
          <w:marLeft w:val="480"/>
          <w:marRight w:val="0"/>
          <w:marTop w:val="0"/>
          <w:marBottom w:val="0"/>
          <w:divBdr>
            <w:top w:val="none" w:sz="0" w:space="0" w:color="auto"/>
            <w:left w:val="none" w:sz="0" w:space="0" w:color="auto"/>
            <w:bottom w:val="none" w:sz="0" w:space="0" w:color="auto"/>
            <w:right w:val="none" w:sz="0" w:space="0" w:color="auto"/>
          </w:divBdr>
        </w:div>
        <w:div w:id="181668582">
          <w:marLeft w:val="480"/>
          <w:marRight w:val="0"/>
          <w:marTop w:val="0"/>
          <w:marBottom w:val="0"/>
          <w:divBdr>
            <w:top w:val="none" w:sz="0" w:space="0" w:color="auto"/>
            <w:left w:val="none" w:sz="0" w:space="0" w:color="auto"/>
            <w:bottom w:val="none" w:sz="0" w:space="0" w:color="auto"/>
            <w:right w:val="none" w:sz="0" w:space="0" w:color="auto"/>
          </w:divBdr>
        </w:div>
        <w:div w:id="1329678513">
          <w:marLeft w:val="480"/>
          <w:marRight w:val="0"/>
          <w:marTop w:val="0"/>
          <w:marBottom w:val="0"/>
          <w:divBdr>
            <w:top w:val="none" w:sz="0" w:space="0" w:color="auto"/>
            <w:left w:val="none" w:sz="0" w:space="0" w:color="auto"/>
            <w:bottom w:val="none" w:sz="0" w:space="0" w:color="auto"/>
            <w:right w:val="none" w:sz="0" w:space="0" w:color="auto"/>
          </w:divBdr>
        </w:div>
        <w:div w:id="604045992">
          <w:marLeft w:val="480"/>
          <w:marRight w:val="0"/>
          <w:marTop w:val="0"/>
          <w:marBottom w:val="0"/>
          <w:divBdr>
            <w:top w:val="none" w:sz="0" w:space="0" w:color="auto"/>
            <w:left w:val="none" w:sz="0" w:space="0" w:color="auto"/>
            <w:bottom w:val="none" w:sz="0" w:space="0" w:color="auto"/>
            <w:right w:val="none" w:sz="0" w:space="0" w:color="auto"/>
          </w:divBdr>
        </w:div>
        <w:div w:id="1896698942">
          <w:marLeft w:val="480"/>
          <w:marRight w:val="0"/>
          <w:marTop w:val="0"/>
          <w:marBottom w:val="0"/>
          <w:divBdr>
            <w:top w:val="none" w:sz="0" w:space="0" w:color="auto"/>
            <w:left w:val="none" w:sz="0" w:space="0" w:color="auto"/>
            <w:bottom w:val="none" w:sz="0" w:space="0" w:color="auto"/>
            <w:right w:val="none" w:sz="0" w:space="0" w:color="auto"/>
          </w:divBdr>
        </w:div>
        <w:div w:id="1590851759">
          <w:marLeft w:val="480"/>
          <w:marRight w:val="0"/>
          <w:marTop w:val="0"/>
          <w:marBottom w:val="0"/>
          <w:divBdr>
            <w:top w:val="none" w:sz="0" w:space="0" w:color="auto"/>
            <w:left w:val="none" w:sz="0" w:space="0" w:color="auto"/>
            <w:bottom w:val="none" w:sz="0" w:space="0" w:color="auto"/>
            <w:right w:val="none" w:sz="0" w:space="0" w:color="auto"/>
          </w:divBdr>
        </w:div>
        <w:div w:id="588856072">
          <w:marLeft w:val="480"/>
          <w:marRight w:val="0"/>
          <w:marTop w:val="0"/>
          <w:marBottom w:val="0"/>
          <w:divBdr>
            <w:top w:val="none" w:sz="0" w:space="0" w:color="auto"/>
            <w:left w:val="none" w:sz="0" w:space="0" w:color="auto"/>
            <w:bottom w:val="none" w:sz="0" w:space="0" w:color="auto"/>
            <w:right w:val="none" w:sz="0" w:space="0" w:color="auto"/>
          </w:divBdr>
        </w:div>
        <w:div w:id="1810394396">
          <w:marLeft w:val="480"/>
          <w:marRight w:val="0"/>
          <w:marTop w:val="0"/>
          <w:marBottom w:val="0"/>
          <w:divBdr>
            <w:top w:val="none" w:sz="0" w:space="0" w:color="auto"/>
            <w:left w:val="none" w:sz="0" w:space="0" w:color="auto"/>
            <w:bottom w:val="none" w:sz="0" w:space="0" w:color="auto"/>
            <w:right w:val="none" w:sz="0" w:space="0" w:color="auto"/>
          </w:divBdr>
        </w:div>
        <w:div w:id="593518267">
          <w:marLeft w:val="480"/>
          <w:marRight w:val="0"/>
          <w:marTop w:val="0"/>
          <w:marBottom w:val="0"/>
          <w:divBdr>
            <w:top w:val="none" w:sz="0" w:space="0" w:color="auto"/>
            <w:left w:val="none" w:sz="0" w:space="0" w:color="auto"/>
            <w:bottom w:val="none" w:sz="0" w:space="0" w:color="auto"/>
            <w:right w:val="none" w:sz="0" w:space="0" w:color="auto"/>
          </w:divBdr>
        </w:div>
        <w:div w:id="1620910298">
          <w:marLeft w:val="480"/>
          <w:marRight w:val="0"/>
          <w:marTop w:val="0"/>
          <w:marBottom w:val="0"/>
          <w:divBdr>
            <w:top w:val="none" w:sz="0" w:space="0" w:color="auto"/>
            <w:left w:val="none" w:sz="0" w:space="0" w:color="auto"/>
            <w:bottom w:val="none" w:sz="0" w:space="0" w:color="auto"/>
            <w:right w:val="none" w:sz="0" w:space="0" w:color="auto"/>
          </w:divBdr>
        </w:div>
        <w:div w:id="1923026535">
          <w:marLeft w:val="480"/>
          <w:marRight w:val="0"/>
          <w:marTop w:val="0"/>
          <w:marBottom w:val="0"/>
          <w:divBdr>
            <w:top w:val="none" w:sz="0" w:space="0" w:color="auto"/>
            <w:left w:val="none" w:sz="0" w:space="0" w:color="auto"/>
            <w:bottom w:val="none" w:sz="0" w:space="0" w:color="auto"/>
            <w:right w:val="none" w:sz="0" w:space="0" w:color="auto"/>
          </w:divBdr>
        </w:div>
        <w:div w:id="1262951212">
          <w:marLeft w:val="480"/>
          <w:marRight w:val="0"/>
          <w:marTop w:val="0"/>
          <w:marBottom w:val="0"/>
          <w:divBdr>
            <w:top w:val="none" w:sz="0" w:space="0" w:color="auto"/>
            <w:left w:val="none" w:sz="0" w:space="0" w:color="auto"/>
            <w:bottom w:val="none" w:sz="0" w:space="0" w:color="auto"/>
            <w:right w:val="none" w:sz="0" w:space="0" w:color="auto"/>
          </w:divBdr>
        </w:div>
        <w:div w:id="1015157159">
          <w:marLeft w:val="480"/>
          <w:marRight w:val="0"/>
          <w:marTop w:val="0"/>
          <w:marBottom w:val="0"/>
          <w:divBdr>
            <w:top w:val="none" w:sz="0" w:space="0" w:color="auto"/>
            <w:left w:val="none" w:sz="0" w:space="0" w:color="auto"/>
            <w:bottom w:val="none" w:sz="0" w:space="0" w:color="auto"/>
            <w:right w:val="none" w:sz="0" w:space="0" w:color="auto"/>
          </w:divBdr>
        </w:div>
        <w:div w:id="280191051">
          <w:marLeft w:val="480"/>
          <w:marRight w:val="0"/>
          <w:marTop w:val="0"/>
          <w:marBottom w:val="0"/>
          <w:divBdr>
            <w:top w:val="none" w:sz="0" w:space="0" w:color="auto"/>
            <w:left w:val="none" w:sz="0" w:space="0" w:color="auto"/>
            <w:bottom w:val="none" w:sz="0" w:space="0" w:color="auto"/>
            <w:right w:val="none" w:sz="0" w:space="0" w:color="auto"/>
          </w:divBdr>
        </w:div>
        <w:div w:id="830372940">
          <w:marLeft w:val="480"/>
          <w:marRight w:val="0"/>
          <w:marTop w:val="0"/>
          <w:marBottom w:val="0"/>
          <w:divBdr>
            <w:top w:val="none" w:sz="0" w:space="0" w:color="auto"/>
            <w:left w:val="none" w:sz="0" w:space="0" w:color="auto"/>
            <w:bottom w:val="none" w:sz="0" w:space="0" w:color="auto"/>
            <w:right w:val="none" w:sz="0" w:space="0" w:color="auto"/>
          </w:divBdr>
        </w:div>
        <w:div w:id="1752579951">
          <w:marLeft w:val="480"/>
          <w:marRight w:val="0"/>
          <w:marTop w:val="0"/>
          <w:marBottom w:val="0"/>
          <w:divBdr>
            <w:top w:val="none" w:sz="0" w:space="0" w:color="auto"/>
            <w:left w:val="none" w:sz="0" w:space="0" w:color="auto"/>
            <w:bottom w:val="none" w:sz="0" w:space="0" w:color="auto"/>
            <w:right w:val="none" w:sz="0" w:space="0" w:color="auto"/>
          </w:divBdr>
        </w:div>
        <w:div w:id="1430664015">
          <w:marLeft w:val="480"/>
          <w:marRight w:val="0"/>
          <w:marTop w:val="0"/>
          <w:marBottom w:val="0"/>
          <w:divBdr>
            <w:top w:val="none" w:sz="0" w:space="0" w:color="auto"/>
            <w:left w:val="none" w:sz="0" w:space="0" w:color="auto"/>
            <w:bottom w:val="none" w:sz="0" w:space="0" w:color="auto"/>
            <w:right w:val="none" w:sz="0" w:space="0" w:color="auto"/>
          </w:divBdr>
        </w:div>
        <w:div w:id="203179079">
          <w:marLeft w:val="480"/>
          <w:marRight w:val="0"/>
          <w:marTop w:val="0"/>
          <w:marBottom w:val="0"/>
          <w:divBdr>
            <w:top w:val="none" w:sz="0" w:space="0" w:color="auto"/>
            <w:left w:val="none" w:sz="0" w:space="0" w:color="auto"/>
            <w:bottom w:val="none" w:sz="0" w:space="0" w:color="auto"/>
            <w:right w:val="none" w:sz="0" w:space="0" w:color="auto"/>
          </w:divBdr>
        </w:div>
        <w:div w:id="126507474">
          <w:marLeft w:val="480"/>
          <w:marRight w:val="0"/>
          <w:marTop w:val="0"/>
          <w:marBottom w:val="0"/>
          <w:divBdr>
            <w:top w:val="none" w:sz="0" w:space="0" w:color="auto"/>
            <w:left w:val="none" w:sz="0" w:space="0" w:color="auto"/>
            <w:bottom w:val="none" w:sz="0" w:space="0" w:color="auto"/>
            <w:right w:val="none" w:sz="0" w:space="0" w:color="auto"/>
          </w:divBdr>
        </w:div>
        <w:div w:id="51663106">
          <w:marLeft w:val="480"/>
          <w:marRight w:val="0"/>
          <w:marTop w:val="0"/>
          <w:marBottom w:val="0"/>
          <w:divBdr>
            <w:top w:val="none" w:sz="0" w:space="0" w:color="auto"/>
            <w:left w:val="none" w:sz="0" w:space="0" w:color="auto"/>
            <w:bottom w:val="none" w:sz="0" w:space="0" w:color="auto"/>
            <w:right w:val="none" w:sz="0" w:space="0" w:color="auto"/>
          </w:divBdr>
        </w:div>
        <w:div w:id="1764522747">
          <w:marLeft w:val="480"/>
          <w:marRight w:val="0"/>
          <w:marTop w:val="0"/>
          <w:marBottom w:val="0"/>
          <w:divBdr>
            <w:top w:val="none" w:sz="0" w:space="0" w:color="auto"/>
            <w:left w:val="none" w:sz="0" w:space="0" w:color="auto"/>
            <w:bottom w:val="none" w:sz="0" w:space="0" w:color="auto"/>
            <w:right w:val="none" w:sz="0" w:space="0" w:color="auto"/>
          </w:divBdr>
        </w:div>
        <w:div w:id="121047214">
          <w:marLeft w:val="480"/>
          <w:marRight w:val="0"/>
          <w:marTop w:val="0"/>
          <w:marBottom w:val="0"/>
          <w:divBdr>
            <w:top w:val="none" w:sz="0" w:space="0" w:color="auto"/>
            <w:left w:val="none" w:sz="0" w:space="0" w:color="auto"/>
            <w:bottom w:val="none" w:sz="0" w:space="0" w:color="auto"/>
            <w:right w:val="none" w:sz="0" w:space="0" w:color="auto"/>
          </w:divBdr>
        </w:div>
        <w:div w:id="760873304">
          <w:marLeft w:val="480"/>
          <w:marRight w:val="0"/>
          <w:marTop w:val="0"/>
          <w:marBottom w:val="0"/>
          <w:divBdr>
            <w:top w:val="none" w:sz="0" w:space="0" w:color="auto"/>
            <w:left w:val="none" w:sz="0" w:space="0" w:color="auto"/>
            <w:bottom w:val="none" w:sz="0" w:space="0" w:color="auto"/>
            <w:right w:val="none" w:sz="0" w:space="0" w:color="auto"/>
          </w:divBdr>
        </w:div>
        <w:div w:id="182330531">
          <w:marLeft w:val="480"/>
          <w:marRight w:val="0"/>
          <w:marTop w:val="0"/>
          <w:marBottom w:val="0"/>
          <w:divBdr>
            <w:top w:val="none" w:sz="0" w:space="0" w:color="auto"/>
            <w:left w:val="none" w:sz="0" w:space="0" w:color="auto"/>
            <w:bottom w:val="none" w:sz="0" w:space="0" w:color="auto"/>
            <w:right w:val="none" w:sz="0" w:space="0" w:color="auto"/>
          </w:divBdr>
        </w:div>
        <w:div w:id="737896103">
          <w:marLeft w:val="480"/>
          <w:marRight w:val="0"/>
          <w:marTop w:val="0"/>
          <w:marBottom w:val="0"/>
          <w:divBdr>
            <w:top w:val="none" w:sz="0" w:space="0" w:color="auto"/>
            <w:left w:val="none" w:sz="0" w:space="0" w:color="auto"/>
            <w:bottom w:val="none" w:sz="0" w:space="0" w:color="auto"/>
            <w:right w:val="none" w:sz="0" w:space="0" w:color="auto"/>
          </w:divBdr>
        </w:div>
        <w:div w:id="1266304883">
          <w:marLeft w:val="480"/>
          <w:marRight w:val="0"/>
          <w:marTop w:val="0"/>
          <w:marBottom w:val="0"/>
          <w:divBdr>
            <w:top w:val="none" w:sz="0" w:space="0" w:color="auto"/>
            <w:left w:val="none" w:sz="0" w:space="0" w:color="auto"/>
            <w:bottom w:val="none" w:sz="0" w:space="0" w:color="auto"/>
            <w:right w:val="none" w:sz="0" w:space="0" w:color="auto"/>
          </w:divBdr>
        </w:div>
        <w:div w:id="107047191">
          <w:marLeft w:val="480"/>
          <w:marRight w:val="0"/>
          <w:marTop w:val="0"/>
          <w:marBottom w:val="0"/>
          <w:divBdr>
            <w:top w:val="none" w:sz="0" w:space="0" w:color="auto"/>
            <w:left w:val="none" w:sz="0" w:space="0" w:color="auto"/>
            <w:bottom w:val="none" w:sz="0" w:space="0" w:color="auto"/>
            <w:right w:val="none" w:sz="0" w:space="0" w:color="auto"/>
          </w:divBdr>
        </w:div>
        <w:div w:id="597909129">
          <w:marLeft w:val="480"/>
          <w:marRight w:val="0"/>
          <w:marTop w:val="0"/>
          <w:marBottom w:val="0"/>
          <w:divBdr>
            <w:top w:val="none" w:sz="0" w:space="0" w:color="auto"/>
            <w:left w:val="none" w:sz="0" w:space="0" w:color="auto"/>
            <w:bottom w:val="none" w:sz="0" w:space="0" w:color="auto"/>
            <w:right w:val="none" w:sz="0" w:space="0" w:color="auto"/>
          </w:divBdr>
        </w:div>
        <w:div w:id="1823496369">
          <w:marLeft w:val="480"/>
          <w:marRight w:val="0"/>
          <w:marTop w:val="0"/>
          <w:marBottom w:val="0"/>
          <w:divBdr>
            <w:top w:val="none" w:sz="0" w:space="0" w:color="auto"/>
            <w:left w:val="none" w:sz="0" w:space="0" w:color="auto"/>
            <w:bottom w:val="none" w:sz="0" w:space="0" w:color="auto"/>
            <w:right w:val="none" w:sz="0" w:space="0" w:color="auto"/>
          </w:divBdr>
        </w:div>
        <w:div w:id="907764071">
          <w:marLeft w:val="480"/>
          <w:marRight w:val="0"/>
          <w:marTop w:val="0"/>
          <w:marBottom w:val="0"/>
          <w:divBdr>
            <w:top w:val="none" w:sz="0" w:space="0" w:color="auto"/>
            <w:left w:val="none" w:sz="0" w:space="0" w:color="auto"/>
            <w:bottom w:val="none" w:sz="0" w:space="0" w:color="auto"/>
            <w:right w:val="none" w:sz="0" w:space="0" w:color="auto"/>
          </w:divBdr>
        </w:div>
        <w:div w:id="1724133926">
          <w:marLeft w:val="480"/>
          <w:marRight w:val="0"/>
          <w:marTop w:val="0"/>
          <w:marBottom w:val="0"/>
          <w:divBdr>
            <w:top w:val="none" w:sz="0" w:space="0" w:color="auto"/>
            <w:left w:val="none" w:sz="0" w:space="0" w:color="auto"/>
            <w:bottom w:val="none" w:sz="0" w:space="0" w:color="auto"/>
            <w:right w:val="none" w:sz="0" w:space="0" w:color="auto"/>
          </w:divBdr>
        </w:div>
        <w:div w:id="1951934985">
          <w:marLeft w:val="480"/>
          <w:marRight w:val="0"/>
          <w:marTop w:val="0"/>
          <w:marBottom w:val="0"/>
          <w:divBdr>
            <w:top w:val="none" w:sz="0" w:space="0" w:color="auto"/>
            <w:left w:val="none" w:sz="0" w:space="0" w:color="auto"/>
            <w:bottom w:val="none" w:sz="0" w:space="0" w:color="auto"/>
            <w:right w:val="none" w:sz="0" w:space="0" w:color="auto"/>
          </w:divBdr>
        </w:div>
        <w:div w:id="588081420">
          <w:marLeft w:val="480"/>
          <w:marRight w:val="0"/>
          <w:marTop w:val="0"/>
          <w:marBottom w:val="0"/>
          <w:divBdr>
            <w:top w:val="none" w:sz="0" w:space="0" w:color="auto"/>
            <w:left w:val="none" w:sz="0" w:space="0" w:color="auto"/>
            <w:bottom w:val="none" w:sz="0" w:space="0" w:color="auto"/>
            <w:right w:val="none" w:sz="0" w:space="0" w:color="auto"/>
          </w:divBdr>
        </w:div>
        <w:div w:id="1788772296">
          <w:marLeft w:val="480"/>
          <w:marRight w:val="0"/>
          <w:marTop w:val="0"/>
          <w:marBottom w:val="0"/>
          <w:divBdr>
            <w:top w:val="none" w:sz="0" w:space="0" w:color="auto"/>
            <w:left w:val="none" w:sz="0" w:space="0" w:color="auto"/>
            <w:bottom w:val="none" w:sz="0" w:space="0" w:color="auto"/>
            <w:right w:val="none" w:sz="0" w:space="0" w:color="auto"/>
          </w:divBdr>
        </w:div>
        <w:div w:id="1580870264">
          <w:marLeft w:val="480"/>
          <w:marRight w:val="0"/>
          <w:marTop w:val="0"/>
          <w:marBottom w:val="0"/>
          <w:divBdr>
            <w:top w:val="none" w:sz="0" w:space="0" w:color="auto"/>
            <w:left w:val="none" w:sz="0" w:space="0" w:color="auto"/>
            <w:bottom w:val="none" w:sz="0" w:space="0" w:color="auto"/>
            <w:right w:val="none" w:sz="0" w:space="0" w:color="auto"/>
          </w:divBdr>
        </w:div>
        <w:div w:id="1864587960">
          <w:marLeft w:val="480"/>
          <w:marRight w:val="0"/>
          <w:marTop w:val="0"/>
          <w:marBottom w:val="0"/>
          <w:divBdr>
            <w:top w:val="none" w:sz="0" w:space="0" w:color="auto"/>
            <w:left w:val="none" w:sz="0" w:space="0" w:color="auto"/>
            <w:bottom w:val="none" w:sz="0" w:space="0" w:color="auto"/>
            <w:right w:val="none" w:sz="0" w:space="0" w:color="auto"/>
          </w:divBdr>
        </w:div>
        <w:div w:id="631250471">
          <w:marLeft w:val="480"/>
          <w:marRight w:val="0"/>
          <w:marTop w:val="0"/>
          <w:marBottom w:val="0"/>
          <w:divBdr>
            <w:top w:val="none" w:sz="0" w:space="0" w:color="auto"/>
            <w:left w:val="none" w:sz="0" w:space="0" w:color="auto"/>
            <w:bottom w:val="none" w:sz="0" w:space="0" w:color="auto"/>
            <w:right w:val="none" w:sz="0" w:space="0" w:color="auto"/>
          </w:divBdr>
        </w:div>
        <w:div w:id="1829052615">
          <w:marLeft w:val="480"/>
          <w:marRight w:val="0"/>
          <w:marTop w:val="0"/>
          <w:marBottom w:val="0"/>
          <w:divBdr>
            <w:top w:val="none" w:sz="0" w:space="0" w:color="auto"/>
            <w:left w:val="none" w:sz="0" w:space="0" w:color="auto"/>
            <w:bottom w:val="none" w:sz="0" w:space="0" w:color="auto"/>
            <w:right w:val="none" w:sz="0" w:space="0" w:color="auto"/>
          </w:divBdr>
        </w:div>
        <w:div w:id="1241716616">
          <w:marLeft w:val="480"/>
          <w:marRight w:val="0"/>
          <w:marTop w:val="0"/>
          <w:marBottom w:val="0"/>
          <w:divBdr>
            <w:top w:val="none" w:sz="0" w:space="0" w:color="auto"/>
            <w:left w:val="none" w:sz="0" w:space="0" w:color="auto"/>
            <w:bottom w:val="none" w:sz="0" w:space="0" w:color="auto"/>
            <w:right w:val="none" w:sz="0" w:space="0" w:color="auto"/>
          </w:divBdr>
        </w:div>
        <w:div w:id="1926915412">
          <w:marLeft w:val="480"/>
          <w:marRight w:val="0"/>
          <w:marTop w:val="0"/>
          <w:marBottom w:val="0"/>
          <w:divBdr>
            <w:top w:val="none" w:sz="0" w:space="0" w:color="auto"/>
            <w:left w:val="none" w:sz="0" w:space="0" w:color="auto"/>
            <w:bottom w:val="none" w:sz="0" w:space="0" w:color="auto"/>
            <w:right w:val="none" w:sz="0" w:space="0" w:color="auto"/>
          </w:divBdr>
        </w:div>
        <w:div w:id="1811290549">
          <w:marLeft w:val="480"/>
          <w:marRight w:val="0"/>
          <w:marTop w:val="0"/>
          <w:marBottom w:val="0"/>
          <w:divBdr>
            <w:top w:val="none" w:sz="0" w:space="0" w:color="auto"/>
            <w:left w:val="none" w:sz="0" w:space="0" w:color="auto"/>
            <w:bottom w:val="none" w:sz="0" w:space="0" w:color="auto"/>
            <w:right w:val="none" w:sz="0" w:space="0" w:color="auto"/>
          </w:divBdr>
        </w:div>
        <w:div w:id="1066104670">
          <w:marLeft w:val="480"/>
          <w:marRight w:val="0"/>
          <w:marTop w:val="0"/>
          <w:marBottom w:val="0"/>
          <w:divBdr>
            <w:top w:val="none" w:sz="0" w:space="0" w:color="auto"/>
            <w:left w:val="none" w:sz="0" w:space="0" w:color="auto"/>
            <w:bottom w:val="none" w:sz="0" w:space="0" w:color="auto"/>
            <w:right w:val="none" w:sz="0" w:space="0" w:color="auto"/>
          </w:divBdr>
        </w:div>
        <w:div w:id="1113551963">
          <w:marLeft w:val="480"/>
          <w:marRight w:val="0"/>
          <w:marTop w:val="0"/>
          <w:marBottom w:val="0"/>
          <w:divBdr>
            <w:top w:val="none" w:sz="0" w:space="0" w:color="auto"/>
            <w:left w:val="none" w:sz="0" w:space="0" w:color="auto"/>
            <w:bottom w:val="none" w:sz="0" w:space="0" w:color="auto"/>
            <w:right w:val="none" w:sz="0" w:space="0" w:color="auto"/>
          </w:divBdr>
        </w:div>
        <w:div w:id="262887277">
          <w:marLeft w:val="480"/>
          <w:marRight w:val="0"/>
          <w:marTop w:val="0"/>
          <w:marBottom w:val="0"/>
          <w:divBdr>
            <w:top w:val="none" w:sz="0" w:space="0" w:color="auto"/>
            <w:left w:val="none" w:sz="0" w:space="0" w:color="auto"/>
            <w:bottom w:val="none" w:sz="0" w:space="0" w:color="auto"/>
            <w:right w:val="none" w:sz="0" w:space="0" w:color="auto"/>
          </w:divBdr>
        </w:div>
        <w:div w:id="2031056855">
          <w:marLeft w:val="480"/>
          <w:marRight w:val="0"/>
          <w:marTop w:val="0"/>
          <w:marBottom w:val="0"/>
          <w:divBdr>
            <w:top w:val="none" w:sz="0" w:space="0" w:color="auto"/>
            <w:left w:val="none" w:sz="0" w:space="0" w:color="auto"/>
            <w:bottom w:val="none" w:sz="0" w:space="0" w:color="auto"/>
            <w:right w:val="none" w:sz="0" w:space="0" w:color="auto"/>
          </w:divBdr>
        </w:div>
        <w:div w:id="2135709751">
          <w:marLeft w:val="480"/>
          <w:marRight w:val="0"/>
          <w:marTop w:val="0"/>
          <w:marBottom w:val="0"/>
          <w:divBdr>
            <w:top w:val="none" w:sz="0" w:space="0" w:color="auto"/>
            <w:left w:val="none" w:sz="0" w:space="0" w:color="auto"/>
            <w:bottom w:val="none" w:sz="0" w:space="0" w:color="auto"/>
            <w:right w:val="none" w:sz="0" w:space="0" w:color="auto"/>
          </w:divBdr>
        </w:div>
        <w:div w:id="1700160308">
          <w:marLeft w:val="480"/>
          <w:marRight w:val="0"/>
          <w:marTop w:val="0"/>
          <w:marBottom w:val="0"/>
          <w:divBdr>
            <w:top w:val="none" w:sz="0" w:space="0" w:color="auto"/>
            <w:left w:val="none" w:sz="0" w:space="0" w:color="auto"/>
            <w:bottom w:val="none" w:sz="0" w:space="0" w:color="auto"/>
            <w:right w:val="none" w:sz="0" w:space="0" w:color="auto"/>
          </w:divBdr>
        </w:div>
        <w:div w:id="1840392107">
          <w:marLeft w:val="480"/>
          <w:marRight w:val="0"/>
          <w:marTop w:val="0"/>
          <w:marBottom w:val="0"/>
          <w:divBdr>
            <w:top w:val="none" w:sz="0" w:space="0" w:color="auto"/>
            <w:left w:val="none" w:sz="0" w:space="0" w:color="auto"/>
            <w:bottom w:val="none" w:sz="0" w:space="0" w:color="auto"/>
            <w:right w:val="none" w:sz="0" w:space="0" w:color="auto"/>
          </w:divBdr>
        </w:div>
        <w:div w:id="149291264">
          <w:marLeft w:val="480"/>
          <w:marRight w:val="0"/>
          <w:marTop w:val="0"/>
          <w:marBottom w:val="0"/>
          <w:divBdr>
            <w:top w:val="none" w:sz="0" w:space="0" w:color="auto"/>
            <w:left w:val="none" w:sz="0" w:space="0" w:color="auto"/>
            <w:bottom w:val="none" w:sz="0" w:space="0" w:color="auto"/>
            <w:right w:val="none" w:sz="0" w:space="0" w:color="auto"/>
          </w:divBdr>
        </w:div>
        <w:div w:id="1280525699">
          <w:marLeft w:val="480"/>
          <w:marRight w:val="0"/>
          <w:marTop w:val="0"/>
          <w:marBottom w:val="0"/>
          <w:divBdr>
            <w:top w:val="none" w:sz="0" w:space="0" w:color="auto"/>
            <w:left w:val="none" w:sz="0" w:space="0" w:color="auto"/>
            <w:bottom w:val="none" w:sz="0" w:space="0" w:color="auto"/>
            <w:right w:val="none" w:sz="0" w:space="0" w:color="auto"/>
          </w:divBdr>
        </w:div>
        <w:div w:id="1374698011">
          <w:marLeft w:val="480"/>
          <w:marRight w:val="0"/>
          <w:marTop w:val="0"/>
          <w:marBottom w:val="0"/>
          <w:divBdr>
            <w:top w:val="none" w:sz="0" w:space="0" w:color="auto"/>
            <w:left w:val="none" w:sz="0" w:space="0" w:color="auto"/>
            <w:bottom w:val="none" w:sz="0" w:space="0" w:color="auto"/>
            <w:right w:val="none" w:sz="0" w:space="0" w:color="auto"/>
          </w:divBdr>
        </w:div>
        <w:div w:id="1163662146">
          <w:marLeft w:val="480"/>
          <w:marRight w:val="0"/>
          <w:marTop w:val="0"/>
          <w:marBottom w:val="0"/>
          <w:divBdr>
            <w:top w:val="none" w:sz="0" w:space="0" w:color="auto"/>
            <w:left w:val="none" w:sz="0" w:space="0" w:color="auto"/>
            <w:bottom w:val="none" w:sz="0" w:space="0" w:color="auto"/>
            <w:right w:val="none" w:sz="0" w:space="0" w:color="auto"/>
          </w:divBdr>
        </w:div>
        <w:div w:id="347875942">
          <w:marLeft w:val="480"/>
          <w:marRight w:val="0"/>
          <w:marTop w:val="0"/>
          <w:marBottom w:val="0"/>
          <w:divBdr>
            <w:top w:val="none" w:sz="0" w:space="0" w:color="auto"/>
            <w:left w:val="none" w:sz="0" w:space="0" w:color="auto"/>
            <w:bottom w:val="none" w:sz="0" w:space="0" w:color="auto"/>
            <w:right w:val="none" w:sz="0" w:space="0" w:color="auto"/>
          </w:divBdr>
        </w:div>
        <w:div w:id="1923489628">
          <w:marLeft w:val="480"/>
          <w:marRight w:val="0"/>
          <w:marTop w:val="0"/>
          <w:marBottom w:val="0"/>
          <w:divBdr>
            <w:top w:val="none" w:sz="0" w:space="0" w:color="auto"/>
            <w:left w:val="none" w:sz="0" w:space="0" w:color="auto"/>
            <w:bottom w:val="none" w:sz="0" w:space="0" w:color="auto"/>
            <w:right w:val="none" w:sz="0" w:space="0" w:color="auto"/>
          </w:divBdr>
        </w:div>
        <w:div w:id="2104960016">
          <w:marLeft w:val="480"/>
          <w:marRight w:val="0"/>
          <w:marTop w:val="0"/>
          <w:marBottom w:val="0"/>
          <w:divBdr>
            <w:top w:val="none" w:sz="0" w:space="0" w:color="auto"/>
            <w:left w:val="none" w:sz="0" w:space="0" w:color="auto"/>
            <w:bottom w:val="none" w:sz="0" w:space="0" w:color="auto"/>
            <w:right w:val="none" w:sz="0" w:space="0" w:color="auto"/>
          </w:divBdr>
        </w:div>
        <w:div w:id="815148560">
          <w:marLeft w:val="480"/>
          <w:marRight w:val="0"/>
          <w:marTop w:val="0"/>
          <w:marBottom w:val="0"/>
          <w:divBdr>
            <w:top w:val="none" w:sz="0" w:space="0" w:color="auto"/>
            <w:left w:val="none" w:sz="0" w:space="0" w:color="auto"/>
            <w:bottom w:val="none" w:sz="0" w:space="0" w:color="auto"/>
            <w:right w:val="none" w:sz="0" w:space="0" w:color="auto"/>
          </w:divBdr>
        </w:div>
        <w:div w:id="924727281">
          <w:marLeft w:val="480"/>
          <w:marRight w:val="0"/>
          <w:marTop w:val="0"/>
          <w:marBottom w:val="0"/>
          <w:divBdr>
            <w:top w:val="none" w:sz="0" w:space="0" w:color="auto"/>
            <w:left w:val="none" w:sz="0" w:space="0" w:color="auto"/>
            <w:bottom w:val="none" w:sz="0" w:space="0" w:color="auto"/>
            <w:right w:val="none" w:sz="0" w:space="0" w:color="auto"/>
          </w:divBdr>
        </w:div>
        <w:div w:id="68776672">
          <w:marLeft w:val="480"/>
          <w:marRight w:val="0"/>
          <w:marTop w:val="0"/>
          <w:marBottom w:val="0"/>
          <w:divBdr>
            <w:top w:val="none" w:sz="0" w:space="0" w:color="auto"/>
            <w:left w:val="none" w:sz="0" w:space="0" w:color="auto"/>
            <w:bottom w:val="none" w:sz="0" w:space="0" w:color="auto"/>
            <w:right w:val="none" w:sz="0" w:space="0" w:color="auto"/>
          </w:divBdr>
        </w:div>
        <w:div w:id="2048943102">
          <w:marLeft w:val="480"/>
          <w:marRight w:val="0"/>
          <w:marTop w:val="0"/>
          <w:marBottom w:val="0"/>
          <w:divBdr>
            <w:top w:val="none" w:sz="0" w:space="0" w:color="auto"/>
            <w:left w:val="none" w:sz="0" w:space="0" w:color="auto"/>
            <w:bottom w:val="none" w:sz="0" w:space="0" w:color="auto"/>
            <w:right w:val="none" w:sz="0" w:space="0" w:color="auto"/>
          </w:divBdr>
        </w:div>
        <w:div w:id="807670429">
          <w:marLeft w:val="480"/>
          <w:marRight w:val="0"/>
          <w:marTop w:val="0"/>
          <w:marBottom w:val="0"/>
          <w:divBdr>
            <w:top w:val="none" w:sz="0" w:space="0" w:color="auto"/>
            <w:left w:val="none" w:sz="0" w:space="0" w:color="auto"/>
            <w:bottom w:val="none" w:sz="0" w:space="0" w:color="auto"/>
            <w:right w:val="none" w:sz="0" w:space="0" w:color="auto"/>
          </w:divBdr>
        </w:div>
        <w:div w:id="456678260">
          <w:marLeft w:val="480"/>
          <w:marRight w:val="0"/>
          <w:marTop w:val="0"/>
          <w:marBottom w:val="0"/>
          <w:divBdr>
            <w:top w:val="none" w:sz="0" w:space="0" w:color="auto"/>
            <w:left w:val="none" w:sz="0" w:space="0" w:color="auto"/>
            <w:bottom w:val="none" w:sz="0" w:space="0" w:color="auto"/>
            <w:right w:val="none" w:sz="0" w:space="0" w:color="auto"/>
          </w:divBdr>
        </w:div>
        <w:div w:id="845243820">
          <w:marLeft w:val="480"/>
          <w:marRight w:val="0"/>
          <w:marTop w:val="0"/>
          <w:marBottom w:val="0"/>
          <w:divBdr>
            <w:top w:val="none" w:sz="0" w:space="0" w:color="auto"/>
            <w:left w:val="none" w:sz="0" w:space="0" w:color="auto"/>
            <w:bottom w:val="none" w:sz="0" w:space="0" w:color="auto"/>
            <w:right w:val="none" w:sz="0" w:space="0" w:color="auto"/>
          </w:divBdr>
        </w:div>
        <w:div w:id="912660649">
          <w:marLeft w:val="480"/>
          <w:marRight w:val="0"/>
          <w:marTop w:val="0"/>
          <w:marBottom w:val="0"/>
          <w:divBdr>
            <w:top w:val="none" w:sz="0" w:space="0" w:color="auto"/>
            <w:left w:val="none" w:sz="0" w:space="0" w:color="auto"/>
            <w:bottom w:val="none" w:sz="0" w:space="0" w:color="auto"/>
            <w:right w:val="none" w:sz="0" w:space="0" w:color="auto"/>
          </w:divBdr>
        </w:div>
        <w:div w:id="1218323439">
          <w:marLeft w:val="480"/>
          <w:marRight w:val="0"/>
          <w:marTop w:val="0"/>
          <w:marBottom w:val="0"/>
          <w:divBdr>
            <w:top w:val="none" w:sz="0" w:space="0" w:color="auto"/>
            <w:left w:val="none" w:sz="0" w:space="0" w:color="auto"/>
            <w:bottom w:val="none" w:sz="0" w:space="0" w:color="auto"/>
            <w:right w:val="none" w:sz="0" w:space="0" w:color="auto"/>
          </w:divBdr>
        </w:div>
        <w:div w:id="1164054004">
          <w:marLeft w:val="480"/>
          <w:marRight w:val="0"/>
          <w:marTop w:val="0"/>
          <w:marBottom w:val="0"/>
          <w:divBdr>
            <w:top w:val="none" w:sz="0" w:space="0" w:color="auto"/>
            <w:left w:val="none" w:sz="0" w:space="0" w:color="auto"/>
            <w:bottom w:val="none" w:sz="0" w:space="0" w:color="auto"/>
            <w:right w:val="none" w:sz="0" w:space="0" w:color="auto"/>
          </w:divBdr>
        </w:div>
        <w:div w:id="1720789007">
          <w:marLeft w:val="480"/>
          <w:marRight w:val="0"/>
          <w:marTop w:val="0"/>
          <w:marBottom w:val="0"/>
          <w:divBdr>
            <w:top w:val="none" w:sz="0" w:space="0" w:color="auto"/>
            <w:left w:val="none" w:sz="0" w:space="0" w:color="auto"/>
            <w:bottom w:val="none" w:sz="0" w:space="0" w:color="auto"/>
            <w:right w:val="none" w:sz="0" w:space="0" w:color="auto"/>
          </w:divBdr>
        </w:div>
        <w:div w:id="1108163935">
          <w:marLeft w:val="480"/>
          <w:marRight w:val="0"/>
          <w:marTop w:val="0"/>
          <w:marBottom w:val="0"/>
          <w:divBdr>
            <w:top w:val="none" w:sz="0" w:space="0" w:color="auto"/>
            <w:left w:val="none" w:sz="0" w:space="0" w:color="auto"/>
            <w:bottom w:val="none" w:sz="0" w:space="0" w:color="auto"/>
            <w:right w:val="none" w:sz="0" w:space="0" w:color="auto"/>
          </w:divBdr>
        </w:div>
        <w:div w:id="1058086373">
          <w:marLeft w:val="480"/>
          <w:marRight w:val="0"/>
          <w:marTop w:val="0"/>
          <w:marBottom w:val="0"/>
          <w:divBdr>
            <w:top w:val="none" w:sz="0" w:space="0" w:color="auto"/>
            <w:left w:val="none" w:sz="0" w:space="0" w:color="auto"/>
            <w:bottom w:val="none" w:sz="0" w:space="0" w:color="auto"/>
            <w:right w:val="none" w:sz="0" w:space="0" w:color="auto"/>
          </w:divBdr>
        </w:div>
        <w:div w:id="42029279">
          <w:marLeft w:val="480"/>
          <w:marRight w:val="0"/>
          <w:marTop w:val="0"/>
          <w:marBottom w:val="0"/>
          <w:divBdr>
            <w:top w:val="none" w:sz="0" w:space="0" w:color="auto"/>
            <w:left w:val="none" w:sz="0" w:space="0" w:color="auto"/>
            <w:bottom w:val="none" w:sz="0" w:space="0" w:color="auto"/>
            <w:right w:val="none" w:sz="0" w:space="0" w:color="auto"/>
          </w:divBdr>
        </w:div>
        <w:div w:id="1892811239">
          <w:marLeft w:val="480"/>
          <w:marRight w:val="0"/>
          <w:marTop w:val="0"/>
          <w:marBottom w:val="0"/>
          <w:divBdr>
            <w:top w:val="none" w:sz="0" w:space="0" w:color="auto"/>
            <w:left w:val="none" w:sz="0" w:space="0" w:color="auto"/>
            <w:bottom w:val="none" w:sz="0" w:space="0" w:color="auto"/>
            <w:right w:val="none" w:sz="0" w:space="0" w:color="auto"/>
          </w:divBdr>
        </w:div>
        <w:div w:id="1912960048">
          <w:marLeft w:val="480"/>
          <w:marRight w:val="0"/>
          <w:marTop w:val="0"/>
          <w:marBottom w:val="0"/>
          <w:divBdr>
            <w:top w:val="none" w:sz="0" w:space="0" w:color="auto"/>
            <w:left w:val="none" w:sz="0" w:space="0" w:color="auto"/>
            <w:bottom w:val="none" w:sz="0" w:space="0" w:color="auto"/>
            <w:right w:val="none" w:sz="0" w:space="0" w:color="auto"/>
          </w:divBdr>
        </w:div>
        <w:div w:id="736633389">
          <w:marLeft w:val="480"/>
          <w:marRight w:val="0"/>
          <w:marTop w:val="0"/>
          <w:marBottom w:val="0"/>
          <w:divBdr>
            <w:top w:val="none" w:sz="0" w:space="0" w:color="auto"/>
            <w:left w:val="none" w:sz="0" w:space="0" w:color="auto"/>
            <w:bottom w:val="none" w:sz="0" w:space="0" w:color="auto"/>
            <w:right w:val="none" w:sz="0" w:space="0" w:color="auto"/>
          </w:divBdr>
        </w:div>
        <w:div w:id="279144861">
          <w:marLeft w:val="480"/>
          <w:marRight w:val="0"/>
          <w:marTop w:val="0"/>
          <w:marBottom w:val="0"/>
          <w:divBdr>
            <w:top w:val="none" w:sz="0" w:space="0" w:color="auto"/>
            <w:left w:val="none" w:sz="0" w:space="0" w:color="auto"/>
            <w:bottom w:val="none" w:sz="0" w:space="0" w:color="auto"/>
            <w:right w:val="none" w:sz="0" w:space="0" w:color="auto"/>
          </w:divBdr>
        </w:div>
        <w:div w:id="94790954">
          <w:marLeft w:val="480"/>
          <w:marRight w:val="0"/>
          <w:marTop w:val="0"/>
          <w:marBottom w:val="0"/>
          <w:divBdr>
            <w:top w:val="none" w:sz="0" w:space="0" w:color="auto"/>
            <w:left w:val="none" w:sz="0" w:space="0" w:color="auto"/>
            <w:bottom w:val="none" w:sz="0" w:space="0" w:color="auto"/>
            <w:right w:val="none" w:sz="0" w:space="0" w:color="auto"/>
          </w:divBdr>
        </w:div>
        <w:div w:id="921185273">
          <w:marLeft w:val="480"/>
          <w:marRight w:val="0"/>
          <w:marTop w:val="0"/>
          <w:marBottom w:val="0"/>
          <w:divBdr>
            <w:top w:val="none" w:sz="0" w:space="0" w:color="auto"/>
            <w:left w:val="none" w:sz="0" w:space="0" w:color="auto"/>
            <w:bottom w:val="none" w:sz="0" w:space="0" w:color="auto"/>
            <w:right w:val="none" w:sz="0" w:space="0" w:color="auto"/>
          </w:divBdr>
        </w:div>
        <w:div w:id="2130587427">
          <w:marLeft w:val="480"/>
          <w:marRight w:val="0"/>
          <w:marTop w:val="0"/>
          <w:marBottom w:val="0"/>
          <w:divBdr>
            <w:top w:val="none" w:sz="0" w:space="0" w:color="auto"/>
            <w:left w:val="none" w:sz="0" w:space="0" w:color="auto"/>
            <w:bottom w:val="none" w:sz="0" w:space="0" w:color="auto"/>
            <w:right w:val="none" w:sz="0" w:space="0" w:color="auto"/>
          </w:divBdr>
        </w:div>
        <w:div w:id="1270089044">
          <w:marLeft w:val="480"/>
          <w:marRight w:val="0"/>
          <w:marTop w:val="0"/>
          <w:marBottom w:val="0"/>
          <w:divBdr>
            <w:top w:val="none" w:sz="0" w:space="0" w:color="auto"/>
            <w:left w:val="none" w:sz="0" w:space="0" w:color="auto"/>
            <w:bottom w:val="none" w:sz="0" w:space="0" w:color="auto"/>
            <w:right w:val="none" w:sz="0" w:space="0" w:color="auto"/>
          </w:divBdr>
        </w:div>
        <w:div w:id="1100031448">
          <w:marLeft w:val="480"/>
          <w:marRight w:val="0"/>
          <w:marTop w:val="0"/>
          <w:marBottom w:val="0"/>
          <w:divBdr>
            <w:top w:val="none" w:sz="0" w:space="0" w:color="auto"/>
            <w:left w:val="none" w:sz="0" w:space="0" w:color="auto"/>
            <w:bottom w:val="none" w:sz="0" w:space="0" w:color="auto"/>
            <w:right w:val="none" w:sz="0" w:space="0" w:color="auto"/>
          </w:divBdr>
        </w:div>
        <w:div w:id="114644818">
          <w:marLeft w:val="480"/>
          <w:marRight w:val="0"/>
          <w:marTop w:val="0"/>
          <w:marBottom w:val="0"/>
          <w:divBdr>
            <w:top w:val="none" w:sz="0" w:space="0" w:color="auto"/>
            <w:left w:val="none" w:sz="0" w:space="0" w:color="auto"/>
            <w:bottom w:val="none" w:sz="0" w:space="0" w:color="auto"/>
            <w:right w:val="none" w:sz="0" w:space="0" w:color="auto"/>
          </w:divBdr>
        </w:div>
        <w:div w:id="1469979772">
          <w:marLeft w:val="480"/>
          <w:marRight w:val="0"/>
          <w:marTop w:val="0"/>
          <w:marBottom w:val="0"/>
          <w:divBdr>
            <w:top w:val="none" w:sz="0" w:space="0" w:color="auto"/>
            <w:left w:val="none" w:sz="0" w:space="0" w:color="auto"/>
            <w:bottom w:val="none" w:sz="0" w:space="0" w:color="auto"/>
            <w:right w:val="none" w:sz="0" w:space="0" w:color="auto"/>
          </w:divBdr>
        </w:div>
        <w:div w:id="1370376641">
          <w:marLeft w:val="480"/>
          <w:marRight w:val="0"/>
          <w:marTop w:val="0"/>
          <w:marBottom w:val="0"/>
          <w:divBdr>
            <w:top w:val="none" w:sz="0" w:space="0" w:color="auto"/>
            <w:left w:val="none" w:sz="0" w:space="0" w:color="auto"/>
            <w:bottom w:val="none" w:sz="0" w:space="0" w:color="auto"/>
            <w:right w:val="none" w:sz="0" w:space="0" w:color="auto"/>
          </w:divBdr>
        </w:div>
        <w:div w:id="1770080094">
          <w:marLeft w:val="480"/>
          <w:marRight w:val="0"/>
          <w:marTop w:val="0"/>
          <w:marBottom w:val="0"/>
          <w:divBdr>
            <w:top w:val="none" w:sz="0" w:space="0" w:color="auto"/>
            <w:left w:val="none" w:sz="0" w:space="0" w:color="auto"/>
            <w:bottom w:val="none" w:sz="0" w:space="0" w:color="auto"/>
            <w:right w:val="none" w:sz="0" w:space="0" w:color="auto"/>
          </w:divBdr>
        </w:div>
        <w:div w:id="2141074314">
          <w:marLeft w:val="480"/>
          <w:marRight w:val="0"/>
          <w:marTop w:val="0"/>
          <w:marBottom w:val="0"/>
          <w:divBdr>
            <w:top w:val="none" w:sz="0" w:space="0" w:color="auto"/>
            <w:left w:val="none" w:sz="0" w:space="0" w:color="auto"/>
            <w:bottom w:val="none" w:sz="0" w:space="0" w:color="auto"/>
            <w:right w:val="none" w:sz="0" w:space="0" w:color="auto"/>
          </w:divBdr>
        </w:div>
        <w:div w:id="401997885">
          <w:marLeft w:val="480"/>
          <w:marRight w:val="0"/>
          <w:marTop w:val="0"/>
          <w:marBottom w:val="0"/>
          <w:divBdr>
            <w:top w:val="none" w:sz="0" w:space="0" w:color="auto"/>
            <w:left w:val="none" w:sz="0" w:space="0" w:color="auto"/>
            <w:bottom w:val="none" w:sz="0" w:space="0" w:color="auto"/>
            <w:right w:val="none" w:sz="0" w:space="0" w:color="auto"/>
          </w:divBdr>
        </w:div>
        <w:div w:id="1278679406">
          <w:marLeft w:val="480"/>
          <w:marRight w:val="0"/>
          <w:marTop w:val="0"/>
          <w:marBottom w:val="0"/>
          <w:divBdr>
            <w:top w:val="none" w:sz="0" w:space="0" w:color="auto"/>
            <w:left w:val="none" w:sz="0" w:space="0" w:color="auto"/>
            <w:bottom w:val="none" w:sz="0" w:space="0" w:color="auto"/>
            <w:right w:val="none" w:sz="0" w:space="0" w:color="auto"/>
          </w:divBdr>
        </w:div>
        <w:div w:id="1129013842">
          <w:marLeft w:val="480"/>
          <w:marRight w:val="0"/>
          <w:marTop w:val="0"/>
          <w:marBottom w:val="0"/>
          <w:divBdr>
            <w:top w:val="none" w:sz="0" w:space="0" w:color="auto"/>
            <w:left w:val="none" w:sz="0" w:space="0" w:color="auto"/>
            <w:bottom w:val="none" w:sz="0" w:space="0" w:color="auto"/>
            <w:right w:val="none" w:sz="0" w:space="0" w:color="auto"/>
          </w:divBdr>
        </w:div>
        <w:div w:id="2051831258">
          <w:marLeft w:val="480"/>
          <w:marRight w:val="0"/>
          <w:marTop w:val="0"/>
          <w:marBottom w:val="0"/>
          <w:divBdr>
            <w:top w:val="none" w:sz="0" w:space="0" w:color="auto"/>
            <w:left w:val="none" w:sz="0" w:space="0" w:color="auto"/>
            <w:bottom w:val="none" w:sz="0" w:space="0" w:color="auto"/>
            <w:right w:val="none" w:sz="0" w:space="0" w:color="auto"/>
          </w:divBdr>
        </w:div>
        <w:div w:id="1956062088">
          <w:marLeft w:val="480"/>
          <w:marRight w:val="0"/>
          <w:marTop w:val="0"/>
          <w:marBottom w:val="0"/>
          <w:divBdr>
            <w:top w:val="none" w:sz="0" w:space="0" w:color="auto"/>
            <w:left w:val="none" w:sz="0" w:space="0" w:color="auto"/>
            <w:bottom w:val="none" w:sz="0" w:space="0" w:color="auto"/>
            <w:right w:val="none" w:sz="0" w:space="0" w:color="auto"/>
          </w:divBdr>
        </w:div>
        <w:div w:id="67046326">
          <w:marLeft w:val="480"/>
          <w:marRight w:val="0"/>
          <w:marTop w:val="0"/>
          <w:marBottom w:val="0"/>
          <w:divBdr>
            <w:top w:val="none" w:sz="0" w:space="0" w:color="auto"/>
            <w:left w:val="none" w:sz="0" w:space="0" w:color="auto"/>
            <w:bottom w:val="none" w:sz="0" w:space="0" w:color="auto"/>
            <w:right w:val="none" w:sz="0" w:space="0" w:color="auto"/>
          </w:divBdr>
        </w:div>
        <w:div w:id="517891487">
          <w:marLeft w:val="480"/>
          <w:marRight w:val="0"/>
          <w:marTop w:val="0"/>
          <w:marBottom w:val="0"/>
          <w:divBdr>
            <w:top w:val="none" w:sz="0" w:space="0" w:color="auto"/>
            <w:left w:val="none" w:sz="0" w:space="0" w:color="auto"/>
            <w:bottom w:val="none" w:sz="0" w:space="0" w:color="auto"/>
            <w:right w:val="none" w:sz="0" w:space="0" w:color="auto"/>
          </w:divBdr>
        </w:div>
        <w:div w:id="1145971749">
          <w:marLeft w:val="480"/>
          <w:marRight w:val="0"/>
          <w:marTop w:val="0"/>
          <w:marBottom w:val="0"/>
          <w:divBdr>
            <w:top w:val="none" w:sz="0" w:space="0" w:color="auto"/>
            <w:left w:val="none" w:sz="0" w:space="0" w:color="auto"/>
            <w:bottom w:val="none" w:sz="0" w:space="0" w:color="auto"/>
            <w:right w:val="none" w:sz="0" w:space="0" w:color="auto"/>
          </w:divBdr>
        </w:div>
        <w:div w:id="218176494">
          <w:marLeft w:val="480"/>
          <w:marRight w:val="0"/>
          <w:marTop w:val="0"/>
          <w:marBottom w:val="0"/>
          <w:divBdr>
            <w:top w:val="none" w:sz="0" w:space="0" w:color="auto"/>
            <w:left w:val="none" w:sz="0" w:space="0" w:color="auto"/>
            <w:bottom w:val="none" w:sz="0" w:space="0" w:color="auto"/>
            <w:right w:val="none" w:sz="0" w:space="0" w:color="auto"/>
          </w:divBdr>
        </w:div>
        <w:div w:id="1958368945">
          <w:marLeft w:val="480"/>
          <w:marRight w:val="0"/>
          <w:marTop w:val="0"/>
          <w:marBottom w:val="0"/>
          <w:divBdr>
            <w:top w:val="none" w:sz="0" w:space="0" w:color="auto"/>
            <w:left w:val="none" w:sz="0" w:space="0" w:color="auto"/>
            <w:bottom w:val="none" w:sz="0" w:space="0" w:color="auto"/>
            <w:right w:val="none" w:sz="0" w:space="0" w:color="auto"/>
          </w:divBdr>
        </w:div>
        <w:div w:id="1940719133">
          <w:marLeft w:val="480"/>
          <w:marRight w:val="0"/>
          <w:marTop w:val="0"/>
          <w:marBottom w:val="0"/>
          <w:divBdr>
            <w:top w:val="none" w:sz="0" w:space="0" w:color="auto"/>
            <w:left w:val="none" w:sz="0" w:space="0" w:color="auto"/>
            <w:bottom w:val="none" w:sz="0" w:space="0" w:color="auto"/>
            <w:right w:val="none" w:sz="0" w:space="0" w:color="auto"/>
          </w:divBdr>
        </w:div>
        <w:div w:id="960309221">
          <w:marLeft w:val="480"/>
          <w:marRight w:val="0"/>
          <w:marTop w:val="0"/>
          <w:marBottom w:val="0"/>
          <w:divBdr>
            <w:top w:val="none" w:sz="0" w:space="0" w:color="auto"/>
            <w:left w:val="none" w:sz="0" w:space="0" w:color="auto"/>
            <w:bottom w:val="none" w:sz="0" w:space="0" w:color="auto"/>
            <w:right w:val="none" w:sz="0" w:space="0" w:color="auto"/>
          </w:divBdr>
        </w:div>
        <w:div w:id="1630353355">
          <w:marLeft w:val="480"/>
          <w:marRight w:val="0"/>
          <w:marTop w:val="0"/>
          <w:marBottom w:val="0"/>
          <w:divBdr>
            <w:top w:val="none" w:sz="0" w:space="0" w:color="auto"/>
            <w:left w:val="none" w:sz="0" w:space="0" w:color="auto"/>
            <w:bottom w:val="none" w:sz="0" w:space="0" w:color="auto"/>
            <w:right w:val="none" w:sz="0" w:space="0" w:color="auto"/>
          </w:divBdr>
        </w:div>
        <w:div w:id="716050026">
          <w:marLeft w:val="480"/>
          <w:marRight w:val="0"/>
          <w:marTop w:val="0"/>
          <w:marBottom w:val="0"/>
          <w:divBdr>
            <w:top w:val="none" w:sz="0" w:space="0" w:color="auto"/>
            <w:left w:val="none" w:sz="0" w:space="0" w:color="auto"/>
            <w:bottom w:val="none" w:sz="0" w:space="0" w:color="auto"/>
            <w:right w:val="none" w:sz="0" w:space="0" w:color="auto"/>
          </w:divBdr>
        </w:div>
        <w:div w:id="1352414509">
          <w:marLeft w:val="480"/>
          <w:marRight w:val="0"/>
          <w:marTop w:val="0"/>
          <w:marBottom w:val="0"/>
          <w:divBdr>
            <w:top w:val="none" w:sz="0" w:space="0" w:color="auto"/>
            <w:left w:val="none" w:sz="0" w:space="0" w:color="auto"/>
            <w:bottom w:val="none" w:sz="0" w:space="0" w:color="auto"/>
            <w:right w:val="none" w:sz="0" w:space="0" w:color="auto"/>
          </w:divBdr>
        </w:div>
        <w:div w:id="1817331835">
          <w:marLeft w:val="480"/>
          <w:marRight w:val="0"/>
          <w:marTop w:val="0"/>
          <w:marBottom w:val="0"/>
          <w:divBdr>
            <w:top w:val="none" w:sz="0" w:space="0" w:color="auto"/>
            <w:left w:val="none" w:sz="0" w:space="0" w:color="auto"/>
            <w:bottom w:val="none" w:sz="0" w:space="0" w:color="auto"/>
            <w:right w:val="none" w:sz="0" w:space="0" w:color="auto"/>
          </w:divBdr>
        </w:div>
        <w:div w:id="117721300">
          <w:marLeft w:val="480"/>
          <w:marRight w:val="0"/>
          <w:marTop w:val="0"/>
          <w:marBottom w:val="0"/>
          <w:divBdr>
            <w:top w:val="none" w:sz="0" w:space="0" w:color="auto"/>
            <w:left w:val="none" w:sz="0" w:space="0" w:color="auto"/>
            <w:bottom w:val="none" w:sz="0" w:space="0" w:color="auto"/>
            <w:right w:val="none" w:sz="0" w:space="0" w:color="auto"/>
          </w:divBdr>
        </w:div>
        <w:div w:id="1570264087">
          <w:marLeft w:val="480"/>
          <w:marRight w:val="0"/>
          <w:marTop w:val="0"/>
          <w:marBottom w:val="0"/>
          <w:divBdr>
            <w:top w:val="none" w:sz="0" w:space="0" w:color="auto"/>
            <w:left w:val="none" w:sz="0" w:space="0" w:color="auto"/>
            <w:bottom w:val="none" w:sz="0" w:space="0" w:color="auto"/>
            <w:right w:val="none" w:sz="0" w:space="0" w:color="auto"/>
          </w:divBdr>
        </w:div>
        <w:div w:id="1957907361">
          <w:marLeft w:val="480"/>
          <w:marRight w:val="0"/>
          <w:marTop w:val="0"/>
          <w:marBottom w:val="0"/>
          <w:divBdr>
            <w:top w:val="none" w:sz="0" w:space="0" w:color="auto"/>
            <w:left w:val="none" w:sz="0" w:space="0" w:color="auto"/>
            <w:bottom w:val="none" w:sz="0" w:space="0" w:color="auto"/>
            <w:right w:val="none" w:sz="0" w:space="0" w:color="auto"/>
          </w:divBdr>
        </w:div>
        <w:div w:id="1776095044">
          <w:marLeft w:val="480"/>
          <w:marRight w:val="0"/>
          <w:marTop w:val="0"/>
          <w:marBottom w:val="0"/>
          <w:divBdr>
            <w:top w:val="none" w:sz="0" w:space="0" w:color="auto"/>
            <w:left w:val="none" w:sz="0" w:space="0" w:color="auto"/>
            <w:bottom w:val="none" w:sz="0" w:space="0" w:color="auto"/>
            <w:right w:val="none" w:sz="0" w:space="0" w:color="auto"/>
          </w:divBdr>
        </w:div>
        <w:div w:id="1297835945">
          <w:marLeft w:val="480"/>
          <w:marRight w:val="0"/>
          <w:marTop w:val="0"/>
          <w:marBottom w:val="0"/>
          <w:divBdr>
            <w:top w:val="none" w:sz="0" w:space="0" w:color="auto"/>
            <w:left w:val="none" w:sz="0" w:space="0" w:color="auto"/>
            <w:bottom w:val="none" w:sz="0" w:space="0" w:color="auto"/>
            <w:right w:val="none" w:sz="0" w:space="0" w:color="auto"/>
          </w:divBdr>
        </w:div>
        <w:div w:id="301152255">
          <w:marLeft w:val="480"/>
          <w:marRight w:val="0"/>
          <w:marTop w:val="0"/>
          <w:marBottom w:val="0"/>
          <w:divBdr>
            <w:top w:val="none" w:sz="0" w:space="0" w:color="auto"/>
            <w:left w:val="none" w:sz="0" w:space="0" w:color="auto"/>
            <w:bottom w:val="none" w:sz="0" w:space="0" w:color="auto"/>
            <w:right w:val="none" w:sz="0" w:space="0" w:color="auto"/>
          </w:divBdr>
        </w:div>
        <w:div w:id="1763404858">
          <w:marLeft w:val="480"/>
          <w:marRight w:val="0"/>
          <w:marTop w:val="0"/>
          <w:marBottom w:val="0"/>
          <w:divBdr>
            <w:top w:val="none" w:sz="0" w:space="0" w:color="auto"/>
            <w:left w:val="none" w:sz="0" w:space="0" w:color="auto"/>
            <w:bottom w:val="none" w:sz="0" w:space="0" w:color="auto"/>
            <w:right w:val="none" w:sz="0" w:space="0" w:color="auto"/>
          </w:divBdr>
        </w:div>
        <w:div w:id="1888833136">
          <w:marLeft w:val="480"/>
          <w:marRight w:val="0"/>
          <w:marTop w:val="0"/>
          <w:marBottom w:val="0"/>
          <w:divBdr>
            <w:top w:val="none" w:sz="0" w:space="0" w:color="auto"/>
            <w:left w:val="none" w:sz="0" w:space="0" w:color="auto"/>
            <w:bottom w:val="none" w:sz="0" w:space="0" w:color="auto"/>
            <w:right w:val="none" w:sz="0" w:space="0" w:color="auto"/>
          </w:divBdr>
        </w:div>
        <w:div w:id="1123229168">
          <w:marLeft w:val="480"/>
          <w:marRight w:val="0"/>
          <w:marTop w:val="0"/>
          <w:marBottom w:val="0"/>
          <w:divBdr>
            <w:top w:val="none" w:sz="0" w:space="0" w:color="auto"/>
            <w:left w:val="none" w:sz="0" w:space="0" w:color="auto"/>
            <w:bottom w:val="none" w:sz="0" w:space="0" w:color="auto"/>
            <w:right w:val="none" w:sz="0" w:space="0" w:color="auto"/>
          </w:divBdr>
        </w:div>
        <w:div w:id="1068503774">
          <w:marLeft w:val="480"/>
          <w:marRight w:val="0"/>
          <w:marTop w:val="0"/>
          <w:marBottom w:val="0"/>
          <w:divBdr>
            <w:top w:val="none" w:sz="0" w:space="0" w:color="auto"/>
            <w:left w:val="none" w:sz="0" w:space="0" w:color="auto"/>
            <w:bottom w:val="none" w:sz="0" w:space="0" w:color="auto"/>
            <w:right w:val="none" w:sz="0" w:space="0" w:color="auto"/>
          </w:divBdr>
        </w:div>
        <w:div w:id="7027167">
          <w:marLeft w:val="480"/>
          <w:marRight w:val="0"/>
          <w:marTop w:val="0"/>
          <w:marBottom w:val="0"/>
          <w:divBdr>
            <w:top w:val="none" w:sz="0" w:space="0" w:color="auto"/>
            <w:left w:val="none" w:sz="0" w:space="0" w:color="auto"/>
            <w:bottom w:val="none" w:sz="0" w:space="0" w:color="auto"/>
            <w:right w:val="none" w:sz="0" w:space="0" w:color="auto"/>
          </w:divBdr>
        </w:div>
        <w:div w:id="1996369792">
          <w:marLeft w:val="480"/>
          <w:marRight w:val="0"/>
          <w:marTop w:val="0"/>
          <w:marBottom w:val="0"/>
          <w:divBdr>
            <w:top w:val="none" w:sz="0" w:space="0" w:color="auto"/>
            <w:left w:val="none" w:sz="0" w:space="0" w:color="auto"/>
            <w:bottom w:val="none" w:sz="0" w:space="0" w:color="auto"/>
            <w:right w:val="none" w:sz="0" w:space="0" w:color="auto"/>
          </w:divBdr>
        </w:div>
        <w:div w:id="1273978690">
          <w:marLeft w:val="480"/>
          <w:marRight w:val="0"/>
          <w:marTop w:val="0"/>
          <w:marBottom w:val="0"/>
          <w:divBdr>
            <w:top w:val="none" w:sz="0" w:space="0" w:color="auto"/>
            <w:left w:val="none" w:sz="0" w:space="0" w:color="auto"/>
            <w:bottom w:val="none" w:sz="0" w:space="0" w:color="auto"/>
            <w:right w:val="none" w:sz="0" w:space="0" w:color="auto"/>
          </w:divBdr>
        </w:div>
        <w:div w:id="774638288">
          <w:marLeft w:val="480"/>
          <w:marRight w:val="0"/>
          <w:marTop w:val="0"/>
          <w:marBottom w:val="0"/>
          <w:divBdr>
            <w:top w:val="none" w:sz="0" w:space="0" w:color="auto"/>
            <w:left w:val="none" w:sz="0" w:space="0" w:color="auto"/>
            <w:bottom w:val="none" w:sz="0" w:space="0" w:color="auto"/>
            <w:right w:val="none" w:sz="0" w:space="0" w:color="auto"/>
          </w:divBdr>
        </w:div>
        <w:div w:id="319968256">
          <w:marLeft w:val="480"/>
          <w:marRight w:val="0"/>
          <w:marTop w:val="0"/>
          <w:marBottom w:val="0"/>
          <w:divBdr>
            <w:top w:val="none" w:sz="0" w:space="0" w:color="auto"/>
            <w:left w:val="none" w:sz="0" w:space="0" w:color="auto"/>
            <w:bottom w:val="none" w:sz="0" w:space="0" w:color="auto"/>
            <w:right w:val="none" w:sz="0" w:space="0" w:color="auto"/>
          </w:divBdr>
        </w:div>
        <w:div w:id="43650166">
          <w:marLeft w:val="480"/>
          <w:marRight w:val="0"/>
          <w:marTop w:val="0"/>
          <w:marBottom w:val="0"/>
          <w:divBdr>
            <w:top w:val="none" w:sz="0" w:space="0" w:color="auto"/>
            <w:left w:val="none" w:sz="0" w:space="0" w:color="auto"/>
            <w:bottom w:val="none" w:sz="0" w:space="0" w:color="auto"/>
            <w:right w:val="none" w:sz="0" w:space="0" w:color="auto"/>
          </w:divBdr>
        </w:div>
        <w:div w:id="1664579320">
          <w:marLeft w:val="480"/>
          <w:marRight w:val="0"/>
          <w:marTop w:val="0"/>
          <w:marBottom w:val="0"/>
          <w:divBdr>
            <w:top w:val="none" w:sz="0" w:space="0" w:color="auto"/>
            <w:left w:val="none" w:sz="0" w:space="0" w:color="auto"/>
            <w:bottom w:val="none" w:sz="0" w:space="0" w:color="auto"/>
            <w:right w:val="none" w:sz="0" w:space="0" w:color="auto"/>
          </w:divBdr>
        </w:div>
        <w:div w:id="1243684484">
          <w:marLeft w:val="480"/>
          <w:marRight w:val="0"/>
          <w:marTop w:val="0"/>
          <w:marBottom w:val="0"/>
          <w:divBdr>
            <w:top w:val="none" w:sz="0" w:space="0" w:color="auto"/>
            <w:left w:val="none" w:sz="0" w:space="0" w:color="auto"/>
            <w:bottom w:val="none" w:sz="0" w:space="0" w:color="auto"/>
            <w:right w:val="none" w:sz="0" w:space="0" w:color="auto"/>
          </w:divBdr>
        </w:div>
        <w:div w:id="704411152">
          <w:marLeft w:val="480"/>
          <w:marRight w:val="0"/>
          <w:marTop w:val="0"/>
          <w:marBottom w:val="0"/>
          <w:divBdr>
            <w:top w:val="none" w:sz="0" w:space="0" w:color="auto"/>
            <w:left w:val="none" w:sz="0" w:space="0" w:color="auto"/>
            <w:bottom w:val="none" w:sz="0" w:space="0" w:color="auto"/>
            <w:right w:val="none" w:sz="0" w:space="0" w:color="auto"/>
          </w:divBdr>
        </w:div>
        <w:div w:id="748817461">
          <w:marLeft w:val="480"/>
          <w:marRight w:val="0"/>
          <w:marTop w:val="0"/>
          <w:marBottom w:val="0"/>
          <w:divBdr>
            <w:top w:val="none" w:sz="0" w:space="0" w:color="auto"/>
            <w:left w:val="none" w:sz="0" w:space="0" w:color="auto"/>
            <w:bottom w:val="none" w:sz="0" w:space="0" w:color="auto"/>
            <w:right w:val="none" w:sz="0" w:space="0" w:color="auto"/>
          </w:divBdr>
        </w:div>
        <w:div w:id="144397930">
          <w:marLeft w:val="480"/>
          <w:marRight w:val="0"/>
          <w:marTop w:val="0"/>
          <w:marBottom w:val="0"/>
          <w:divBdr>
            <w:top w:val="none" w:sz="0" w:space="0" w:color="auto"/>
            <w:left w:val="none" w:sz="0" w:space="0" w:color="auto"/>
            <w:bottom w:val="none" w:sz="0" w:space="0" w:color="auto"/>
            <w:right w:val="none" w:sz="0" w:space="0" w:color="auto"/>
          </w:divBdr>
        </w:div>
        <w:div w:id="1891727745">
          <w:marLeft w:val="480"/>
          <w:marRight w:val="0"/>
          <w:marTop w:val="0"/>
          <w:marBottom w:val="0"/>
          <w:divBdr>
            <w:top w:val="none" w:sz="0" w:space="0" w:color="auto"/>
            <w:left w:val="none" w:sz="0" w:space="0" w:color="auto"/>
            <w:bottom w:val="none" w:sz="0" w:space="0" w:color="auto"/>
            <w:right w:val="none" w:sz="0" w:space="0" w:color="auto"/>
          </w:divBdr>
        </w:div>
        <w:div w:id="874003828">
          <w:marLeft w:val="480"/>
          <w:marRight w:val="0"/>
          <w:marTop w:val="0"/>
          <w:marBottom w:val="0"/>
          <w:divBdr>
            <w:top w:val="none" w:sz="0" w:space="0" w:color="auto"/>
            <w:left w:val="none" w:sz="0" w:space="0" w:color="auto"/>
            <w:bottom w:val="none" w:sz="0" w:space="0" w:color="auto"/>
            <w:right w:val="none" w:sz="0" w:space="0" w:color="auto"/>
          </w:divBdr>
        </w:div>
        <w:div w:id="532576062">
          <w:marLeft w:val="480"/>
          <w:marRight w:val="0"/>
          <w:marTop w:val="0"/>
          <w:marBottom w:val="0"/>
          <w:divBdr>
            <w:top w:val="none" w:sz="0" w:space="0" w:color="auto"/>
            <w:left w:val="none" w:sz="0" w:space="0" w:color="auto"/>
            <w:bottom w:val="none" w:sz="0" w:space="0" w:color="auto"/>
            <w:right w:val="none" w:sz="0" w:space="0" w:color="auto"/>
          </w:divBdr>
        </w:div>
        <w:div w:id="1394697873">
          <w:marLeft w:val="480"/>
          <w:marRight w:val="0"/>
          <w:marTop w:val="0"/>
          <w:marBottom w:val="0"/>
          <w:divBdr>
            <w:top w:val="none" w:sz="0" w:space="0" w:color="auto"/>
            <w:left w:val="none" w:sz="0" w:space="0" w:color="auto"/>
            <w:bottom w:val="none" w:sz="0" w:space="0" w:color="auto"/>
            <w:right w:val="none" w:sz="0" w:space="0" w:color="auto"/>
          </w:divBdr>
        </w:div>
        <w:div w:id="1500151195">
          <w:marLeft w:val="480"/>
          <w:marRight w:val="0"/>
          <w:marTop w:val="0"/>
          <w:marBottom w:val="0"/>
          <w:divBdr>
            <w:top w:val="none" w:sz="0" w:space="0" w:color="auto"/>
            <w:left w:val="none" w:sz="0" w:space="0" w:color="auto"/>
            <w:bottom w:val="none" w:sz="0" w:space="0" w:color="auto"/>
            <w:right w:val="none" w:sz="0" w:space="0" w:color="auto"/>
          </w:divBdr>
        </w:div>
        <w:div w:id="513300088">
          <w:marLeft w:val="480"/>
          <w:marRight w:val="0"/>
          <w:marTop w:val="0"/>
          <w:marBottom w:val="0"/>
          <w:divBdr>
            <w:top w:val="none" w:sz="0" w:space="0" w:color="auto"/>
            <w:left w:val="none" w:sz="0" w:space="0" w:color="auto"/>
            <w:bottom w:val="none" w:sz="0" w:space="0" w:color="auto"/>
            <w:right w:val="none" w:sz="0" w:space="0" w:color="auto"/>
          </w:divBdr>
        </w:div>
        <w:div w:id="825784971">
          <w:marLeft w:val="480"/>
          <w:marRight w:val="0"/>
          <w:marTop w:val="0"/>
          <w:marBottom w:val="0"/>
          <w:divBdr>
            <w:top w:val="none" w:sz="0" w:space="0" w:color="auto"/>
            <w:left w:val="none" w:sz="0" w:space="0" w:color="auto"/>
            <w:bottom w:val="none" w:sz="0" w:space="0" w:color="auto"/>
            <w:right w:val="none" w:sz="0" w:space="0" w:color="auto"/>
          </w:divBdr>
        </w:div>
        <w:div w:id="646864413">
          <w:marLeft w:val="480"/>
          <w:marRight w:val="0"/>
          <w:marTop w:val="0"/>
          <w:marBottom w:val="0"/>
          <w:divBdr>
            <w:top w:val="none" w:sz="0" w:space="0" w:color="auto"/>
            <w:left w:val="none" w:sz="0" w:space="0" w:color="auto"/>
            <w:bottom w:val="none" w:sz="0" w:space="0" w:color="auto"/>
            <w:right w:val="none" w:sz="0" w:space="0" w:color="auto"/>
          </w:divBdr>
        </w:div>
        <w:div w:id="859701966">
          <w:marLeft w:val="480"/>
          <w:marRight w:val="0"/>
          <w:marTop w:val="0"/>
          <w:marBottom w:val="0"/>
          <w:divBdr>
            <w:top w:val="none" w:sz="0" w:space="0" w:color="auto"/>
            <w:left w:val="none" w:sz="0" w:space="0" w:color="auto"/>
            <w:bottom w:val="none" w:sz="0" w:space="0" w:color="auto"/>
            <w:right w:val="none" w:sz="0" w:space="0" w:color="auto"/>
          </w:divBdr>
        </w:div>
        <w:div w:id="812021209">
          <w:marLeft w:val="480"/>
          <w:marRight w:val="0"/>
          <w:marTop w:val="0"/>
          <w:marBottom w:val="0"/>
          <w:divBdr>
            <w:top w:val="none" w:sz="0" w:space="0" w:color="auto"/>
            <w:left w:val="none" w:sz="0" w:space="0" w:color="auto"/>
            <w:bottom w:val="none" w:sz="0" w:space="0" w:color="auto"/>
            <w:right w:val="none" w:sz="0" w:space="0" w:color="auto"/>
          </w:divBdr>
        </w:div>
        <w:div w:id="1108308404">
          <w:marLeft w:val="480"/>
          <w:marRight w:val="0"/>
          <w:marTop w:val="0"/>
          <w:marBottom w:val="0"/>
          <w:divBdr>
            <w:top w:val="none" w:sz="0" w:space="0" w:color="auto"/>
            <w:left w:val="none" w:sz="0" w:space="0" w:color="auto"/>
            <w:bottom w:val="none" w:sz="0" w:space="0" w:color="auto"/>
            <w:right w:val="none" w:sz="0" w:space="0" w:color="auto"/>
          </w:divBdr>
        </w:div>
        <w:div w:id="1869486563">
          <w:marLeft w:val="480"/>
          <w:marRight w:val="0"/>
          <w:marTop w:val="0"/>
          <w:marBottom w:val="0"/>
          <w:divBdr>
            <w:top w:val="none" w:sz="0" w:space="0" w:color="auto"/>
            <w:left w:val="none" w:sz="0" w:space="0" w:color="auto"/>
            <w:bottom w:val="none" w:sz="0" w:space="0" w:color="auto"/>
            <w:right w:val="none" w:sz="0" w:space="0" w:color="auto"/>
          </w:divBdr>
        </w:div>
        <w:div w:id="2092044481">
          <w:marLeft w:val="480"/>
          <w:marRight w:val="0"/>
          <w:marTop w:val="0"/>
          <w:marBottom w:val="0"/>
          <w:divBdr>
            <w:top w:val="none" w:sz="0" w:space="0" w:color="auto"/>
            <w:left w:val="none" w:sz="0" w:space="0" w:color="auto"/>
            <w:bottom w:val="none" w:sz="0" w:space="0" w:color="auto"/>
            <w:right w:val="none" w:sz="0" w:space="0" w:color="auto"/>
          </w:divBdr>
        </w:div>
        <w:div w:id="1570993654">
          <w:marLeft w:val="480"/>
          <w:marRight w:val="0"/>
          <w:marTop w:val="0"/>
          <w:marBottom w:val="0"/>
          <w:divBdr>
            <w:top w:val="none" w:sz="0" w:space="0" w:color="auto"/>
            <w:left w:val="none" w:sz="0" w:space="0" w:color="auto"/>
            <w:bottom w:val="none" w:sz="0" w:space="0" w:color="auto"/>
            <w:right w:val="none" w:sz="0" w:space="0" w:color="auto"/>
          </w:divBdr>
        </w:div>
        <w:div w:id="331563729">
          <w:marLeft w:val="480"/>
          <w:marRight w:val="0"/>
          <w:marTop w:val="0"/>
          <w:marBottom w:val="0"/>
          <w:divBdr>
            <w:top w:val="none" w:sz="0" w:space="0" w:color="auto"/>
            <w:left w:val="none" w:sz="0" w:space="0" w:color="auto"/>
            <w:bottom w:val="none" w:sz="0" w:space="0" w:color="auto"/>
            <w:right w:val="none" w:sz="0" w:space="0" w:color="auto"/>
          </w:divBdr>
        </w:div>
        <w:div w:id="291987084">
          <w:marLeft w:val="480"/>
          <w:marRight w:val="0"/>
          <w:marTop w:val="0"/>
          <w:marBottom w:val="0"/>
          <w:divBdr>
            <w:top w:val="none" w:sz="0" w:space="0" w:color="auto"/>
            <w:left w:val="none" w:sz="0" w:space="0" w:color="auto"/>
            <w:bottom w:val="none" w:sz="0" w:space="0" w:color="auto"/>
            <w:right w:val="none" w:sz="0" w:space="0" w:color="auto"/>
          </w:divBdr>
        </w:div>
        <w:div w:id="1135678335">
          <w:marLeft w:val="480"/>
          <w:marRight w:val="0"/>
          <w:marTop w:val="0"/>
          <w:marBottom w:val="0"/>
          <w:divBdr>
            <w:top w:val="none" w:sz="0" w:space="0" w:color="auto"/>
            <w:left w:val="none" w:sz="0" w:space="0" w:color="auto"/>
            <w:bottom w:val="none" w:sz="0" w:space="0" w:color="auto"/>
            <w:right w:val="none" w:sz="0" w:space="0" w:color="auto"/>
          </w:divBdr>
        </w:div>
        <w:div w:id="1900746149">
          <w:marLeft w:val="480"/>
          <w:marRight w:val="0"/>
          <w:marTop w:val="0"/>
          <w:marBottom w:val="0"/>
          <w:divBdr>
            <w:top w:val="none" w:sz="0" w:space="0" w:color="auto"/>
            <w:left w:val="none" w:sz="0" w:space="0" w:color="auto"/>
            <w:bottom w:val="none" w:sz="0" w:space="0" w:color="auto"/>
            <w:right w:val="none" w:sz="0" w:space="0" w:color="auto"/>
          </w:divBdr>
        </w:div>
        <w:div w:id="1790662801">
          <w:marLeft w:val="480"/>
          <w:marRight w:val="0"/>
          <w:marTop w:val="0"/>
          <w:marBottom w:val="0"/>
          <w:divBdr>
            <w:top w:val="none" w:sz="0" w:space="0" w:color="auto"/>
            <w:left w:val="none" w:sz="0" w:space="0" w:color="auto"/>
            <w:bottom w:val="none" w:sz="0" w:space="0" w:color="auto"/>
            <w:right w:val="none" w:sz="0" w:space="0" w:color="auto"/>
          </w:divBdr>
        </w:div>
        <w:div w:id="542718350">
          <w:marLeft w:val="480"/>
          <w:marRight w:val="0"/>
          <w:marTop w:val="0"/>
          <w:marBottom w:val="0"/>
          <w:divBdr>
            <w:top w:val="none" w:sz="0" w:space="0" w:color="auto"/>
            <w:left w:val="none" w:sz="0" w:space="0" w:color="auto"/>
            <w:bottom w:val="none" w:sz="0" w:space="0" w:color="auto"/>
            <w:right w:val="none" w:sz="0" w:space="0" w:color="auto"/>
          </w:divBdr>
        </w:div>
        <w:div w:id="1280139870">
          <w:marLeft w:val="480"/>
          <w:marRight w:val="0"/>
          <w:marTop w:val="0"/>
          <w:marBottom w:val="0"/>
          <w:divBdr>
            <w:top w:val="none" w:sz="0" w:space="0" w:color="auto"/>
            <w:left w:val="none" w:sz="0" w:space="0" w:color="auto"/>
            <w:bottom w:val="none" w:sz="0" w:space="0" w:color="auto"/>
            <w:right w:val="none" w:sz="0" w:space="0" w:color="auto"/>
          </w:divBdr>
        </w:div>
        <w:div w:id="1872568318">
          <w:marLeft w:val="480"/>
          <w:marRight w:val="0"/>
          <w:marTop w:val="0"/>
          <w:marBottom w:val="0"/>
          <w:divBdr>
            <w:top w:val="none" w:sz="0" w:space="0" w:color="auto"/>
            <w:left w:val="none" w:sz="0" w:space="0" w:color="auto"/>
            <w:bottom w:val="none" w:sz="0" w:space="0" w:color="auto"/>
            <w:right w:val="none" w:sz="0" w:space="0" w:color="auto"/>
          </w:divBdr>
        </w:div>
        <w:div w:id="191579863">
          <w:marLeft w:val="480"/>
          <w:marRight w:val="0"/>
          <w:marTop w:val="0"/>
          <w:marBottom w:val="0"/>
          <w:divBdr>
            <w:top w:val="none" w:sz="0" w:space="0" w:color="auto"/>
            <w:left w:val="none" w:sz="0" w:space="0" w:color="auto"/>
            <w:bottom w:val="none" w:sz="0" w:space="0" w:color="auto"/>
            <w:right w:val="none" w:sz="0" w:space="0" w:color="auto"/>
          </w:divBdr>
        </w:div>
        <w:div w:id="856694997">
          <w:marLeft w:val="480"/>
          <w:marRight w:val="0"/>
          <w:marTop w:val="0"/>
          <w:marBottom w:val="0"/>
          <w:divBdr>
            <w:top w:val="none" w:sz="0" w:space="0" w:color="auto"/>
            <w:left w:val="none" w:sz="0" w:space="0" w:color="auto"/>
            <w:bottom w:val="none" w:sz="0" w:space="0" w:color="auto"/>
            <w:right w:val="none" w:sz="0" w:space="0" w:color="auto"/>
          </w:divBdr>
        </w:div>
        <w:div w:id="1142313534">
          <w:marLeft w:val="480"/>
          <w:marRight w:val="0"/>
          <w:marTop w:val="0"/>
          <w:marBottom w:val="0"/>
          <w:divBdr>
            <w:top w:val="none" w:sz="0" w:space="0" w:color="auto"/>
            <w:left w:val="none" w:sz="0" w:space="0" w:color="auto"/>
            <w:bottom w:val="none" w:sz="0" w:space="0" w:color="auto"/>
            <w:right w:val="none" w:sz="0" w:space="0" w:color="auto"/>
          </w:divBdr>
        </w:div>
        <w:div w:id="2052727064">
          <w:marLeft w:val="480"/>
          <w:marRight w:val="0"/>
          <w:marTop w:val="0"/>
          <w:marBottom w:val="0"/>
          <w:divBdr>
            <w:top w:val="none" w:sz="0" w:space="0" w:color="auto"/>
            <w:left w:val="none" w:sz="0" w:space="0" w:color="auto"/>
            <w:bottom w:val="none" w:sz="0" w:space="0" w:color="auto"/>
            <w:right w:val="none" w:sz="0" w:space="0" w:color="auto"/>
          </w:divBdr>
        </w:div>
        <w:div w:id="634991523">
          <w:marLeft w:val="480"/>
          <w:marRight w:val="0"/>
          <w:marTop w:val="0"/>
          <w:marBottom w:val="0"/>
          <w:divBdr>
            <w:top w:val="none" w:sz="0" w:space="0" w:color="auto"/>
            <w:left w:val="none" w:sz="0" w:space="0" w:color="auto"/>
            <w:bottom w:val="none" w:sz="0" w:space="0" w:color="auto"/>
            <w:right w:val="none" w:sz="0" w:space="0" w:color="auto"/>
          </w:divBdr>
        </w:div>
        <w:div w:id="1492479743">
          <w:marLeft w:val="480"/>
          <w:marRight w:val="0"/>
          <w:marTop w:val="0"/>
          <w:marBottom w:val="0"/>
          <w:divBdr>
            <w:top w:val="none" w:sz="0" w:space="0" w:color="auto"/>
            <w:left w:val="none" w:sz="0" w:space="0" w:color="auto"/>
            <w:bottom w:val="none" w:sz="0" w:space="0" w:color="auto"/>
            <w:right w:val="none" w:sz="0" w:space="0" w:color="auto"/>
          </w:divBdr>
        </w:div>
        <w:div w:id="1474450474">
          <w:marLeft w:val="480"/>
          <w:marRight w:val="0"/>
          <w:marTop w:val="0"/>
          <w:marBottom w:val="0"/>
          <w:divBdr>
            <w:top w:val="none" w:sz="0" w:space="0" w:color="auto"/>
            <w:left w:val="none" w:sz="0" w:space="0" w:color="auto"/>
            <w:bottom w:val="none" w:sz="0" w:space="0" w:color="auto"/>
            <w:right w:val="none" w:sz="0" w:space="0" w:color="auto"/>
          </w:divBdr>
        </w:div>
        <w:div w:id="1335185683">
          <w:marLeft w:val="480"/>
          <w:marRight w:val="0"/>
          <w:marTop w:val="0"/>
          <w:marBottom w:val="0"/>
          <w:divBdr>
            <w:top w:val="none" w:sz="0" w:space="0" w:color="auto"/>
            <w:left w:val="none" w:sz="0" w:space="0" w:color="auto"/>
            <w:bottom w:val="none" w:sz="0" w:space="0" w:color="auto"/>
            <w:right w:val="none" w:sz="0" w:space="0" w:color="auto"/>
          </w:divBdr>
        </w:div>
        <w:div w:id="1878816417">
          <w:marLeft w:val="480"/>
          <w:marRight w:val="0"/>
          <w:marTop w:val="0"/>
          <w:marBottom w:val="0"/>
          <w:divBdr>
            <w:top w:val="none" w:sz="0" w:space="0" w:color="auto"/>
            <w:left w:val="none" w:sz="0" w:space="0" w:color="auto"/>
            <w:bottom w:val="none" w:sz="0" w:space="0" w:color="auto"/>
            <w:right w:val="none" w:sz="0" w:space="0" w:color="auto"/>
          </w:divBdr>
        </w:div>
        <w:div w:id="1025639096">
          <w:marLeft w:val="480"/>
          <w:marRight w:val="0"/>
          <w:marTop w:val="0"/>
          <w:marBottom w:val="0"/>
          <w:divBdr>
            <w:top w:val="none" w:sz="0" w:space="0" w:color="auto"/>
            <w:left w:val="none" w:sz="0" w:space="0" w:color="auto"/>
            <w:bottom w:val="none" w:sz="0" w:space="0" w:color="auto"/>
            <w:right w:val="none" w:sz="0" w:space="0" w:color="auto"/>
          </w:divBdr>
        </w:div>
        <w:div w:id="406345451">
          <w:marLeft w:val="480"/>
          <w:marRight w:val="0"/>
          <w:marTop w:val="0"/>
          <w:marBottom w:val="0"/>
          <w:divBdr>
            <w:top w:val="none" w:sz="0" w:space="0" w:color="auto"/>
            <w:left w:val="none" w:sz="0" w:space="0" w:color="auto"/>
            <w:bottom w:val="none" w:sz="0" w:space="0" w:color="auto"/>
            <w:right w:val="none" w:sz="0" w:space="0" w:color="auto"/>
          </w:divBdr>
        </w:div>
        <w:div w:id="1361395303">
          <w:marLeft w:val="480"/>
          <w:marRight w:val="0"/>
          <w:marTop w:val="0"/>
          <w:marBottom w:val="0"/>
          <w:divBdr>
            <w:top w:val="none" w:sz="0" w:space="0" w:color="auto"/>
            <w:left w:val="none" w:sz="0" w:space="0" w:color="auto"/>
            <w:bottom w:val="none" w:sz="0" w:space="0" w:color="auto"/>
            <w:right w:val="none" w:sz="0" w:space="0" w:color="auto"/>
          </w:divBdr>
        </w:div>
        <w:div w:id="225383469">
          <w:marLeft w:val="480"/>
          <w:marRight w:val="0"/>
          <w:marTop w:val="0"/>
          <w:marBottom w:val="0"/>
          <w:divBdr>
            <w:top w:val="none" w:sz="0" w:space="0" w:color="auto"/>
            <w:left w:val="none" w:sz="0" w:space="0" w:color="auto"/>
            <w:bottom w:val="none" w:sz="0" w:space="0" w:color="auto"/>
            <w:right w:val="none" w:sz="0" w:space="0" w:color="auto"/>
          </w:divBdr>
        </w:div>
        <w:div w:id="2059473999">
          <w:marLeft w:val="480"/>
          <w:marRight w:val="0"/>
          <w:marTop w:val="0"/>
          <w:marBottom w:val="0"/>
          <w:divBdr>
            <w:top w:val="none" w:sz="0" w:space="0" w:color="auto"/>
            <w:left w:val="none" w:sz="0" w:space="0" w:color="auto"/>
            <w:bottom w:val="none" w:sz="0" w:space="0" w:color="auto"/>
            <w:right w:val="none" w:sz="0" w:space="0" w:color="auto"/>
          </w:divBdr>
        </w:div>
        <w:div w:id="1726221637">
          <w:marLeft w:val="480"/>
          <w:marRight w:val="0"/>
          <w:marTop w:val="0"/>
          <w:marBottom w:val="0"/>
          <w:divBdr>
            <w:top w:val="none" w:sz="0" w:space="0" w:color="auto"/>
            <w:left w:val="none" w:sz="0" w:space="0" w:color="auto"/>
            <w:bottom w:val="none" w:sz="0" w:space="0" w:color="auto"/>
            <w:right w:val="none" w:sz="0" w:space="0" w:color="auto"/>
          </w:divBdr>
        </w:div>
        <w:div w:id="327288945">
          <w:marLeft w:val="480"/>
          <w:marRight w:val="0"/>
          <w:marTop w:val="0"/>
          <w:marBottom w:val="0"/>
          <w:divBdr>
            <w:top w:val="none" w:sz="0" w:space="0" w:color="auto"/>
            <w:left w:val="none" w:sz="0" w:space="0" w:color="auto"/>
            <w:bottom w:val="none" w:sz="0" w:space="0" w:color="auto"/>
            <w:right w:val="none" w:sz="0" w:space="0" w:color="auto"/>
          </w:divBdr>
        </w:div>
        <w:div w:id="1675497916">
          <w:marLeft w:val="480"/>
          <w:marRight w:val="0"/>
          <w:marTop w:val="0"/>
          <w:marBottom w:val="0"/>
          <w:divBdr>
            <w:top w:val="none" w:sz="0" w:space="0" w:color="auto"/>
            <w:left w:val="none" w:sz="0" w:space="0" w:color="auto"/>
            <w:bottom w:val="none" w:sz="0" w:space="0" w:color="auto"/>
            <w:right w:val="none" w:sz="0" w:space="0" w:color="auto"/>
          </w:divBdr>
        </w:div>
        <w:div w:id="1228111353">
          <w:marLeft w:val="480"/>
          <w:marRight w:val="0"/>
          <w:marTop w:val="0"/>
          <w:marBottom w:val="0"/>
          <w:divBdr>
            <w:top w:val="none" w:sz="0" w:space="0" w:color="auto"/>
            <w:left w:val="none" w:sz="0" w:space="0" w:color="auto"/>
            <w:bottom w:val="none" w:sz="0" w:space="0" w:color="auto"/>
            <w:right w:val="none" w:sz="0" w:space="0" w:color="auto"/>
          </w:divBdr>
        </w:div>
        <w:div w:id="257519031">
          <w:marLeft w:val="480"/>
          <w:marRight w:val="0"/>
          <w:marTop w:val="0"/>
          <w:marBottom w:val="0"/>
          <w:divBdr>
            <w:top w:val="none" w:sz="0" w:space="0" w:color="auto"/>
            <w:left w:val="none" w:sz="0" w:space="0" w:color="auto"/>
            <w:bottom w:val="none" w:sz="0" w:space="0" w:color="auto"/>
            <w:right w:val="none" w:sz="0" w:space="0" w:color="auto"/>
          </w:divBdr>
        </w:div>
        <w:div w:id="287592155">
          <w:marLeft w:val="480"/>
          <w:marRight w:val="0"/>
          <w:marTop w:val="0"/>
          <w:marBottom w:val="0"/>
          <w:divBdr>
            <w:top w:val="none" w:sz="0" w:space="0" w:color="auto"/>
            <w:left w:val="none" w:sz="0" w:space="0" w:color="auto"/>
            <w:bottom w:val="none" w:sz="0" w:space="0" w:color="auto"/>
            <w:right w:val="none" w:sz="0" w:space="0" w:color="auto"/>
          </w:divBdr>
        </w:div>
        <w:div w:id="1092973658">
          <w:marLeft w:val="480"/>
          <w:marRight w:val="0"/>
          <w:marTop w:val="0"/>
          <w:marBottom w:val="0"/>
          <w:divBdr>
            <w:top w:val="none" w:sz="0" w:space="0" w:color="auto"/>
            <w:left w:val="none" w:sz="0" w:space="0" w:color="auto"/>
            <w:bottom w:val="none" w:sz="0" w:space="0" w:color="auto"/>
            <w:right w:val="none" w:sz="0" w:space="0" w:color="auto"/>
          </w:divBdr>
        </w:div>
        <w:div w:id="669723325">
          <w:marLeft w:val="480"/>
          <w:marRight w:val="0"/>
          <w:marTop w:val="0"/>
          <w:marBottom w:val="0"/>
          <w:divBdr>
            <w:top w:val="none" w:sz="0" w:space="0" w:color="auto"/>
            <w:left w:val="none" w:sz="0" w:space="0" w:color="auto"/>
            <w:bottom w:val="none" w:sz="0" w:space="0" w:color="auto"/>
            <w:right w:val="none" w:sz="0" w:space="0" w:color="auto"/>
          </w:divBdr>
        </w:div>
        <w:div w:id="765344215">
          <w:marLeft w:val="480"/>
          <w:marRight w:val="0"/>
          <w:marTop w:val="0"/>
          <w:marBottom w:val="0"/>
          <w:divBdr>
            <w:top w:val="none" w:sz="0" w:space="0" w:color="auto"/>
            <w:left w:val="none" w:sz="0" w:space="0" w:color="auto"/>
            <w:bottom w:val="none" w:sz="0" w:space="0" w:color="auto"/>
            <w:right w:val="none" w:sz="0" w:space="0" w:color="auto"/>
          </w:divBdr>
        </w:div>
        <w:div w:id="845706445">
          <w:marLeft w:val="480"/>
          <w:marRight w:val="0"/>
          <w:marTop w:val="0"/>
          <w:marBottom w:val="0"/>
          <w:divBdr>
            <w:top w:val="none" w:sz="0" w:space="0" w:color="auto"/>
            <w:left w:val="none" w:sz="0" w:space="0" w:color="auto"/>
            <w:bottom w:val="none" w:sz="0" w:space="0" w:color="auto"/>
            <w:right w:val="none" w:sz="0" w:space="0" w:color="auto"/>
          </w:divBdr>
        </w:div>
        <w:div w:id="2023820888">
          <w:marLeft w:val="480"/>
          <w:marRight w:val="0"/>
          <w:marTop w:val="0"/>
          <w:marBottom w:val="0"/>
          <w:divBdr>
            <w:top w:val="none" w:sz="0" w:space="0" w:color="auto"/>
            <w:left w:val="none" w:sz="0" w:space="0" w:color="auto"/>
            <w:bottom w:val="none" w:sz="0" w:space="0" w:color="auto"/>
            <w:right w:val="none" w:sz="0" w:space="0" w:color="auto"/>
          </w:divBdr>
        </w:div>
        <w:div w:id="1635982236">
          <w:marLeft w:val="480"/>
          <w:marRight w:val="0"/>
          <w:marTop w:val="0"/>
          <w:marBottom w:val="0"/>
          <w:divBdr>
            <w:top w:val="none" w:sz="0" w:space="0" w:color="auto"/>
            <w:left w:val="none" w:sz="0" w:space="0" w:color="auto"/>
            <w:bottom w:val="none" w:sz="0" w:space="0" w:color="auto"/>
            <w:right w:val="none" w:sz="0" w:space="0" w:color="auto"/>
          </w:divBdr>
        </w:div>
        <w:div w:id="21638272">
          <w:marLeft w:val="480"/>
          <w:marRight w:val="0"/>
          <w:marTop w:val="0"/>
          <w:marBottom w:val="0"/>
          <w:divBdr>
            <w:top w:val="none" w:sz="0" w:space="0" w:color="auto"/>
            <w:left w:val="none" w:sz="0" w:space="0" w:color="auto"/>
            <w:bottom w:val="none" w:sz="0" w:space="0" w:color="auto"/>
            <w:right w:val="none" w:sz="0" w:space="0" w:color="auto"/>
          </w:divBdr>
        </w:div>
        <w:div w:id="2022317142">
          <w:marLeft w:val="480"/>
          <w:marRight w:val="0"/>
          <w:marTop w:val="0"/>
          <w:marBottom w:val="0"/>
          <w:divBdr>
            <w:top w:val="none" w:sz="0" w:space="0" w:color="auto"/>
            <w:left w:val="none" w:sz="0" w:space="0" w:color="auto"/>
            <w:bottom w:val="none" w:sz="0" w:space="0" w:color="auto"/>
            <w:right w:val="none" w:sz="0" w:space="0" w:color="auto"/>
          </w:divBdr>
        </w:div>
        <w:div w:id="2096856027">
          <w:marLeft w:val="480"/>
          <w:marRight w:val="0"/>
          <w:marTop w:val="0"/>
          <w:marBottom w:val="0"/>
          <w:divBdr>
            <w:top w:val="none" w:sz="0" w:space="0" w:color="auto"/>
            <w:left w:val="none" w:sz="0" w:space="0" w:color="auto"/>
            <w:bottom w:val="none" w:sz="0" w:space="0" w:color="auto"/>
            <w:right w:val="none" w:sz="0" w:space="0" w:color="auto"/>
          </w:divBdr>
        </w:div>
        <w:div w:id="1090543554">
          <w:marLeft w:val="480"/>
          <w:marRight w:val="0"/>
          <w:marTop w:val="0"/>
          <w:marBottom w:val="0"/>
          <w:divBdr>
            <w:top w:val="none" w:sz="0" w:space="0" w:color="auto"/>
            <w:left w:val="none" w:sz="0" w:space="0" w:color="auto"/>
            <w:bottom w:val="none" w:sz="0" w:space="0" w:color="auto"/>
            <w:right w:val="none" w:sz="0" w:space="0" w:color="auto"/>
          </w:divBdr>
        </w:div>
        <w:div w:id="702900198">
          <w:marLeft w:val="480"/>
          <w:marRight w:val="0"/>
          <w:marTop w:val="0"/>
          <w:marBottom w:val="0"/>
          <w:divBdr>
            <w:top w:val="none" w:sz="0" w:space="0" w:color="auto"/>
            <w:left w:val="none" w:sz="0" w:space="0" w:color="auto"/>
            <w:bottom w:val="none" w:sz="0" w:space="0" w:color="auto"/>
            <w:right w:val="none" w:sz="0" w:space="0" w:color="auto"/>
          </w:divBdr>
        </w:div>
        <w:div w:id="295838955">
          <w:marLeft w:val="480"/>
          <w:marRight w:val="0"/>
          <w:marTop w:val="0"/>
          <w:marBottom w:val="0"/>
          <w:divBdr>
            <w:top w:val="none" w:sz="0" w:space="0" w:color="auto"/>
            <w:left w:val="none" w:sz="0" w:space="0" w:color="auto"/>
            <w:bottom w:val="none" w:sz="0" w:space="0" w:color="auto"/>
            <w:right w:val="none" w:sz="0" w:space="0" w:color="auto"/>
          </w:divBdr>
        </w:div>
        <w:div w:id="942490400">
          <w:marLeft w:val="480"/>
          <w:marRight w:val="0"/>
          <w:marTop w:val="0"/>
          <w:marBottom w:val="0"/>
          <w:divBdr>
            <w:top w:val="none" w:sz="0" w:space="0" w:color="auto"/>
            <w:left w:val="none" w:sz="0" w:space="0" w:color="auto"/>
            <w:bottom w:val="none" w:sz="0" w:space="0" w:color="auto"/>
            <w:right w:val="none" w:sz="0" w:space="0" w:color="auto"/>
          </w:divBdr>
        </w:div>
        <w:div w:id="716734392">
          <w:marLeft w:val="480"/>
          <w:marRight w:val="0"/>
          <w:marTop w:val="0"/>
          <w:marBottom w:val="0"/>
          <w:divBdr>
            <w:top w:val="none" w:sz="0" w:space="0" w:color="auto"/>
            <w:left w:val="none" w:sz="0" w:space="0" w:color="auto"/>
            <w:bottom w:val="none" w:sz="0" w:space="0" w:color="auto"/>
            <w:right w:val="none" w:sz="0" w:space="0" w:color="auto"/>
          </w:divBdr>
        </w:div>
        <w:div w:id="1153638940">
          <w:marLeft w:val="480"/>
          <w:marRight w:val="0"/>
          <w:marTop w:val="0"/>
          <w:marBottom w:val="0"/>
          <w:divBdr>
            <w:top w:val="none" w:sz="0" w:space="0" w:color="auto"/>
            <w:left w:val="none" w:sz="0" w:space="0" w:color="auto"/>
            <w:bottom w:val="none" w:sz="0" w:space="0" w:color="auto"/>
            <w:right w:val="none" w:sz="0" w:space="0" w:color="auto"/>
          </w:divBdr>
        </w:div>
        <w:div w:id="235214789">
          <w:marLeft w:val="480"/>
          <w:marRight w:val="0"/>
          <w:marTop w:val="0"/>
          <w:marBottom w:val="0"/>
          <w:divBdr>
            <w:top w:val="none" w:sz="0" w:space="0" w:color="auto"/>
            <w:left w:val="none" w:sz="0" w:space="0" w:color="auto"/>
            <w:bottom w:val="none" w:sz="0" w:space="0" w:color="auto"/>
            <w:right w:val="none" w:sz="0" w:space="0" w:color="auto"/>
          </w:divBdr>
        </w:div>
        <w:div w:id="815344322">
          <w:marLeft w:val="480"/>
          <w:marRight w:val="0"/>
          <w:marTop w:val="0"/>
          <w:marBottom w:val="0"/>
          <w:divBdr>
            <w:top w:val="none" w:sz="0" w:space="0" w:color="auto"/>
            <w:left w:val="none" w:sz="0" w:space="0" w:color="auto"/>
            <w:bottom w:val="none" w:sz="0" w:space="0" w:color="auto"/>
            <w:right w:val="none" w:sz="0" w:space="0" w:color="auto"/>
          </w:divBdr>
        </w:div>
        <w:div w:id="61678244">
          <w:marLeft w:val="480"/>
          <w:marRight w:val="0"/>
          <w:marTop w:val="0"/>
          <w:marBottom w:val="0"/>
          <w:divBdr>
            <w:top w:val="none" w:sz="0" w:space="0" w:color="auto"/>
            <w:left w:val="none" w:sz="0" w:space="0" w:color="auto"/>
            <w:bottom w:val="none" w:sz="0" w:space="0" w:color="auto"/>
            <w:right w:val="none" w:sz="0" w:space="0" w:color="auto"/>
          </w:divBdr>
        </w:div>
        <w:div w:id="140927599">
          <w:marLeft w:val="480"/>
          <w:marRight w:val="0"/>
          <w:marTop w:val="0"/>
          <w:marBottom w:val="0"/>
          <w:divBdr>
            <w:top w:val="none" w:sz="0" w:space="0" w:color="auto"/>
            <w:left w:val="none" w:sz="0" w:space="0" w:color="auto"/>
            <w:bottom w:val="none" w:sz="0" w:space="0" w:color="auto"/>
            <w:right w:val="none" w:sz="0" w:space="0" w:color="auto"/>
          </w:divBdr>
        </w:div>
        <w:div w:id="1188527057">
          <w:marLeft w:val="480"/>
          <w:marRight w:val="0"/>
          <w:marTop w:val="0"/>
          <w:marBottom w:val="0"/>
          <w:divBdr>
            <w:top w:val="none" w:sz="0" w:space="0" w:color="auto"/>
            <w:left w:val="none" w:sz="0" w:space="0" w:color="auto"/>
            <w:bottom w:val="none" w:sz="0" w:space="0" w:color="auto"/>
            <w:right w:val="none" w:sz="0" w:space="0" w:color="auto"/>
          </w:divBdr>
        </w:div>
        <w:div w:id="1728258444">
          <w:marLeft w:val="480"/>
          <w:marRight w:val="0"/>
          <w:marTop w:val="0"/>
          <w:marBottom w:val="0"/>
          <w:divBdr>
            <w:top w:val="none" w:sz="0" w:space="0" w:color="auto"/>
            <w:left w:val="none" w:sz="0" w:space="0" w:color="auto"/>
            <w:bottom w:val="none" w:sz="0" w:space="0" w:color="auto"/>
            <w:right w:val="none" w:sz="0" w:space="0" w:color="auto"/>
          </w:divBdr>
        </w:div>
        <w:div w:id="359087784">
          <w:marLeft w:val="480"/>
          <w:marRight w:val="0"/>
          <w:marTop w:val="0"/>
          <w:marBottom w:val="0"/>
          <w:divBdr>
            <w:top w:val="none" w:sz="0" w:space="0" w:color="auto"/>
            <w:left w:val="none" w:sz="0" w:space="0" w:color="auto"/>
            <w:bottom w:val="none" w:sz="0" w:space="0" w:color="auto"/>
            <w:right w:val="none" w:sz="0" w:space="0" w:color="auto"/>
          </w:divBdr>
        </w:div>
        <w:div w:id="719594456">
          <w:marLeft w:val="480"/>
          <w:marRight w:val="0"/>
          <w:marTop w:val="0"/>
          <w:marBottom w:val="0"/>
          <w:divBdr>
            <w:top w:val="none" w:sz="0" w:space="0" w:color="auto"/>
            <w:left w:val="none" w:sz="0" w:space="0" w:color="auto"/>
            <w:bottom w:val="none" w:sz="0" w:space="0" w:color="auto"/>
            <w:right w:val="none" w:sz="0" w:space="0" w:color="auto"/>
          </w:divBdr>
        </w:div>
        <w:div w:id="1083263357">
          <w:marLeft w:val="480"/>
          <w:marRight w:val="0"/>
          <w:marTop w:val="0"/>
          <w:marBottom w:val="0"/>
          <w:divBdr>
            <w:top w:val="none" w:sz="0" w:space="0" w:color="auto"/>
            <w:left w:val="none" w:sz="0" w:space="0" w:color="auto"/>
            <w:bottom w:val="none" w:sz="0" w:space="0" w:color="auto"/>
            <w:right w:val="none" w:sz="0" w:space="0" w:color="auto"/>
          </w:divBdr>
        </w:div>
        <w:div w:id="1083449146">
          <w:marLeft w:val="480"/>
          <w:marRight w:val="0"/>
          <w:marTop w:val="0"/>
          <w:marBottom w:val="0"/>
          <w:divBdr>
            <w:top w:val="none" w:sz="0" w:space="0" w:color="auto"/>
            <w:left w:val="none" w:sz="0" w:space="0" w:color="auto"/>
            <w:bottom w:val="none" w:sz="0" w:space="0" w:color="auto"/>
            <w:right w:val="none" w:sz="0" w:space="0" w:color="auto"/>
          </w:divBdr>
        </w:div>
        <w:div w:id="2128305760">
          <w:marLeft w:val="480"/>
          <w:marRight w:val="0"/>
          <w:marTop w:val="0"/>
          <w:marBottom w:val="0"/>
          <w:divBdr>
            <w:top w:val="none" w:sz="0" w:space="0" w:color="auto"/>
            <w:left w:val="none" w:sz="0" w:space="0" w:color="auto"/>
            <w:bottom w:val="none" w:sz="0" w:space="0" w:color="auto"/>
            <w:right w:val="none" w:sz="0" w:space="0" w:color="auto"/>
          </w:divBdr>
        </w:div>
        <w:div w:id="1998339522">
          <w:marLeft w:val="480"/>
          <w:marRight w:val="0"/>
          <w:marTop w:val="0"/>
          <w:marBottom w:val="0"/>
          <w:divBdr>
            <w:top w:val="none" w:sz="0" w:space="0" w:color="auto"/>
            <w:left w:val="none" w:sz="0" w:space="0" w:color="auto"/>
            <w:bottom w:val="none" w:sz="0" w:space="0" w:color="auto"/>
            <w:right w:val="none" w:sz="0" w:space="0" w:color="auto"/>
          </w:divBdr>
        </w:div>
        <w:div w:id="1809780733">
          <w:marLeft w:val="480"/>
          <w:marRight w:val="0"/>
          <w:marTop w:val="0"/>
          <w:marBottom w:val="0"/>
          <w:divBdr>
            <w:top w:val="none" w:sz="0" w:space="0" w:color="auto"/>
            <w:left w:val="none" w:sz="0" w:space="0" w:color="auto"/>
            <w:bottom w:val="none" w:sz="0" w:space="0" w:color="auto"/>
            <w:right w:val="none" w:sz="0" w:space="0" w:color="auto"/>
          </w:divBdr>
        </w:div>
        <w:div w:id="514660893">
          <w:marLeft w:val="480"/>
          <w:marRight w:val="0"/>
          <w:marTop w:val="0"/>
          <w:marBottom w:val="0"/>
          <w:divBdr>
            <w:top w:val="none" w:sz="0" w:space="0" w:color="auto"/>
            <w:left w:val="none" w:sz="0" w:space="0" w:color="auto"/>
            <w:bottom w:val="none" w:sz="0" w:space="0" w:color="auto"/>
            <w:right w:val="none" w:sz="0" w:space="0" w:color="auto"/>
          </w:divBdr>
        </w:div>
        <w:div w:id="791632294">
          <w:marLeft w:val="480"/>
          <w:marRight w:val="0"/>
          <w:marTop w:val="0"/>
          <w:marBottom w:val="0"/>
          <w:divBdr>
            <w:top w:val="none" w:sz="0" w:space="0" w:color="auto"/>
            <w:left w:val="none" w:sz="0" w:space="0" w:color="auto"/>
            <w:bottom w:val="none" w:sz="0" w:space="0" w:color="auto"/>
            <w:right w:val="none" w:sz="0" w:space="0" w:color="auto"/>
          </w:divBdr>
        </w:div>
        <w:div w:id="31080034">
          <w:marLeft w:val="480"/>
          <w:marRight w:val="0"/>
          <w:marTop w:val="0"/>
          <w:marBottom w:val="0"/>
          <w:divBdr>
            <w:top w:val="none" w:sz="0" w:space="0" w:color="auto"/>
            <w:left w:val="none" w:sz="0" w:space="0" w:color="auto"/>
            <w:bottom w:val="none" w:sz="0" w:space="0" w:color="auto"/>
            <w:right w:val="none" w:sz="0" w:space="0" w:color="auto"/>
          </w:divBdr>
        </w:div>
        <w:div w:id="1337801862">
          <w:marLeft w:val="480"/>
          <w:marRight w:val="0"/>
          <w:marTop w:val="0"/>
          <w:marBottom w:val="0"/>
          <w:divBdr>
            <w:top w:val="none" w:sz="0" w:space="0" w:color="auto"/>
            <w:left w:val="none" w:sz="0" w:space="0" w:color="auto"/>
            <w:bottom w:val="none" w:sz="0" w:space="0" w:color="auto"/>
            <w:right w:val="none" w:sz="0" w:space="0" w:color="auto"/>
          </w:divBdr>
        </w:div>
        <w:div w:id="540553447">
          <w:marLeft w:val="480"/>
          <w:marRight w:val="0"/>
          <w:marTop w:val="0"/>
          <w:marBottom w:val="0"/>
          <w:divBdr>
            <w:top w:val="none" w:sz="0" w:space="0" w:color="auto"/>
            <w:left w:val="none" w:sz="0" w:space="0" w:color="auto"/>
            <w:bottom w:val="none" w:sz="0" w:space="0" w:color="auto"/>
            <w:right w:val="none" w:sz="0" w:space="0" w:color="auto"/>
          </w:divBdr>
        </w:div>
        <w:div w:id="2136211597">
          <w:marLeft w:val="480"/>
          <w:marRight w:val="0"/>
          <w:marTop w:val="0"/>
          <w:marBottom w:val="0"/>
          <w:divBdr>
            <w:top w:val="none" w:sz="0" w:space="0" w:color="auto"/>
            <w:left w:val="none" w:sz="0" w:space="0" w:color="auto"/>
            <w:bottom w:val="none" w:sz="0" w:space="0" w:color="auto"/>
            <w:right w:val="none" w:sz="0" w:space="0" w:color="auto"/>
          </w:divBdr>
        </w:div>
        <w:div w:id="255863947">
          <w:marLeft w:val="480"/>
          <w:marRight w:val="0"/>
          <w:marTop w:val="0"/>
          <w:marBottom w:val="0"/>
          <w:divBdr>
            <w:top w:val="none" w:sz="0" w:space="0" w:color="auto"/>
            <w:left w:val="none" w:sz="0" w:space="0" w:color="auto"/>
            <w:bottom w:val="none" w:sz="0" w:space="0" w:color="auto"/>
            <w:right w:val="none" w:sz="0" w:space="0" w:color="auto"/>
          </w:divBdr>
        </w:div>
        <w:div w:id="27149606">
          <w:marLeft w:val="480"/>
          <w:marRight w:val="0"/>
          <w:marTop w:val="0"/>
          <w:marBottom w:val="0"/>
          <w:divBdr>
            <w:top w:val="none" w:sz="0" w:space="0" w:color="auto"/>
            <w:left w:val="none" w:sz="0" w:space="0" w:color="auto"/>
            <w:bottom w:val="none" w:sz="0" w:space="0" w:color="auto"/>
            <w:right w:val="none" w:sz="0" w:space="0" w:color="auto"/>
          </w:divBdr>
        </w:div>
        <w:div w:id="1502768890">
          <w:marLeft w:val="480"/>
          <w:marRight w:val="0"/>
          <w:marTop w:val="0"/>
          <w:marBottom w:val="0"/>
          <w:divBdr>
            <w:top w:val="none" w:sz="0" w:space="0" w:color="auto"/>
            <w:left w:val="none" w:sz="0" w:space="0" w:color="auto"/>
            <w:bottom w:val="none" w:sz="0" w:space="0" w:color="auto"/>
            <w:right w:val="none" w:sz="0" w:space="0" w:color="auto"/>
          </w:divBdr>
        </w:div>
        <w:div w:id="1691879179">
          <w:marLeft w:val="480"/>
          <w:marRight w:val="0"/>
          <w:marTop w:val="0"/>
          <w:marBottom w:val="0"/>
          <w:divBdr>
            <w:top w:val="none" w:sz="0" w:space="0" w:color="auto"/>
            <w:left w:val="none" w:sz="0" w:space="0" w:color="auto"/>
            <w:bottom w:val="none" w:sz="0" w:space="0" w:color="auto"/>
            <w:right w:val="none" w:sz="0" w:space="0" w:color="auto"/>
          </w:divBdr>
        </w:div>
        <w:div w:id="822431372">
          <w:marLeft w:val="480"/>
          <w:marRight w:val="0"/>
          <w:marTop w:val="0"/>
          <w:marBottom w:val="0"/>
          <w:divBdr>
            <w:top w:val="none" w:sz="0" w:space="0" w:color="auto"/>
            <w:left w:val="none" w:sz="0" w:space="0" w:color="auto"/>
            <w:bottom w:val="none" w:sz="0" w:space="0" w:color="auto"/>
            <w:right w:val="none" w:sz="0" w:space="0" w:color="auto"/>
          </w:divBdr>
        </w:div>
        <w:div w:id="1189248272">
          <w:marLeft w:val="480"/>
          <w:marRight w:val="0"/>
          <w:marTop w:val="0"/>
          <w:marBottom w:val="0"/>
          <w:divBdr>
            <w:top w:val="none" w:sz="0" w:space="0" w:color="auto"/>
            <w:left w:val="none" w:sz="0" w:space="0" w:color="auto"/>
            <w:bottom w:val="none" w:sz="0" w:space="0" w:color="auto"/>
            <w:right w:val="none" w:sz="0" w:space="0" w:color="auto"/>
          </w:divBdr>
        </w:div>
        <w:div w:id="1206211241">
          <w:marLeft w:val="480"/>
          <w:marRight w:val="0"/>
          <w:marTop w:val="0"/>
          <w:marBottom w:val="0"/>
          <w:divBdr>
            <w:top w:val="none" w:sz="0" w:space="0" w:color="auto"/>
            <w:left w:val="none" w:sz="0" w:space="0" w:color="auto"/>
            <w:bottom w:val="none" w:sz="0" w:space="0" w:color="auto"/>
            <w:right w:val="none" w:sz="0" w:space="0" w:color="auto"/>
          </w:divBdr>
        </w:div>
        <w:div w:id="147481405">
          <w:marLeft w:val="480"/>
          <w:marRight w:val="0"/>
          <w:marTop w:val="0"/>
          <w:marBottom w:val="0"/>
          <w:divBdr>
            <w:top w:val="none" w:sz="0" w:space="0" w:color="auto"/>
            <w:left w:val="none" w:sz="0" w:space="0" w:color="auto"/>
            <w:bottom w:val="none" w:sz="0" w:space="0" w:color="auto"/>
            <w:right w:val="none" w:sz="0" w:space="0" w:color="auto"/>
          </w:divBdr>
        </w:div>
        <w:div w:id="2114590805">
          <w:marLeft w:val="480"/>
          <w:marRight w:val="0"/>
          <w:marTop w:val="0"/>
          <w:marBottom w:val="0"/>
          <w:divBdr>
            <w:top w:val="none" w:sz="0" w:space="0" w:color="auto"/>
            <w:left w:val="none" w:sz="0" w:space="0" w:color="auto"/>
            <w:bottom w:val="none" w:sz="0" w:space="0" w:color="auto"/>
            <w:right w:val="none" w:sz="0" w:space="0" w:color="auto"/>
          </w:divBdr>
        </w:div>
        <w:div w:id="1549414401">
          <w:marLeft w:val="480"/>
          <w:marRight w:val="0"/>
          <w:marTop w:val="0"/>
          <w:marBottom w:val="0"/>
          <w:divBdr>
            <w:top w:val="none" w:sz="0" w:space="0" w:color="auto"/>
            <w:left w:val="none" w:sz="0" w:space="0" w:color="auto"/>
            <w:bottom w:val="none" w:sz="0" w:space="0" w:color="auto"/>
            <w:right w:val="none" w:sz="0" w:space="0" w:color="auto"/>
          </w:divBdr>
        </w:div>
        <w:div w:id="1780875391">
          <w:marLeft w:val="480"/>
          <w:marRight w:val="0"/>
          <w:marTop w:val="0"/>
          <w:marBottom w:val="0"/>
          <w:divBdr>
            <w:top w:val="none" w:sz="0" w:space="0" w:color="auto"/>
            <w:left w:val="none" w:sz="0" w:space="0" w:color="auto"/>
            <w:bottom w:val="none" w:sz="0" w:space="0" w:color="auto"/>
            <w:right w:val="none" w:sz="0" w:space="0" w:color="auto"/>
          </w:divBdr>
        </w:div>
        <w:div w:id="158817858">
          <w:marLeft w:val="480"/>
          <w:marRight w:val="0"/>
          <w:marTop w:val="0"/>
          <w:marBottom w:val="0"/>
          <w:divBdr>
            <w:top w:val="none" w:sz="0" w:space="0" w:color="auto"/>
            <w:left w:val="none" w:sz="0" w:space="0" w:color="auto"/>
            <w:bottom w:val="none" w:sz="0" w:space="0" w:color="auto"/>
            <w:right w:val="none" w:sz="0" w:space="0" w:color="auto"/>
          </w:divBdr>
        </w:div>
        <w:div w:id="1260716866">
          <w:marLeft w:val="480"/>
          <w:marRight w:val="0"/>
          <w:marTop w:val="0"/>
          <w:marBottom w:val="0"/>
          <w:divBdr>
            <w:top w:val="none" w:sz="0" w:space="0" w:color="auto"/>
            <w:left w:val="none" w:sz="0" w:space="0" w:color="auto"/>
            <w:bottom w:val="none" w:sz="0" w:space="0" w:color="auto"/>
            <w:right w:val="none" w:sz="0" w:space="0" w:color="auto"/>
          </w:divBdr>
        </w:div>
        <w:div w:id="309679983">
          <w:marLeft w:val="480"/>
          <w:marRight w:val="0"/>
          <w:marTop w:val="0"/>
          <w:marBottom w:val="0"/>
          <w:divBdr>
            <w:top w:val="none" w:sz="0" w:space="0" w:color="auto"/>
            <w:left w:val="none" w:sz="0" w:space="0" w:color="auto"/>
            <w:bottom w:val="none" w:sz="0" w:space="0" w:color="auto"/>
            <w:right w:val="none" w:sz="0" w:space="0" w:color="auto"/>
          </w:divBdr>
        </w:div>
        <w:div w:id="235632184">
          <w:marLeft w:val="480"/>
          <w:marRight w:val="0"/>
          <w:marTop w:val="0"/>
          <w:marBottom w:val="0"/>
          <w:divBdr>
            <w:top w:val="none" w:sz="0" w:space="0" w:color="auto"/>
            <w:left w:val="none" w:sz="0" w:space="0" w:color="auto"/>
            <w:bottom w:val="none" w:sz="0" w:space="0" w:color="auto"/>
            <w:right w:val="none" w:sz="0" w:space="0" w:color="auto"/>
          </w:divBdr>
        </w:div>
        <w:div w:id="808858240">
          <w:marLeft w:val="480"/>
          <w:marRight w:val="0"/>
          <w:marTop w:val="0"/>
          <w:marBottom w:val="0"/>
          <w:divBdr>
            <w:top w:val="none" w:sz="0" w:space="0" w:color="auto"/>
            <w:left w:val="none" w:sz="0" w:space="0" w:color="auto"/>
            <w:bottom w:val="none" w:sz="0" w:space="0" w:color="auto"/>
            <w:right w:val="none" w:sz="0" w:space="0" w:color="auto"/>
          </w:divBdr>
        </w:div>
        <w:div w:id="947548105">
          <w:marLeft w:val="480"/>
          <w:marRight w:val="0"/>
          <w:marTop w:val="0"/>
          <w:marBottom w:val="0"/>
          <w:divBdr>
            <w:top w:val="none" w:sz="0" w:space="0" w:color="auto"/>
            <w:left w:val="none" w:sz="0" w:space="0" w:color="auto"/>
            <w:bottom w:val="none" w:sz="0" w:space="0" w:color="auto"/>
            <w:right w:val="none" w:sz="0" w:space="0" w:color="auto"/>
          </w:divBdr>
        </w:div>
        <w:div w:id="186674790">
          <w:marLeft w:val="480"/>
          <w:marRight w:val="0"/>
          <w:marTop w:val="0"/>
          <w:marBottom w:val="0"/>
          <w:divBdr>
            <w:top w:val="none" w:sz="0" w:space="0" w:color="auto"/>
            <w:left w:val="none" w:sz="0" w:space="0" w:color="auto"/>
            <w:bottom w:val="none" w:sz="0" w:space="0" w:color="auto"/>
            <w:right w:val="none" w:sz="0" w:space="0" w:color="auto"/>
          </w:divBdr>
        </w:div>
        <w:div w:id="1490630521">
          <w:marLeft w:val="480"/>
          <w:marRight w:val="0"/>
          <w:marTop w:val="0"/>
          <w:marBottom w:val="0"/>
          <w:divBdr>
            <w:top w:val="none" w:sz="0" w:space="0" w:color="auto"/>
            <w:left w:val="none" w:sz="0" w:space="0" w:color="auto"/>
            <w:bottom w:val="none" w:sz="0" w:space="0" w:color="auto"/>
            <w:right w:val="none" w:sz="0" w:space="0" w:color="auto"/>
          </w:divBdr>
        </w:div>
        <w:div w:id="2055765954">
          <w:marLeft w:val="480"/>
          <w:marRight w:val="0"/>
          <w:marTop w:val="0"/>
          <w:marBottom w:val="0"/>
          <w:divBdr>
            <w:top w:val="none" w:sz="0" w:space="0" w:color="auto"/>
            <w:left w:val="none" w:sz="0" w:space="0" w:color="auto"/>
            <w:bottom w:val="none" w:sz="0" w:space="0" w:color="auto"/>
            <w:right w:val="none" w:sz="0" w:space="0" w:color="auto"/>
          </w:divBdr>
        </w:div>
        <w:div w:id="909578665">
          <w:marLeft w:val="480"/>
          <w:marRight w:val="0"/>
          <w:marTop w:val="0"/>
          <w:marBottom w:val="0"/>
          <w:divBdr>
            <w:top w:val="none" w:sz="0" w:space="0" w:color="auto"/>
            <w:left w:val="none" w:sz="0" w:space="0" w:color="auto"/>
            <w:bottom w:val="none" w:sz="0" w:space="0" w:color="auto"/>
            <w:right w:val="none" w:sz="0" w:space="0" w:color="auto"/>
          </w:divBdr>
        </w:div>
        <w:div w:id="195432231">
          <w:marLeft w:val="480"/>
          <w:marRight w:val="0"/>
          <w:marTop w:val="0"/>
          <w:marBottom w:val="0"/>
          <w:divBdr>
            <w:top w:val="none" w:sz="0" w:space="0" w:color="auto"/>
            <w:left w:val="none" w:sz="0" w:space="0" w:color="auto"/>
            <w:bottom w:val="none" w:sz="0" w:space="0" w:color="auto"/>
            <w:right w:val="none" w:sz="0" w:space="0" w:color="auto"/>
          </w:divBdr>
        </w:div>
        <w:div w:id="1327780432">
          <w:marLeft w:val="480"/>
          <w:marRight w:val="0"/>
          <w:marTop w:val="0"/>
          <w:marBottom w:val="0"/>
          <w:divBdr>
            <w:top w:val="none" w:sz="0" w:space="0" w:color="auto"/>
            <w:left w:val="none" w:sz="0" w:space="0" w:color="auto"/>
            <w:bottom w:val="none" w:sz="0" w:space="0" w:color="auto"/>
            <w:right w:val="none" w:sz="0" w:space="0" w:color="auto"/>
          </w:divBdr>
        </w:div>
        <w:div w:id="350762280">
          <w:marLeft w:val="480"/>
          <w:marRight w:val="0"/>
          <w:marTop w:val="0"/>
          <w:marBottom w:val="0"/>
          <w:divBdr>
            <w:top w:val="none" w:sz="0" w:space="0" w:color="auto"/>
            <w:left w:val="none" w:sz="0" w:space="0" w:color="auto"/>
            <w:bottom w:val="none" w:sz="0" w:space="0" w:color="auto"/>
            <w:right w:val="none" w:sz="0" w:space="0" w:color="auto"/>
          </w:divBdr>
        </w:div>
        <w:div w:id="1808472482">
          <w:marLeft w:val="480"/>
          <w:marRight w:val="0"/>
          <w:marTop w:val="0"/>
          <w:marBottom w:val="0"/>
          <w:divBdr>
            <w:top w:val="none" w:sz="0" w:space="0" w:color="auto"/>
            <w:left w:val="none" w:sz="0" w:space="0" w:color="auto"/>
            <w:bottom w:val="none" w:sz="0" w:space="0" w:color="auto"/>
            <w:right w:val="none" w:sz="0" w:space="0" w:color="auto"/>
          </w:divBdr>
        </w:div>
        <w:div w:id="362947586">
          <w:marLeft w:val="480"/>
          <w:marRight w:val="0"/>
          <w:marTop w:val="0"/>
          <w:marBottom w:val="0"/>
          <w:divBdr>
            <w:top w:val="none" w:sz="0" w:space="0" w:color="auto"/>
            <w:left w:val="none" w:sz="0" w:space="0" w:color="auto"/>
            <w:bottom w:val="none" w:sz="0" w:space="0" w:color="auto"/>
            <w:right w:val="none" w:sz="0" w:space="0" w:color="auto"/>
          </w:divBdr>
        </w:div>
        <w:div w:id="791171865">
          <w:marLeft w:val="480"/>
          <w:marRight w:val="0"/>
          <w:marTop w:val="0"/>
          <w:marBottom w:val="0"/>
          <w:divBdr>
            <w:top w:val="none" w:sz="0" w:space="0" w:color="auto"/>
            <w:left w:val="none" w:sz="0" w:space="0" w:color="auto"/>
            <w:bottom w:val="none" w:sz="0" w:space="0" w:color="auto"/>
            <w:right w:val="none" w:sz="0" w:space="0" w:color="auto"/>
          </w:divBdr>
        </w:div>
        <w:div w:id="1945720583">
          <w:marLeft w:val="480"/>
          <w:marRight w:val="0"/>
          <w:marTop w:val="0"/>
          <w:marBottom w:val="0"/>
          <w:divBdr>
            <w:top w:val="none" w:sz="0" w:space="0" w:color="auto"/>
            <w:left w:val="none" w:sz="0" w:space="0" w:color="auto"/>
            <w:bottom w:val="none" w:sz="0" w:space="0" w:color="auto"/>
            <w:right w:val="none" w:sz="0" w:space="0" w:color="auto"/>
          </w:divBdr>
        </w:div>
        <w:div w:id="942107435">
          <w:marLeft w:val="480"/>
          <w:marRight w:val="0"/>
          <w:marTop w:val="0"/>
          <w:marBottom w:val="0"/>
          <w:divBdr>
            <w:top w:val="none" w:sz="0" w:space="0" w:color="auto"/>
            <w:left w:val="none" w:sz="0" w:space="0" w:color="auto"/>
            <w:bottom w:val="none" w:sz="0" w:space="0" w:color="auto"/>
            <w:right w:val="none" w:sz="0" w:space="0" w:color="auto"/>
          </w:divBdr>
        </w:div>
        <w:div w:id="784076759">
          <w:marLeft w:val="480"/>
          <w:marRight w:val="0"/>
          <w:marTop w:val="0"/>
          <w:marBottom w:val="0"/>
          <w:divBdr>
            <w:top w:val="none" w:sz="0" w:space="0" w:color="auto"/>
            <w:left w:val="none" w:sz="0" w:space="0" w:color="auto"/>
            <w:bottom w:val="none" w:sz="0" w:space="0" w:color="auto"/>
            <w:right w:val="none" w:sz="0" w:space="0" w:color="auto"/>
          </w:divBdr>
        </w:div>
        <w:div w:id="1300645073">
          <w:marLeft w:val="480"/>
          <w:marRight w:val="0"/>
          <w:marTop w:val="0"/>
          <w:marBottom w:val="0"/>
          <w:divBdr>
            <w:top w:val="none" w:sz="0" w:space="0" w:color="auto"/>
            <w:left w:val="none" w:sz="0" w:space="0" w:color="auto"/>
            <w:bottom w:val="none" w:sz="0" w:space="0" w:color="auto"/>
            <w:right w:val="none" w:sz="0" w:space="0" w:color="auto"/>
          </w:divBdr>
        </w:div>
        <w:div w:id="1770814584">
          <w:marLeft w:val="480"/>
          <w:marRight w:val="0"/>
          <w:marTop w:val="0"/>
          <w:marBottom w:val="0"/>
          <w:divBdr>
            <w:top w:val="none" w:sz="0" w:space="0" w:color="auto"/>
            <w:left w:val="none" w:sz="0" w:space="0" w:color="auto"/>
            <w:bottom w:val="none" w:sz="0" w:space="0" w:color="auto"/>
            <w:right w:val="none" w:sz="0" w:space="0" w:color="auto"/>
          </w:divBdr>
        </w:div>
        <w:div w:id="1071730555">
          <w:marLeft w:val="480"/>
          <w:marRight w:val="0"/>
          <w:marTop w:val="0"/>
          <w:marBottom w:val="0"/>
          <w:divBdr>
            <w:top w:val="none" w:sz="0" w:space="0" w:color="auto"/>
            <w:left w:val="none" w:sz="0" w:space="0" w:color="auto"/>
            <w:bottom w:val="none" w:sz="0" w:space="0" w:color="auto"/>
            <w:right w:val="none" w:sz="0" w:space="0" w:color="auto"/>
          </w:divBdr>
        </w:div>
        <w:div w:id="558635489">
          <w:marLeft w:val="480"/>
          <w:marRight w:val="0"/>
          <w:marTop w:val="0"/>
          <w:marBottom w:val="0"/>
          <w:divBdr>
            <w:top w:val="none" w:sz="0" w:space="0" w:color="auto"/>
            <w:left w:val="none" w:sz="0" w:space="0" w:color="auto"/>
            <w:bottom w:val="none" w:sz="0" w:space="0" w:color="auto"/>
            <w:right w:val="none" w:sz="0" w:space="0" w:color="auto"/>
          </w:divBdr>
        </w:div>
        <w:div w:id="1054550716">
          <w:marLeft w:val="480"/>
          <w:marRight w:val="0"/>
          <w:marTop w:val="0"/>
          <w:marBottom w:val="0"/>
          <w:divBdr>
            <w:top w:val="none" w:sz="0" w:space="0" w:color="auto"/>
            <w:left w:val="none" w:sz="0" w:space="0" w:color="auto"/>
            <w:bottom w:val="none" w:sz="0" w:space="0" w:color="auto"/>
            <w:right w:val="none" w:sz="0" w:space="0" w:color="auto"/>
          </w:divBdr>
        </w:div>
        <w:div w:id="1701124145">
          <w:marLeft w:val="480"/>
          <w:marRight w:val="0"/>
          <w:marTop w:val="0"/>
          <w:marBottom w:val="0"/>
          <w:divBdr>
            <w:top w:val="none" w:sz="0" w:space="0" w:color="auto"/>
            <w:left w:val="none" w:sz="0" w:space="0" w:color="auto"/>
            <w:bottom w:val="none" w:sz="0" w:space="0" w:color="auto"/>
            <w:right w:val="none" w:sz="0" w:space="0" w:color="auto"/>
          </w:divBdr>
        </w:div>
        <w:div w:id="1863519809">
          <w:marLeft w:val="480"/>
          <w:marRight w:val="0"/>
          <w:marTop w:val="0"/>
          <w:marBottom w:val="0"/>
          <w:divBdr>
            <w:top w:val="none" w:sz="0" w:space="0" w:color="auto"/>
            <w:left w:val="none" w:sz="0" w:space="0" w:color="auto"/>
            <w:bottom w:val="none" w:sz="0" w:space="0" w:color="auto"/>
            <w:right w:val="none" w:sz="0" w:space="0" w:color="auto"/>
          </w:divBdr>
        </w:div>
        <w:div w:id="739714745">
          <w:marLeft w:val="480"/>
          <w:marRight w:val="0"/>
          <w:marTop w:val="0"/>
          <w:marBottom w:val="0"/>
          <w:divBdr>
            <w:top w:val="none" w:sz="0" w:space="0" w:color="auto"/>
            <w:left w:val="none" w:sz="0" w:space="0" w:color="auto"/>
            <w:bottom w:val="none" w:sz="0" w:space="0" w:color="auto"/>
            <w:right w:val="none" w:sz="0" w:space="0" w:color="auto"/>
          </w:divBdr>
        </w:div>
        <w:div w:id="1329401166">
          <w:marLeft w:val="480"/>
          <w:marRight w:val="0"/>
          <w:marTop w:val="0"/>
          <w:marBottom w:val="0"/>
          <w:divBdr>
            <w:top w:val="none" w:sz="0" w:space="0" w:color="auto"/>
            <w:left w:val="none" w:sz="0" w:space="0" w:color="auto"/>
            <w:bottom w:val="none" w:sz="0" w:space="0" w:color="auto"/>
            <w:right w:val="none" w:sz="0" w:space="0" w:color="auto"/>
          </w:divBdr>
        </w:div>
        <w:div w:id="1728187477">
          <w:marLeft w:val="480"/>
          <w:marRight w:val="0"/>
          <w:marTop w:val="0"/>
          <w:marBottom w:val="0"/>
          <w:divBdr>
            <w:top w:val="none" w:sz="0" w:space="0" w:color="auto"/>
            <w:left w:val="none" w:sz="0" w:space="0" w:color="auto"/>
            <w:bottom w:val="none" w:sz="0" w:space="0" w:color="auto"/>
            <w:right w:val="none" w:sz="0" w:space="0" w:color="auto"/>
          </w:divBdr>
        </w:div>
        <w:div w:id="1131366474">
          <w:marLeft w:val="480"/>
          <w:marRight w:val="0"/>
          <w:marTop w:val="0"/>
          <w:marBottom w:val="0"/>
          <w:divBdr>
            <w:top w:val="none" w:sz="0" w:space="0" w:color="auto"/>
            <w:left w:val="none" w:sz="0" w:space="0" w:color="auto"/>
            <w:bottom w:val="none" w:sz="0" w:space="0" w:color="auto"/>
            <w:right w:val="none" w:sz="0" w:space="0" w:color="auto"/>
          </w:divBdr>
        </w:div>
        <w:div w:id="986400058">
          <w:marLeft w:val="480"/>
          <w:marRight w:val="0"/>
          <w:marTop w:val="0"/>
          <w:marBottom w:val="0"/>
          <w:divBdr>
            <w:top w:val="none" w:sz="0" w:space="0" w:color="auto"/>
            <w:left w:val="none" w:sz="0" w:space="0" w:color="auto"/>
            <w:bottom w:val="none" w:sz="0" w:space="0" w:color="auto"/>
            <w:right w:val="none" w:sz="0" w:space="0" w:color="auto"/>
          </w:divBdr>
        </w:div>
        <w:div w:id="469397314">
          <w:marLeft w:val="480"/>
          <w:marRight w:val="0"/>
          <w:marTop w:val="0"/>
          <w:marBottom w:val="0"/>
          <w:divBdr>
            <w:top w:val="none" w:sz="0" w:space="0" w:color="auto"/>
            <w:left w:val="none" w:sz="0" w:space="0" w:color="auto"/>
            <w:bottom w:val="none" w:sz="0" w:space="0" w:color="auto"/>
            <w:right w:val="none" w:sz="0" w:space="0" w:color="auto"/>
          </w:divBdr>
        </w:div>
        <w:div w:id="1425607300">
          <w:marLeft w:val="480"/>
          <w:marRight w:val="0"/>
          <w:marTop w:val="0"/>
          <w:marBottom w:val="0"/>
          <w:divBdr>
            <w:top w:val="none" w:sz="0" w:space="0" w:color="auto"/>
            <w:left w:val="none" w:sz="0" w:space="0" w:color="auto"/>
            <w:bottom w:val="none" w:sz="0" w:space="0" w:color="auto"/>
            <w:right w:val="none" w:sz="0" w:space="0" w:color="auto"/>
          </w:divBdr>
        </w:div>
        <w:div w:id="633751159">
          <w:marLeft w:val="480"/>
          <w:marRight w:val="0"/>
          <w:marTop w:val="0"/>
          <w:marBottom w:val="0"/>
          <w:divBdr>
            <w:top w:val="none" w:sz="0" w:space="0" w:color="auto"/>
            <w:left w:val="none" w:sz="0" w:space="0" w:color="auto"/>
            <w:bottom w:val="none" w:sz="0" w:space="0" w:color="auto"/>
            <w:right w:val="none" w:sz="0" w:space="0" w:color="auto"/>
          </w:divBdr>
        </w:div>
        <w:div w:id="304505543">
          <w:marLeft w:val="480"/>
          <w:marRight w:val="0"/>
          <w:marTop w:val="0"/>
          <w:marBottom w:val="0"/>
          <w:divBdr>
            <w:top w:val="none" w:sz="0" w:space="0" w:color="auto"/>
            <w:left w:val="none" w:sz="0" w:space="0" w:color="auto"/>
            <w:bottom w:val="none" w:sz="0" w:space="0" w:color="auto"/>
            <w:right w:val="none" w:sz="0" w:space="0" w:color="auto"/>
          </w:divBdr>
        </w:div>
        <w:div w:id="1854145260">
          <w:marLeft w:val="480"/>
          <w:marRight w:val="0"/>
          <w:marTop w:val="0"/>
          <w:marBottom w:val="0"/>
          <w:divBdr>
            <w:top w:val="none" w:sz="0" w:space="0" w:color="auto"/>
            <w:left w:val="none" w:sz="0" w:space="0" w:color="auto"/>
            <w:bottom w:val="none" w:sz="0" w:space="0" w:color="auto"/>
            <w:right w:val="none" w:sz="0" w:space="0" w:color="auto"/>
          </w:divBdr>
        </w:div>
        <w:div w:id="1167213388">
          <w:marLeft w:val="480"/>
          <w:marRight w:val="0"/>
          <w:marTop w:val="0"/>
          <w:marBottom w:val="0"/>
          <w:divBdr>
            <w:top w:val="none" w:sz="0" w:space="0" w:color="auto"/>
            <w:left w:val="none" w:sz="0" w:space="0" w:color="auto"/>
            <w:bottom w:val="none" w:sz="0" w:space="0" w:color="auto"/>
            <w:right w:val="none" w:sz="0" w:space="0" w:color="auto"/>
          </w:divBdr>
        </w:div>
        <w:div w:id="2124032976">
          <w:marLeft w:val="480"/>
          <w:marRight w:val="0"/>
          <w:marTop w:val="0"/>
          <w:marBottom w:val="0"/>
          <w:divBdr>
            <w:top w:val="none" w:sz="0" w:space="0" w:color="auto"/>
            <w:left w:val="none" w:sz="0" w:space="0" w:color="auto"/>
            <w:bottom w:val="none" w:sz="0" w:space="0" w:color="auto"/>
            <w:right w:val="none" w:sz="0" w:space="0" w:color="auto"/>
          </w:divBdr>
        </w:div>
        <w:div w:id="1030423960">
          <w:marLeft w:val="480"/>
          <w:marRight w:val="0"/>
          <w:marTop w:val="0"/>
          <w:marBottom w:val="0"/>
          <w:divBdr>
            <w:top w:val="none" w:sz="0" w:space="0" w:color="auto"/>
            <w:left w:val="none" w:sz="0" w:space="0" w:color="auto"/>
            <w:bottom w:val="none" w:sz="0" w:space="0" w:color="auto"/>
            <w:right w:val="none" w:sz="0" w:space="0" w:color="auto"/>
          </w:divBdr>
        </w:div>
        <w:div w:id="1238662330">
          <w:marLeft w:val="480"/>
          <w:marRight w:val="0"/>
          <w:marTop w:val="0"/>
          <w:marBottom w:val="0"/>
          <w:divBdr>
            <w:top w:val="none" w:sz="0" w:space="0" w:color="auto"/>
            <w:left w:val="none" w:sz="0" w:space="0" w:color="auto"/>
            <w:bottom w:val="none" w:sz="0" w:space="0" w:color="auto"/>
            <w:right w:val="none" w:sz="0" w:space="0" w:color="auto"/>
          </w:divBdr>
        </w:div>
        <w:div w:id="450324667">
          <w:marLeft w:val="480"/>
          <w:marRight w:val="0"/>
          <w:marTop w:val="0"/>
          <w:marBottom w:val="0"/>
          <w:divBdr>
            <w:top w:val="none" w:sz="0" w:space="0" w:color="auto"/>
            <w:left w:val="none" w:sz="0" w:space="0" w:color="auto"/>
            <w:bottom w:val="none" w:sz="0" w:space="0" w:color="auto"/>
            <w:right w:val="none" w:sz="0" w:space="0" w:color="auto"/>
          </w:divBdr>
        </w:div>
        <w:div w:id="1276643770">
          <w:marLeft w:val="480"/>
          <w:marRight w:val="0"/>
          <w:marTop w:val="0"/>
          <w:marBottom w:val="0"/>
          <w:divBdr>
            <w:top w:val="none" w:sz="0" w:space="0" w:color="auto"/>
            <w:left w:val="none" w:sz="0" w:space="0" w:color="auto"/>
            <w:bottom w:val="none" w:sz="0" w:space="0" w:color="auto"/>
            <w:right w:val="none" w:sz="0" w:space="0" w:color="auto"/>
          </w:divBdr>
        </w:div>
        <w:div w:id="474374729">
          <w:marLeft w:val="480"/>
          <w:marRight w:val="0"/>
          <w:marTop w:val="0"/>
          <w:marBottom w:val="0"/>
          <w:divBdr>
            <w:top w:val="none" w:sz="0" w:space="0" w:color="auto"/>
            <w:left w:val="none" w:sz="0" w:space="0" w:color="auto"/>
            <w:bottom w:val="none" w:sz="0" w:space="0" w:color="auto"/>
            <w:right w:val="none" w:sz="0" w:space="0" w:color="auto"/>
          </w:divBdr>
        </w:div>
        <w:div w:id="1986155418">
          <w:marLeft w:val="480"/>
          <w:marRight w:val="0"/>
          <w:marTop w:val="0"/>
          <w:marBottom w:val="0"/>
          <w:divBdr>
            <w:top w:val="none" w:sz="0" w:space="0" w:color="auto"/>
            <w:left w:val="none" w:sz="0" w:space="0" w:color="auto"/>
            <w:bottom w:val="none" w:sz="0" w:space="0" w:color="auto"/>
            <w:right w:val="none" w:sz="0" w:space="0" w:color="auto"/>
          </w:divBdr>
        </w:div>
        <w:div w:id="500048658">
          <w:marLeft w:val="480"/>
          <w:marRight w:val="0"/>
          <w:marTop w:val="0"/>
          <w:marBottom w:val="0"/>
          <w:divBdr>
            <w:top w:val="none" w:sz="0" w:space="0" w:color="auto"/>
            <w:left w:val="none" w:sz="0" w:space="0" w:color="auto"/>
            <w:bottom w:val="none" w:sz="0" w:space="0" w:color="auto"/>
            <w:right w:val="none" w:sz="0" w:space="0" w:color="auto"/>
          </w:divBdr>
        </w:div>
        <w:div w:id="1655834044">
          <w:marLeft w:val="480"/>
          <w:marRight w:val="0"/>
          <w:marTop w:val="0"/>
          <w:marBottom w:val="0"/>
          <w:divBdr>
            <w:top w:val="none" w:sz="0" w:space="0" w:color="auto"/>
            <w:left w:val="none" w:sz="0" w:space="0" w:color="auto"/>
            <w:bottom w:val="none" w:sz="0" w:space="0" w:color="auto"/>
            <w:right w:val="none" w:sz="0" w:space="0" w:color="auto"/>
          </w:divBdr>
        </w:div>
        <w:div w:id="271473209">
          <w:marLeft w:val="480"/>
          <w:marRight w:val="0"/>
          <w:marTop w:val="0"/>
          <w:marBottom w:val="0"/>
          <w:divBdr>
            <w:top w:val="none" w:sz="0" w:space="0" w:color="auto"/>
            <w:left w:val="none" w:sz="0" w:space="0" w:color="auto"/>
            <w:bottom w:val="none" w:sz="0" w:space="0" w:color="auto"/>
            <w:right w:val="none" w:sz="0" w:space="0" w:color="auto"/>
          </w:divBdr>
        </w:div>
        <w:div w:id="216667225">
          <w:marLeft w:val="480"/>
          <w:marRight w:val="0"/>
          <w:marTop w:val="0"/>
          <w:marBottom w:val="0"/>
          <w:divBdr>
            <w:top w:val="none" w:sz="0" w:space="0" w:color="auto"/>
            <w:left w:val="none" w:sz="0" w:space="0" w:color="auto"/>
            <w:bottom w:val="none" w:sz="0" w:space="0" w:color="auto"/>
            <w:right w:val="none" w:sz="0" w:space="0" w:color="auto"/>
          </w:divBdr>
        </w:div>
        <w:div w:id="1249073588">
          <w:marLeft w:val="480"/>
          <w:marRight w:val="0"/>
          <w:marTop w:val="0"/>
          <w:marBottom w:val="0"/>
          <w:divBdr>
            <w:top w:val="none" w:sz="0" w:space="0" w:color="auto"/>
            <w:left w:val="none" w:sz="0" w:space="0" w:color="auto"/>
            <w:bottom w:val="none" w:sz="0" w:space="0" w:color="auto"/>
            <w:right w:val="none" w:sz="0" w:space="0" w:color="auto"/>
          </w:divBdr>
        </w:div>
        <w:div w:id="88699047">
          <w:marLeft w:val="480"/>
          <w:marRight w:val="0"/>
          <w:marTop w:val="0"/>
          <w:marBottom w:val="0"/>
          <w:divBdr>
            <w:top w:val="none" w:sz="0" w:space="0" w:color="auto"/>
            <w:left w:val="none" w:sz="0" w:space="0" w:color="auto"/>
            <w:bottom w:val="none" w:sz="0" w:space="0" w:color="auto"/>
            <w:right w:val="none" w:sz="0" w:space="0" w:color="auto"/>
          </w:divBdr>
        </w:div>
        <w:div w:id="1110200806">
          <w:marLeft w:val="480"/>
          <w:marRight w:val="0"/>
          <w:marTop w:val="0"/>
          <w:marBottom w:val="0"/>
          <w:divBdr>
            <w:top w:val="none" w:sz="0" w:space="0" w:color="auto"/>
            <w:left w:val="none" w:sz="0" w:space="0" w:color="auto"/>
            <w:bottom w:val="none" w:sz="0" w:space="0" w:color="auto"/>
            <w:right w:val="none" w:sz="0" w:space="0" w:color="auto"/>
          </w:divBdr>
        </w:div>
        <w:div w:id="1946687036">
          <w:marLeft w:val="480"/>
          <w:marRight w:val="0"/>
          <w:marTop w:val="0"/>
          <w:marBottom w:val="0"/>
          <w:divBdr>
            <w:top w:val="none" w:sz="0" w:space="0" w:color="auto"/>
            <w:left w:val="none" w:sz="0" w:space="0" w:color="auto"/>
            <w:bottom w:val="none" w:sz="0" w:space="0" w:color="auto"/>
            <w:right w:val="none" w:sz="0" w:space="0" w:color="auto"/>
          </w:divBdr>
        </w:div>
        <w:div w:id="1031687610">
          <w:marLeft w:val="480"/>
          <w:marRight w:val="0"/>
          <w:marTop w:val="0"/>
          <w:marBottom w:val="0"/>
          <w:divBdr>
            <w:top w:val="none" w:sz="0" w:space="0" w:color="auto"/>
            <w:left w:val="none" w:sz="0" w:space="0" w:color="auto"/>
            <w:bottom w:val="none" w:sz="0" w:space="0" w:color="auto"/>
            <w:right w:val="none" w:sz="0" w:space="0" w:color="auto"/>
          </w:divBdr>
        </w:div>
        <w:div w:id="245648197">
          <w:marLeft w:val="480"/>
          <w:marRight w:val="0"/>
          <w:marTop w:val="0"/>
          <w:marBottom w:val="0"/>
          <w:divBdr>
            <w:top w:val="none" w:sz="0" w:space="0" w:color="auto"/>
            <w:left w:val="none" w:sz="0" w:space="0" w:color="auto"/>
            <w:bottom w:val="none" w:sz="0" w:space="0" w:color="auto"/>
            <w:right w:val="none" w:sz="0" w:space="0" w:color="auto"/>
          </w:divBdr>
        </w:div>
        <w:div w:id="810710005">
          <w:marLeft w:val="480"/>
          <w:marRight w:val="0"/>
          <w:marTop w:val="0"/>
          <w:marBottom w:val="0"/>
          <w:divBdr>
            <w:top w:val="none" w:sz="0" w:space="0" w:color="auto"/>
            <w:left w:val="none" w:sz="0" w:space="0" w:color="auto"/>
            <w:bottom w:val="none" w:sz="0" w:space="0" w:color="auto"/>
            <w:right w:val="none" w:sz="0" w:space="0" w:color="auto"/>
          </w:divBdr>
        </w:div>
        <w:div w:id="689181288">
          <w:marLeft w:val="480"/>
          <w:marRight w:val="0"/>
          <w:marTop w:val="0"/>
          <w:marBottom w:val="0"/>
          <w:divBdr>
            <w:top w:val="none" w:sz="0" w:space="0" w:color="auto"/>
            <w:left w:val="none" w:sz="0" w:space="0" w:color="auto"/>
            <w:bottom w:val="none" w:sz="0" w:space="0" w:color="auto"/>
            <w:right w:val="none" w:sz="0" w:space="0" w:color="auto"/>
          </w:divBdr>
        </w:div>
        <w:div w:id="701710507">
          <w:marLeft w:val="480"/>
          <w:marRight w:val="0"/>
          <w:marTop w:val="0"/>
          <w:marBottom w:val="0"/>
          <w:divBdr>
            <w:top w:val="none" w:sz="0" w:space="0" w:color="auto"/>
            <w:left w:val="none" w:sz="0" w:space="0" w:color="auto"/>
            <w:bottom w:val="none" w:sz="0" w:space="0" w:color="auto"/>
            <w:right w:val="none" w:sz="0" w:space="0" w:color="auto"/>
          </w:divBdr>
        </w:div>
        <w:div w:id="1309745561">
          <w:marLeft w:val="480"/>
          <w:marRight w:val="0"/>
          <w:marTop w:val="0"/>
          <w:marBottom w:val="0"/>
          <w:divBdr>
            <w:top w:val="none" w:sz="0" w:space="0" w:color="auto"/>
            <w:left w:val="none" w:sz="0" w:space="0" w:color="auto"/>
            <w:bottom w:val="none" w:sz="0" w:space="0" w:color="auto"/>
            <w:right w:val="none" w:sz="0" w:space="0" w:color="auto"/>
          </w:divBdr>
        </w:div>
        <w:div w:id="1933538824">
          <w:marLeft w:val="480"/>
          <w:marRight w:val="0"/>
          <w:marTop w:val="0"/>
          <w:marBottom w:val="0"/>
          <w:divBdr>
            <w:top w:val="none" w:sz="0" w:space="0" w:color="auto"/>
            <w:left w:val="none" w:sz="0" w:space="0" w:color="auto"/>
            <w:bottom w:val="none" w:sz="0" w:space="0" w:color="auto"/>
            <w:right w:val="none" w:sz="0" w:space="0" w:color="auto"/>
          </w:divBdr>
        </w:div>
        <w:div w:id="2036536847">
          <w:marLeft w:val="480"/>
          <w:marRight w:val="0"/>
          <w:marTop w:val="0"/>
          <w:marBottom w:val="0"/>
          <w:divBdr>
            <w:top w:val="none" w:sz="0" w:space="0" w:color="auto"/>
            <w:left w:val="none" w:sz="0" w:space="0" w:color="auto"/>
            <w:bottom w:val="none" w:sz="0" w:space="0" w:color="auto"/>
            <w:right w:val="none" w:sz="0" w:space="0" w:color="auto"/>
          </w:divBdr>
        </w:div>
        <w:div w:id="1700279330">
          <w:marLeft w:val="480"/>
          <w:marRight w:val="0"/>
          <w:marTop w:val="0"/>
          <w:marBottom w:val="0"/>
          <w:divBdr>
            <w:top w:val="none" w:sz="0" w:space="0" w:color="auto"/>
            <w:left w:val="none" w:sz="0" w:space="0" w:color="auto"/>
            <w:bottom w:val="none" w:sz="0" w:space="0" w:color="auto"/>
            <w:right w:val="none" w:sz="0" w:space="0" w:color="auto"/>
          </w:divBdr>
        </w:div>
        <w:div w:id="1885097118">
          <w:marLeft w:val="480"/>
          <w:marRight w:val="0"/>
          <w:marTop w:val="0"/>
          <w:marBottom w:val="0"/>
          <w:divBdr>
            <w:top w:val="none" w:sz="0" w:space="0" w:color="auto"/>
            <w:left w:val="none" w:sz="0" w:space="0" w:color="auto"/>
            <w:bottom w:val="none" w:sz="0" w:space="0" w:color="auto"/>
            <w:right w:val="none" w:sz="0" w:space="0" w:color="auto"/>
          </w:divBdr>
        </w:div>
        <w:div w:id="1963413046">
          <w:marLeft w:val="480"/>
          <w:marRight w:val="0"/>
          <w:marTop w:val="0"/>
          <w:marBottom w:val="0"/>
          <w:divBdr>
            <w:top w:val="none" w:sz="0" w:space="0" w:color="auto"/>
            <w:left w:val="none" w:sz="0" w:space="0" w:color="auto"/>
            <w:bottom w:val="none" w:sz="0" w:space="0" w:color="auto"/>
            <w:right w:val="none" w:sz="0" w:space="0" w:color="auto"/>
          </w:divBdr>
        </w:div>
        <w:div w:id="1281259466">
          <w:marLeft w:val="480"/>
          <w:marRight w:val="0"/>
          <w:marTop w:val="0"/>
          <w:marBottom w:val="0"/>
          <w:divBdr>
            <w:top w:val="none" w:sz="0" w:space="0" w:color="auto"/>
            <w:left w:val="none" w:sz="0" w:space="0" w:color="auto"/>
            <w:bottom w:val="none" w:sz="0" w:space="0" w:color="auto"/>
            <w:right w:val="none" w:sz="0" w:space="0" w:color="auto"/>
          </w:divBdr>
        </w:div>
        <w:div w:id="1375620466">
          <w:marLeft w:val="480"/>
          <w:marRight w:val="0"/>
          <w:marTop w:val="0"/>
          <w:marBottom w:val="0"/>
          <w:divBdr>
            <w:top w:val="none" w:sz="0" w:space="0" w:color="auto"/>
            <w:left w:val="none" w:sz="0" w:space="0" w:color="auto"/>
            <w:bottom w:val="none" w:sz="0" w:space="0" w:color="auto"/>
            <w:right w:val="none" w:sz="0" w:space="0" w:color="auto"/>
          </w:divBdr>
        </w:div>
        <w:div w:id="115293322">
          <w:marLeft w:val="480"/>
          <w:marRight w:val="0"/>
          <w:marTop w:val="0"/>
          <w:marBottom w:val="0"/>
          <w:divBdr>
            <w:top w:val="none" w:sz="0" w:space="0" w:color="auto"/>
            <w:left w:val="none" w:sz="0" w:space="0" w:color="auto"/>
            <w:bottom w:val="none" w:sz="0" w:space="0" w:color="auto"/>
            <w:right w:val="none" w:sz="0" w:space="0" w:color="auto"/>
          </w:divBdr>
        </w:div>
        <w:div w:id="735321370">
          <w:marLeft w:val="480"/>
          <w:marRight w:val="0"/>
          <w:marTop w:val="0"/>
          <w:marBottom w:val="0"/>
          <w:divBdr>
            <w:top w:val="none" w:sz="0" w:space="0" w:color="auto"/>
            <w:left w:val="none" w:sz="0" w:space="0" w:color="auto"/>
            <w:bottom w:val="none" w:sz="0" w:space="0" w:color="auto"/>
            <w:right w:val="none" w:sz="0" w:space="0" w:color="auto"/>
          </w:divBdr>
        </w:div>
        <w:div w:id="678511720">
          <w:marLeft w:val="480"/>
          <w:marRight w:val="0"/>
          <w:marTop w:val="0"/>
          <w:marBottom w:val="0"/>
          <w:divBdr>
            <w:top w:val="none" w:sz="0" w:space="0" w:color="auto"/>
            <w:left w:val="none" w:sz="0" w:space="0" w:color="auto"/>
            <w:bottom w:val="none" w:sz="0" w:space="0" w:color="auto"/>
            <w:right w:val="none" w:sz="0" w:space="0" w:color="auto"/>
          </w:divBdr>
        </w:div>
        <w:div w:id="540291739">
          <w:marLeft w:val="480"/>
          <w:marRight w:val="0"/>
          <w:marTop w:val="0"/>
          <w:marBottom w:val="0"/>
          <w:divBdr>
            <w:top w:val="none" w:sz="0" w:space="0" w:color="auto"/>
            <w:left w:val="none" w:sz="0" w:space="0" w:color="auto"/>
            <w:bottom w:val="none" w:sz="0" w:space="0" w:color="auto"/>
            <w:right w:val="none" w:sz="0" w:space="0" w:color="auto"/>
          </w:divBdr>
        </w:div>
        <w:div w:id="618031586">
          <w:marLeft w:val="480"/>
          <w:marRight w:val="0"/>
          <w:marTop w:val="0"/>
          <w:marBottom w:val="0"/>
          <w:divBdr>
            <w:top w:val="none" w:sz="0" w:space="0" w:color="auto"/>
            <w:left w:val="none" w:sz="0" w:space="0" w:color="auto"/>
            <w:bottom w:val="none" w:sz="0" w:space="0" w:color="auto"/>
            <w:right w:val="none" w:sz="0" w:space="0" w:color="auto"/>
          </w:divBdr>
        </w:div>
        <w:div w:id="1750344961">
          <w:marLeft w:val="480"/>
          <w:marRight w:val="0"/>
          <w:marTop w:val="0"/>
          <w:marBottom w:val="0"/>
          <w:divBdr>
            <w:top w:val="none" w:sz="0" w:space="0" w:color="auto"/>
            <w:left w:val="none" w:sz="0" w:space="0" w:color="auto"/>
            <w:bottom w:val="none" w:sz="0" w:space="0" w:color="auto"/>
            <w:right w:val="none" w:sz="0" w:space="0" w:color="auto"/>
          </w:divBdr>
        </w:div>
        <w:div w:id="658847943">
          <w:marLeft w:val="480"/>
          <w:marRight w:val="0"/>
          <w:marTop w:val="0"/>
          <w:marBottom w:val="0"/>
          <w:divBdr>
            <w:top w:val="none" w:sz="0" w:space="0" w:color="auto"/>
            <w:left w:val="none" w:sz="0" w:space="0" w:color="auto"/>
            <w:bottom w:val="none" w:sz="0" w:space="0" w:color="auto"/>
            <w:right w:val="none" w:sz="0" w:space="0" w:color="auto"/>
          </w:divBdr>
        </w:div>
        <w:div w:id="236137597">
          <w:marLeft w:val="480"/>
          <w:marRight w:val="0"/>
          <w:marTop w:val="0"/>
          <w:marBottom w:val="0"/>
          <w:divBdr>
            <w:top w:val="none" w:sz="0" w:space="0" w:color="auto"/>
            <w:left w:val="none" w:sz="0" w:space="0" w:color="auto"/>
            <w:bottom w:val="none" w:sz="0" w:space="0" w:color="auto"/>
            <w:right w:val="none" w:sz="0" w:space="0" w:color="auto"/>
          </w:divBdr>
        </w:div>
        <w:div w:id="1664967028">
          <w:marLeft w:val="480"/>
          <w:marRight w:val="0"/>
          <w:marTop w:val="0"/>
          <w:marBottom w:val="0"/>
          <w:divBdr>
            <w:top w:val="none" w:sz="0" w:space="0" w:color="auto"/>
            <w:left w:val="none" w:sz="0" w:space="0" w:color="auto"/>
            <w:bottom w:val="none" w:sz="0" w:space="0" w:color="auto"/>
            <w:right w:val="none" w:sz="0" w:space="0" w:color="auto"/>
          </w:divBdr>
        </w:div>
        <w:div w:id="1106117562">
          <w:marLeft w:val="480"/>
          <w:marRight w:val="0"/>
          <w:marTop w:val="0"/>
          <w:marBottom w:val="0"/>
          <w:divBdr>
            <w:top w:val="none" w:sz="0" w:space="0" w:color="auto"/>
            <w:left w:val="none" w:sz="0" w:space="0" w:color="auto"/>
            <w:bottom w:val="none" w:sz="0" w:space="0" w:color="auto"/>
            <w:right w:val="none" w:sz="0" w:space="0" w:color="auto"/>
          </w:divBdr>
        </w:div>
        <w:div w:id="2089419888">
          <w:marLeft w:val="480"/>
          <w:marRight w:val="0"/>
          <w:marTop w:val="0"/>
          <w:marBottom w:val="0"/>
          <w:divBdr>
            <w:top w:val="none" w:sz="0" w:space="0" w:color="auto"/>
            <w:left w:val="none" w:sz="0" w:space="0" w:color="auto"/>
            <w:bottom w:val="none" w:sz="0" w:space="0" w:color="auto"/>
            <w:right w:val="none" w:sz="0" w:space="0" w:color="auto"/>
          </w:divBdr>
        </w:div>
        <w:div w:id="37433196">
          <w:marLeft w:val="480"/>
          <w:marRight w:val="0"/>
          <w:marTop w:val="0"/>
          <w:marBottom w:val="0"/>
          <w:divBdr>
            <w:top w:val="none" w:sz="0" w:space="0" w:color="auto"/>
            <w:left w:val="none" w:sz="0" w:space="0" w:color="auto"/>
            <w:bottom w:val="none" w:sz="0" w:space="0" w:color="auto"/>
            <w:right w:val="none" w:sz="0" w:space="0" w:color="auto"/>
          </w:divBdr>
        </w:div>
        <w:div w:id="577978424">
          <w:marLeft w:val="480"/>
          <w:marRight w:val="0"/>
          <w:marTop w:val="0"/>
          <w:marBottom w:val="0"/>
          <w:divBdr>
            <w:top w:val="none" w:sz="0" w:space="0" w:color="auto"/>
            <w:left w:val="none" w:sz="0" w:space="0" w:color="auto"/>
            <w:bottom w:val="none" w:sz="0" w:space="0" w:color="auto"/>
            <w:right w:val="none" w:sz="0" w:space="0" w:color="auto"/>
          </w:divBdr>
        </w:div>
        <w:div w:id="795218737">
          <w:marLeft w:val="480"/>
          <w:marRight w:val="0"/>
          <w:marTop w:val="0"/>
          <w:marBottom w:val="0"/>
          <w:divBdr>
            <w:top w:val="none" w:sz="0" w:space="0" w:color="auto"/>
            <w:left w:val="none" w:sz="0" w:space="0" w:color="auto"/>
            <w:bottom w:val="none" w:sz="0" w:space="0" w:color="auto"/>
            <w:right w:val="none" w:sz="0" w:space="0" w:color="auto"/>
          </w:divBdr>
        </w:div>
        <w:div w:id="1016813632">
          <w:marLeft w:val="480"/>
          <w:marRight w:val="0"/>
          <w:marTop w:val="0"/>
          <w:marBottom w:val="0"/>
          <w:divBdr>
            <w:top w:val="none" w:sz="0" w:space="0" w:color="auto"/>
            <w:left w:val="none" w:sz="0" w:space="0" w:color="auto"/>
            <w:bottom w:val="none" w:sz="0" w:space="0" w:color="auto"/>
            <w:right w:val="none" w:sz="0" w:space="0" w:color="auto"/>
          </w:divBdr>
        </w:div>
        <w:div w:id="893545587">
          <w:marLeft w:val="480"/>
          <w:marRight w:val="0"/>
          <w:marTop w:val="0"/>
          <w:marBottom w:val="0"/>
          <w:divBdr>
            <w:top w:val="none" w:sz="0" w:space="0" w:color="auto"/>
            <w:left w:val="none" w:sz="0" w:space="0" w:color="auto"/>
            <w:bottom w:val="none" w:sz="0" w:space="0" w:color="auto"/>
            <w:right w:val="none" w:sz="0" w:space="0" w:color="auto"/>
          </w:divBdr>
        </w:div>
        <w:div w:id="1406758335">
          <w:marLeft w:val="480"/>
          <w:marRight w:val="0"/>
          <w:marTop w:val="0"/>
          <w:marBottom w:val="0"/>
          <w:divBdr>
            <w:top w:val="none" w:sz="0" w:space="0" w:color="auto"/>
            <w:left w:val="none" w:sz="0" w:space="0" w:color="auto"/>
            <w:bottom w:val="none" w:sz="0" w:space="0" w:color="auto"/>
            <w:right w:val="none" w:sz="0" w:space="0" w:color="auto"/>
          </w:divBdr>
        </w:div>
        <w:div w:id="503592574">
          <w:marLeft w:val="480"/>
          <w:marRight w:val="0"/>
          <w:marTop w:val="0"/>
          <w:marBottom w:val="0"/>
          <w:divBdr>
            <w:top w:val="none" w:sz="0" w:space="0" w:color="auto"/>
            <w:left w:val="none" w:sz="0" w:space="0" w:color="auto"/>
            <w:bottom w:val="none" w:sz="0" w:space="0" w:color="auto"/>
            <w:right w:val="none" w:sz="0" w:space="0" w:color="auto"/>
          </w:divBdr>
        </w:div>
        <w:div w:id="2144539362">
          <w:marLeft w:val="480"/>
          <w:marRight w:val="0"/>
          <w:marTop w:val="0"/>
          <w:marBottom w:val="0"/>
          <w:divBdr>
            <w:top w:val="none" w:sz="0" w:space="0" w:color="auto"/>
            <w:left w:val="none" w:sz="0" w:space="0" w:color="auto"/>
            <w:bottom w:val="none" w:sz="0" w:space="0" w:color="auto"/>
            <w:right w:val="none" w:sz="0" w:space="0" w:color="auto"/>
          </w:divBdr>
        </w:div>
        <w:div w:id="524909449">
          <w:marLeft w:val="480"/>
          <w:marRight w:val="0"/>
          <w:marTop w:val="0"/>
          <w:marBottom w:val="0"/>
          <w:divBdr>
            <w:top w:val="none" w:sz="0" w:space="0" w:color="auto"/>
            <w:left w:val="none" w:sz="0" w:space="0" w:color="auto"/>
            <w:bottom w:val="none" w:sz="0" w:space="0" w:color="auto"/>
            <w:right w:val="none" w:sz="0" w:space="0" w:color="auto"/>
          </w:divBdr>
        </w:div>
        <w:div w:id="1854488093">
          <w:marLeft w:val="480"/>
          <w:marRight w:val="0"/>
          <w:marTop w:val="0"/>
          <w:marBottom w:val="0"/>
          <w:divBdr>
            <w:top w:val="none" w:sz="0" w:space="0" w:color="auto"/>
            <w:left w:val="none" w:sz="0" w:space="0" w:color="auto"/>
            <w:bottom w:val="none" w:sz="0" w:space="0" w:color="auto"/>
            <w:right w:val="none" w:sz="0" w:space="0" w:color="auto"/>
          </w:divBdr>
        </w:div>
        <w:div w:id="1491672060">
          <w:marLeft w:val="480"/>
          <w:marRight w:val="0"/>
          <w:marTop w:val="0"/>
          <w:marBottom w:val="0"/>
          <w:divBdr>
            <w:top w:val="none" w:sz="0" w:space="0" w:color="auto"/>
            <w:left w:val="none" w:sz="0" w:space="0" w:color="auto"/>
            <w:bottom w:val="none" w:sz="0" w:space="0" w:color="auto"/>
            <w:right w:val="none" w:sz="0" w:space="0" w:color="auto"/>
          </w:divBdr>
        </w:div>
        <w:div w:id="1252738031">
          <w:marLeft w:val="480"/>
          <w:marRight w:val="0"/>
          <w:marTop w:val="0"/>
          <w:marBottom w:val="0"/>
          <w:divBdr>
            <w:top w:val="none" w:sz="0" w:space="0" w:color="auto"/>
            <w:left w:val="none" w:sz="0" w:space="0" w:color="auto"/>
            <w:bottom w:val="none" w:sz="0" w:space="0" w:color="auto"/>
            <w:right w:val="none" w:sz="0" w:space="0" w:color="auto"/>
          </w:divBdr>
        </w:div>
        <w:div w:id="362823545">
          <w:marLeft w:val="480"/>
          <w:marRight w:val="0"/>
          <w:marTop w:val="0"/>
          <w:marBottom w:val="0"/>
          <w:divBdr>
            <w:top w:val="none" w:sz="0" w:space="0" w:color="auto"/>
            <w:left w:val="none" w:sz="0" w:space="0" w:color="auto"/>
            <w:bottom w:val="none" w:sz="0" w:space="0" w:color="auto"/>
            <w:right w:val="none" w:sz="0" w:space="0" w:color="auto"/>
          </w:divBdr>
        </w:div>
        <w:div w:id="1545941192">
          <w:marLeft w:val="480"/>
          <w:marRight w:val="0"/>
          <w:marTop w:val="0"/>
          <w:marBottom w:val="0"/>
          <w:divBdr>
            <w:top w:val="none" w:sz="0" w:space="0" w:color="auto"/>
            <w:left w:val="none" w:sz="0" w:space="0" w:color="auto"/>
            <w:bottom w:val="none" w:sz="0" w:space="0" w:color="auto"/>
            <w:right w:val="none" w:sz="0" w:space="0" w:color="auto"/>
          </w:divBdr>
        </w:div>
        <w:div w:id="1571190490">
          <w:marLeft w:val="480"/>
          <w:marRight w:val="0"/>
          <w:marTop w:val="0"/>
          <w:marBottom w:val="0"/>
          <w:divBdr>
            <w:top w:val="none" w:sz="0" w:space="0" w:color="auto"/>
            <w:left w:val="none" w:sz="0" w:space="0" w:color="auto"/>
            <w:bottom w:val="none" w:sz="0" w:space="0" w:color="auto"/>
            <w:right w:val="none" w:sz="0" w:space="0" w:color="auto"/>
          </w:divBdr>
        </w:div>
        <w:div w:id="1351223680">
          <w:marLeft w:val="480"/>
          <w:marRight w:val="0"/>
          <w:marTop w:val="0"/>
          <w:marBottom w:val="0"/>
          <w:divBdr>
            <w:top w:val="none" w:sz="0" w:space="0" w:color="auto"/>
            <w:left w:val="none" w:sz="0" w:space="0" w:color="auto"/>
            <w:bottom w:val="none" w:sz="0" w:space="0" w:color="auto"/>
            <w:right w:val="none" w:sz="0" w:space="0" w:color="auto"/>
          </w:divBdr>
        </w:div>
        <w:div w:id="769862722">
          <w:marLeft w:val="480"/>
          <w:marRight w:val="0"/>
          <w:marTop w:val="0"/>
          <w:marBottom w:val="0"/>
          <w:divBdr>
            <w:top w:val="none" w:sz="0" w:space="0" w:color="auto"/>
            <w:left w:val="none" w:sz="0" w:space="0" w:color="auto"/>
            <w:bottom w:val="none" w:sz="0" w:space="0" w:color="auto"/>
            <w:right w:val="none" w:sz="0" w:space="0" w:color="auto"/>
          </w:divBdr>
        </w:div>
        <w:div w:id="31005038">
          <w:marLeft w:val="480"/>
          <w:marRight w:val="0"/>
          <w:marTop w:val="0"/>
          <w:marBottom w:val="0"/>
          <w:divBdr>
            <w:top w:val="none" w:sz="0" w:space="0" w:color="auto"/>
            <w:left w:val="none" w:sz="0" w:space="0" w:color="auto"/>
            <w:bottom w:val="none" w:sz="0" w:space="0" w:color="auto"/>
            <w:right w:val="none" w:sz="0" w:space="0" w:color="auto"/>
          </w:divBdr>
        </w:div>
        <w:div w:id="1594322040">
          <w:marLeft w:val="480"/>
          <w:marRight w:val="0"/>
          <w:marTop w:val="0"/>
          <w:marBottom w:val="0"/>
          <w:divBdr>
            <w:top w:val="none" w:sz="0" w:space="0" w:color="auto"/>
            <w:left w:val="none" w:sz="0" w:space="0" w:color="auto"/>
            <w:bottom w:val="none" w:sz="0" w:space="0" w:color="auto"/>
            <w:right w:val="none" w:sz="0" w:space="0" w:color="auto"/>
          </w:divBdr>
        </w:div>
        <w:div w:id="1363746628">
          <w:marLeft w:val="480"/>
          <w:marRight w:val="0"/>
          <w:marTop w:val="0"/>
          <w:marBottom w:val="0"/>
          <w:divBdr>
            <w:top w:val="none" w:sz="0" w:space="0" w:color="auto"/>
            <w:left w:val="none" w:sz="0" w:space="0" w:color="auto"/>
            <w:bottom w:val="none" w:sz="0" w:space="0" w:color="auto"/>
            <w:right w:val="none" w:sz="0" w:space="0" w:color="auto"/>
          </w:divBdr>
        </w:div>
        <w:div w:id="1992099926">
          <w:marLeft w:val="480"/>
          <w:marRight w:val="0"/>
          <w:marTop w:val="0"/>
          <w:marBottom w:val="0"/>
          <w:divBdr>
            <w:top w:val="none" w:sz="0" w:space="0" w:color="auto"/>
            <w:left w:val="none" w:sz="0" w:space="0" w:color="auto"/>
            <w:bottom w:val="none" w:sz="0" w:space="0" w:color="auto"/>
            <w:right w:val="none" w:sz="0" w:space="0" w:color="auto"/>
          </w:divBdr>
        </w:div>
        <w:div w:id="1418600273">
          <w:marLeft w:val="480"/>
          <w:marRight w:val="0"/>
          <w:marTop w:val="0"/>
          <w:marBottom w:val="0"/>
          <w:divBdr>
            <w:top w:val="none" w:sz="0" w:space="0" w:color="auto"/>
            <w:left w:val="none" w:sz="0" w:space="0" w:color="auto"/>
            <w:bottom w:val="none" w:sz="0" w:space="0" w:color="auto"/>
            <w:right w:val="none" w:sz="0" w:space="0" w:color="auto"/>
          </w:divBdr>
        </w:div>
        <w:div w:id="470555829">
          <w:marLeft w:val="480"/>
          <w:marRight w:val="0"/>
          <w:marTop w:val="0"/>
          <w:marBottom w:val="0"/>
          <w:divBdr>
            <w:top w:val="none" w:sz="0" w:space="0" w:color="auto"/>
            <w:left w:val="none" w:sz="0" w:space="0" w:color="auto"/>
            <w:bottom w:val="none" w:sz="0" w:space="0" w:color="auto"/>
            <w:right w:val="none" w:sz="0" w:space="0" w:color="auto"/>
          </w:divBdr>
        </w:div>
        <w:div w:id="1133602063">
          <w:marLeft w:val="480"/>
          <w:marRight w:val="0"/>
          <w:marTop w:val="0"/>
          <w:marBottom w:val="0"/>
          <w:divBdr>
            <w:top w:val="none" w:sz="0" w:space="0" w:color="auto"/>
            <w:left w:val="none" w:sz="0" w:space="0" w:color="auto"/>
            <w:bottom w:val="none" w:sz="0" w:space="0" w:color="auto"/>
            <w:right w:val="none" w:sz="0" w:space="0" w:color="auto"/>
          </w:divBdr>
        </w:div>
        <w:div w:id="738133776">
          <w:marLeft w:val="480"/>
          <w:marRight w:val="0"/>
          <w:marTop w:val="0"/>
          <w:marBottom w:val="0"/>
          <w:divBdr>
            <w:top w:val="none" w:sz="0" w:space="0" w:color="auto"/>
            <w:left w:val="none" w:sz="0" w:space="0" w:color="auto"/>
            <w:bottom w:val="none" w:sz="0" w:space="0" w:color="auto"/>
            <w:right w:val="none" w:sz="0" w:space="0" w:color="auto"/>
          </w:divBdr>
        </w:div>
        <w:div w:id="1315183984">
          <w:marLeft w:val="480"/>
          <w:marRight w:val="0"/>
          <w:marTop w:val="0"/>
          <w:marBottom w:val="0"/>
          <w:divBdr>
            <w:top w:val="none" w:sz="0" w:space="0" w:color="auto"/>
            <w:left w:val="none" w:sz="0" w:space="0" w:color="auto"/>
            <w:bottom w:val="none" w:sz="0" w:space="0" w:color="auto"/>
            <w:right w:val="none" w:sz="0" w:space="0" w:color="auto"/>
          </w:divBdr>
        </w:div>
        <w:div w:id="1094933975">
          <w:marLeft w:val="480"/>
          <w:marRight w:val="0"/>
          <w:marTop w:val="0"/>
          <w:marBottom w:val="0"/>
          <w:divBdr>
            <w:top w:val="none" w:sz="0" w:space="0" w:color="auto"/>
            <w:left w:val="none" w:sz="0" w:space="0" w:color="auto"/>
            <w:bottom w:val="none" w:sz="0" w:space="0" w:color="auto"/>
            <w:right w:val="none" w:sz="0" w:space="0" w:color="auto"/>
          </w:divBdr>
        </w:div>
      </w:divsChild>
    </w:div>
    <w:div w:id="138085128">
      <w:marLeft w:val="480"/>
      <w:marRight w:val="0"/>
      <w:marTop w:val="0"/>
      <w:marBottom w:val="0"/>
      <w:divBdr>
        <w:top w:val="none" w:sz="0" w:space="0" w:color="auto"/>
        <w:left w:val="none" w:sz="0" w:space="0" w:color="auto"/>
        <w:bottom w:val="none" w:sz="0" w:space="0" w:color="auto"/>
        <w:right w:val="none" w:sz="0" w:space="0" w:color="auto"/>
      </w:divBdr>
    </w:div>
    <w:div w:id="139925735">
      <w:marLeft w:val="480"/>
      <w:marRight w:val="0"/>
      <w:marTop w:val="0"/>
      <w:marBottom w:val="0"/>
      <w:divBdr>
        <w:top w:val="none" w:sz="0" w:space="0" w:color="auto"/>
        <w:left w:val="none" w:sz="0" w:space="0" w:color="auto"/>
        <w:bottom w:val="none" w:sz="0" w:space="0" w:color="auto"/>
        <w:right w:val="none" w:sz="0" w:space="0" w:color="auto"/>
      </w:divBdr>
    </w:div>
    <w:div w:id="141779987">
      <w:marLeft w:val="480"/>
      <w:marRight w:val="0"/>
      <w:marTop w:val="0"/>
      <w:marBottom w:val="0"/>
      <w:divBdr>
        <w:top w:val="none" w:sz="0" w:space="0" w:color="auto"/>
        <w:left w:val="none" w:sz="0" w:space="0" w:color="auto"/>
        <w:bottom w:val="none" w:sz="0" w:space="0" w:color="auto"/>
        <w:right w:val="none" w:sz="0" w:space="0" w:color="auto"/>
      </w:divBdr>
    </w:div>
    <w:div w:id="146016682">
      <w:marLeft w:val="480"/>
      <w:marRight w:val="0"/>
      <w:marTop w:val="0"/>
      <w:marBottom w:val="0"/>
      <w:divBdr>
        <w:top w:val="none" w:sz="0" w:space="0" w:color="auto"/>
        <w:left w:val="none" w:sz="0" w:space="0" w:color="auto"/>
        <w:bottom w:val="none" w:sz="0" w:space="0" w:color="auto"/>
        <w:right w:val="none" w:sz="0" w:space="0" w:color="auto"/>
      </w:divBdr>
    </w:div>
    <w:div w:id="146553249">
      <w:marLeft w:val="480"/>
      <w:marRight w:val="0"/>
      <w:marTop w:val="0"/>
      <w:marBottom w:val="0"/>
      <w:divBdr>
        <w:top w:val="none" w:sz="0" w:space="0" w:color="auto"/>
        <w:left w:val="none" w:sz="0" w:space="0" w:color="auto"/>
        <w:bottom w:val="none" w:sz="0" w:space="0" w:color="auto"/>
        <w:right w:val="none" w:sz="0" w:space="0" w:color="auto"/>
      </w:divBdr>
    </w:div>
    <w:div w:id="146946081">
      <w:marLeft w:val="480"/>
      <w:marRight w:val="0"/>
      <w:marTop w:val="0"/>
      <w:marBottom w:val="0"/>
      <w:divBdr>
        <w:top w:val="none" w:sz="0" w:space="0" w:color="auto"/>
        <w:left w:val="none" w:sz="0" w:space="0" w:color="auto"/>
        <w:bottom w:val="none" w:sz="0" w:space="0" w:color="auto"/>
        <w:right w:val="none" w:sz="0" w:space="0" w:color="auto"/>
      </w:divBdr>
    </w:div>
    <w:div w:id="148375891">
      <w:marLeft w:val="480"/>
      <w:marRight w:val="0"/>
      <w:marTop w:val="0"/>
      <w:marBottom w:val="0"/>
      <w:divBdr>
        <w:top w:val="none" w:sz="0" w:space="0" w:color="auto"/>
        <w:left w:val="none" w:sz="0" w:space="0" w:color="auto"/>
        <w:bottom w:val="none" w:sz="0" w:space="0" w:color="auto"/>
        <w:right w:val="none" w:sz="0" w:space="0" w:color="auto"/>
      </w:divBdr>
    </w:div>
    <w:div w:id="150174921">
      <w:marLeft w:val="480"/>
      <w:marRight w:val="0"/>
      <w:marTop w:val="0"/>
      <w:marBottom w:val="0"/>
      <w:divBdr>
        <w:top w:val="none" w:sz="0" w:space="0" w:color="auto"/>
        <w:left w:val="none" w:sz="0" w:space="0" w:color="auto"/>
        <w:bottom w:val="none" w:sz="0" w:space="0" w:color="auto"/>
        <w:right w:val="none" w:sz="0" w:space="0" w:color="auto"/>
      </w:divBdr>
    </w:div>
    <w:div w:id="150416572">
      <w:marLeft w:val="480"/>
      <w:marRight w:val="0"/>
      <w:marTop w:val="0"/>
      <w:marBottom w:val="0"/>
      <w:divBdr>
        <w:top w:val="none" w:sz="0" w:space="0" w:color="auto"/>
        <w:left w:val="none" w:sz="0" w:space="0" w:color="auto"/>
        <w:bottom w:val="none" w:sz="0" w:space="0" w:color="auto"/>
        <w:right w:val="none" w:sz="0" w:space="0" w:color="auto"/>
      </w:divBdr>
    </w:div>
    <w:div w:id="154419886">
      <w:marLeft w:val="480"/>
      <w:marRight w:val="0"/>
      <w:marTop w:val="0"/>
      <w:marBottom w:val="0"/>
      <w:divBdr>
        <w:top w:val="none" w:sz="0" w:space="0" w:color="auto"/>
        <w:left w:val="none" w:sz="0" w:space="0" w:color="auto"/>
        <w:bottom w:val="none" w:sz="0" w:space="0" w:color="auto"/>
        <w:right w:val="none" w:sz="0" w:space="0" w:color="auto"/>
      </w:divBdr>
    </w:div>
    <w:div w:id="156774452">
      <w:marLeft w:val="480"/>
      <w:marRight w:val="0"/>
      <w:marTop w:val="0"/>
      <w:marBottom w:val="0"/>
      <w:divBdr>
        <w:top w:val="none" w:sz="0" w:space="0" w:color="auto"/>
        <w:left w:val="none" w:sz="0" w:space="0" w:color="auto"/>
        <w:bottom w:val="none" w:sz="0" w:space="0" w:color="auto"/>
        <w:right w:val="none" w:sz="0" w:space="0" w:color="auto"/>
      </w:divBdr>
    </w:div>
    <w:div w:id="159737803">
      <w:marLeft w:val="480"/>
      <w:marRight w:val="0"/>
      <w:marTop w:val="0"/>
      <w:marBottom w:val="0"/>
      <w:divBdr>
        <w:top w:val="none" w:sz="0" w:space="0" w:color="auto"/>
        <w:left w:val="none" w:sz="0" w:space="0" w:color="auto"/>
        <w:bottom w:val="none" w:sz="0" w:space="0" w:color="auto"/>
        <w:right w:val="none" w:sz="0" w:space="0" w:color="auto"/>
      </w:divBdr>
    </w:div>
    <w:div w:id="160124811">
      <w:marLeft w:val="480"/>
      <w:marRight w:val="0"/>
      <w:marTop w:val="0"/>
      <w:marBottom w:val="0"/>
      <w:divBdr>
        <w:top w:val="none" w:sz="0" w:space="0" w:color="auto"/>
        <w:left w:val="none" w:sz="0" w:space="0" w:color="auto"/>
        <w:bottom w:val="none" w:sz="0" w:space="0" w:color="auto"/>
        <w:right w:val="none" w:sz="0" w:space="0" w:color="auto"/>
      </w:divBdr>
    </w:div>
    <w:div w:id="163017017">
      <w:marLeft w:val="480"/>
      <w:marRight w:val="0"/>
      <w:marTop w:val="0"/>
      <w:marBottom w:val="0"/>
      <w:divBdr>
        <w:top w:val="none" w:sz="0" w:space="0" w:color="auto"/>
        <w:left w:val="none" w:sz="0" w:space="0" w:color="auto"/>
        <w:bottom w:val="none" w:sz="0" w:space="0" w:color="auto"/>
        <w:right w:val="none" w:sz="0" w:space="0" w:color="auto"/>
      </w:divBdr>
    </w:div>
    <w:div w:id="163201963">
      <w:marLeft w:val="480"/>
      <w:marRight w:val="0"/>
      <w:marTop w:val="0"/>
      <w:marBottom w:val="0"/>
      <w:divBdr>
        <w:top w:val="none" w:sz="0" w:space="0" w:color="auto"/>
        <w:left w:val="none" w:sz="0" w:space="0" w:color="auto"/>
        <w:bottom w:val="none" w:sz="0" w:space="0" w:color="auto"/>
        <w:right w:val="none" w:sz="0" w:space="0" w:color="auto"/>
      </w:divBdr>
    </w:div>
    <w:div w:id="163474528">
      <w:marLeft w:val="480"/>
      <w:marRight w:val="0"/>
      <w:marTop w:val="0"/>
      <w:marBottom w:val="0"/>
      <w:divBdr>
        <w:top w:val="none" w:sz="0" w:space="0" w:color="auto"/>
        <w:left w:val="none" w:sz="0" w:space="0" w:color="auto"/>
        <w:bottom w:val="none" w:sz="0" w:space="0" w:color="auto"/>
        <w:right w:val="none" w:sz="0" w:space="0" w:color="auto"/>
      </w:divBdr>
    </w:div>
    <w:div w:id="167407742">
      <w:marLeft w:val="480"/>
      <w:marRight w:val="0"/>
      <w:marTop w:val="0"/>
      <w:marBottom w:val="0"/>
      <w:divBdr>
        <w:top w:val="none" w:sz="0" w:space="0" w:color="auto"/>
        <w:left w:val="none" w:sz="0" w:space="0" w:color="auto"/>
        <w:bottom w:val="none" w:sz="0" w:space="0" w:color="auto"/>
        <w:right w:val="none" w:sz="0" w:space="0" w:color="auto"/>
      </w:divBdr>
    </w:div>
    <w:div w:id="167914548">
      <w:marLeft w:val="480"/>
      <w:marRight w:val="0"/>
      <w:marTop w:val="0"/>
      <w:marBottom w:val="0"/>
      <w:divBdr>
        <w:top w:val="none" w:sz="0" w:space="0" w:color="auto"/>
        <w:left w:val="none" w:sz="0" w:space="0" w:color="auto"/>
        <w:bottom w:val="none" w:sz="0" w:space="0" w:color="auto"/>
        <w:right w:val="none" w:sz="0" w:space="0" w:color="auto"/>
      </w:divBdr>
    </w:div>
    <w:div w:id="168300573">
      <w:marLeft w:val="480"/>
      <w:marRight w:val="0"/>
      <w:marTop w:val="0"/>
      <w:marBottom w:val="0"/>
      <w:divBdr>
        <w:top w:val="none" w:sz="0" w:space="0" w:color="auto"/>
        <w:left w:val="none" w:sz="0" w:space="0" w:color="auto"/>
        <w:bottom w:val="none" w:sz="0" w:space="0" w:color="auto"/>
        <w:right w:val="none" w:sz="0" w:space="0" w:color="auto"/>
      </w:divBdr>
    </w:div>
    <w:div w:id="170605726">
      <w:marLeft w:val="480"/>
      <w:marRight w:val="0"/>
      <w:marTop w:val="0"/>
      <w:marBottom w:val="0"/>
      <w:divBdr>
        <w:top w:val="none" w:sz="0" w:space="0" w:color="auto"/>
        <w:left w:val="none" w:sz="0" w:space="0" w:color="auto"/>
        <w:bottom w:val="none" w:sz="0" w:space="0" w:color="auto"/>
        <w:right w:val="none" w:sz="0" w:space="0" w:color="auto"/>
      </w:divBdr>
    </w:div>
    <w:div w:id="175578150">
      <w:marLeft w:val="480"/>
      <w:marRight w:val="0"/>
      <w:marTop w:val="0"/>
      <w:marBottom w:val="0"/>
      <w:divBdr>
        <w:top w:val="none" w:sz="0" w:space="0" w:color="auto"/>
        <w:left w:val="none" w:sz="0" w:space="0" w:color="auto"/>
        <w:bottom w:val="none" w:sz="0" w:space="0" w:color="auto"/>
        <w:right w:val="none" w:sz="0" w:space="0" w:color="auto"/>
      </w:divBdr>
    </w:div>
    <w:div w:id="176038959">
      <w:marLeft w:val="480"/>
      <w:marRight w:val="0"/>
      <w:marTop w:val="0"/>
      <w:marBottom w:val="0"/>
      <w:divBdr>
        <w:top w:val="none" w:sz="0" w:space="0" w:color="auto"/>
        <w:left w:val="none" w:sz="0" w:space="0" w:color="auto"/>
        <w:bottom w:val="none" w:sz="0" w:space="0" w:color="auto"/>
        <w:right w:val="none" w:sz="0" w:space="0" w:color="auto"/>
      </w:divBdr>
    </w:div>
    <w:div w:id="177542594">
      <w:marLeft w:val="480"/>
      <w:marRight w:val="0"/>
      <w:marTop w:val="0"/>
      <w:marBottom w:val="0"/>
      <w:divBdr>
        <w:top w:val="none" w:sz="0" w:space="0" w:color="auto"/>
        <w:left w:val="none" w:sz="0" w:space="0" w:color="auto"/>
        <w:bottom w:val="none" w:sz="0" w:space="0" w:color="auto"/>
        <w:right w:val="none" w:sz="0" w:space="0" w:color="auto"/>
      </w:divBdr>
    </w:div>
    <w:div w:id="180632424">
      <w:marLeft w:val="480"/>
      <w:marRight w:val="0"/>
      <w:marTop w:val="0"/>
      <w:marBottom w:val="0"/>
      <w:divBdr>
        <w:top w:val="none" w:sz="0" w:space="0" w:color="auto"/>
        <w:left w:val="none" w:sz="0" w:space="0" w:color="auto"/>
        <w:bottom w:val="none" w:sz="0" w:space="0" w:color="auto"/>
        <w:right w:val="none" w:sz="0" w:space="0" w:color="auto"/>
      </w:divBdr>
    </w:div>
    <w:div w:id="180898500">
      <w:marLeft w:val="480"/>
      <w:marRight w:val="0"/>
      <w:marTop w:val="0"/>
      <w:marBottom w:val="0"/>
      <w:divBdr>
        <w:top w:val="none" w:sz="0" w:space="0" w:color="auto"/>
        <w:left w:val="none" w:sz="0" w:space="0" w:color="auto"/>
        <w:bottom w:val="none" w:sz="0" w:space="0" w:color="auto"/>
        <w:right w:val="none" w:sz="0" w:space="0" w:color="auto"/>
      </w:divBdr>
    </w:div>
    <w:div w:id="182402779">
      <w:marLeft w:val="480"/>
      <w:marRight w:val="0"/>
      <w:marTop w:val="0"/>
      <w:marBottom w:val="0"/>
      <w:divBdr>
        <w:top w:val="none" w:sz="0" w:space="0" w:color="auto"/>
        <w:left w:val="none" w:sz="0" w:space="0" w:color="auto"/>
        <w:bottom w:val="none" w:sz="0" w:space="0" w:color="auto"/>
        <w:right w:val="none" w:sz="0" w:space="0" w:color="auto"/>
      </w:divBdr>
    </w:div>
    <w:div w:id="183594777">
      <w:marLeft w:val="480"/>
      <w:marRight w:val="0"/>
      <w:marTop w:val="0"/>
      <w:marBottom w:val="0"/>
      <w:divBdr>
        <w:top w:val="none" w:sz="0" w:space="0" w:color="auto"/>
        <w:left w:val="none" w:sz="0" w:space="0" w:color="auto"/>
        <w:bottom w:val="none" w:sz="0" w:space="0" w:color="auto"/>
        <w:right w:val="none" w:sz="0" w:space="0" w:color="auto"/>
      </w:divBdr>
    </w:div>
    <w:div w:id="183633833">
      <w:marLeft w:val="480"/>
      <w:marRight w:val="0"/>
      <w:marTop w:val="0"/>
      <w:marBottom w:val="0"/>
      <w:divBdr>
        <w:top w:val="none" w:sz="0" w:space="0" w:color="auto"/>
        <w:left w:val="none" w:sz="0" w:space="0" w:color="auto"/>
        <w:bottom w:val="none" w:sz="0" w:space="0" w:color="auto"/>
        <w:right w:val="none" w:sz="0" w:space="0" w:color="auto"/>
      </w:divBdr>
    </w:div>
    <w:div w:id="185750008">
      <w:marLeft w:val="480"/>
      <w:marRight w:val="0"/>
      <w:marTop w:val="0"/>
      <w:marBottom w:val="0"/>
      <w:divBdr>
        <w:top w:val="none" w:sz="0" w:space="0" w:color="auto"/>
        <w:left w:val="none" w:sz="0" w:space="0" w:color="auto"/>
        <w:bottom w:val="none" w:sz="0" w:space="0" w:color="auto"/>
        <w:right w:val="none" w:sz="0" w:space="0" w:color="auto"/>
      </w:divBdr>
    </w:div>
    <w:div w:id="188684596">
      <w:marLeft w:val="480"/>
      <w:marRight w:val="0"/>
      <w:marTop w:val="0"/>
      <w:marBottom w:val="0"/>
      <w:divBdr>
        <w:top w:val="none" w:sz="0" w:space="0" w:color="auto"/>
        <w:left w:val="none" w:sz="0" w:space="0" w:color="auto"/>
        <w:bottom w:val="none" w:sz="0" w:space="0" w:color="auto"/>
        <w:right w:val="none" w:sz="0" w:space="0" w:color="auto"/>
      </w:divBdr>
    </w:div>
    <w:div w:id="189415875">
      <w:marLeft w:val="480"/>
      <w:marRight w:val="0"/>
      <w:marTop w:val="0"/>
      <w:marBottom w:val="0"/>
      <w:divBdr>
        <w:top w:val="none" w:sz="0" w:space="0" w:color="auto"/>
        <w:left w:val="none" w:sz="0" w:space="0" w:color="auto"/>
        <w:bottom w:val="none" w:sz="0" w:space="0" w:color="auto"/>
        <w:right w:val="none" w:sz="0" w:space="0" w:color="auto"/>
      </w:divBdr>
    </w:div>
    <w:div w:id="189487992">
      <w:marLeft w:val="480"/>
      <w:marRight w:val="0"/>
      <w:marTop w:val="0"/>
      <w:marBottom w:val="0"/>
      <w:divBdr>
        <w:top w:val="none" w:sz="0" w:space="0" w:color="auto"/>
        <w:left w:val="none" w:sz="0" w:space="0" w:color="auto"/>
        <w:bottom w:val="none" w:sz="0" w:space="0" w:color="auto"/>
        <w:right w:val="none" w:sz="0" w:space="0" w:color="auto"/>
      </w:divBdr>
    </w:div>
    <w:div w:id="189531833">
      <w:marLeft w:val="480"/>
      <w:marRight w:val="0"/>
      <w:marTop w:val="0"/>
      <w:marBottom w:val="0"/>
      <w:divBdr>
        <w:top w:val="none" w:sz="0" w:space="0" w:color="auto"/>
        <w:left w:val="none" w:sz="0" w:space="0" w:color="auto"/>
        <w:bottom w:val="none" w:sz="0" w:space="0" w:color="auto"/>
        <w:right w:val="none" w:sz="0" w:space="0" w:color="auto"/>
      </w:divBdr>
    </w:div>
    <w:div w:id="190150854">
      <w:marLeft w:val="480"/>
      <w:marRight w:val="0"/>
      <w:marTop w:val="0"/>
      <w:marBottom w:val="0"/>
      <w:divBdr>
        <w:top w:val="none" w:sz="0" w:space="0" w:color="auto"/>
        <w:left w:val="none" w:sz="0" w:space="0" w:color="auto"/>
        <w:bottom w:val="none" w:sz="0" w:space="0" w:color="auto"/>
        <w:right w:val="none" w:sz="0" w:space="0" w:color="auto"/>
      </w:divBdr>
    </w:div>
    <w:div w:id="193269846">
      <w:marLeft w:val="480"/>
      <w:marRight w:val="0"/>
      <w:marTop w:val="0"/>
      <w:marBottom w:val="0"/>
      <w:divBdr>
        <w:top w:val="none" w:sz="0" w:space="0" w:color="auto"/>
        <w:left w:val="none" w:sz="0" w:space="0" w:color="auto"/>
        <w:bottom w:val="none" w:sz="0" w:space="0" w:color="auto"/>
        <w:right w:val="none" w:sz="0" w:space="0" w:color="auto"/>
      </w:divBdr>
    </w:div>
    <w:div w:id="195821676">
      <w:marLeft w:val="480"/>
      <w:marRight w:val="0"/>
      <w:marTop w:val="0"/>
      <w:marBottom w:val="0"/>
      <w:divBdr>
        <w:top w:val="none" w:sz="0" w:space="0" w:color="auto"/>
        <w:left w:val="none" w:sz="0" w:space="0" w:color="auto"/>
        <w:bottom w:val="none" w:sz="0" w:space="0" w:color="auto"/>
        <w:right w:val="none" w:sz="0" w:space="0" w:color="auto"/>
      </w:divBdr>
    </w:div>
    <w:div w:id="196967338">
      <w:marLeft w:val="480"/>
      <w:marRight w:val="0"/>
      <w:marTop w:val="0"/>
      <w:marBottom w:val="0"/>
      <w:divBdr>
        <w:top w:val="none" w:sz="0" w:space="0" w:color="auto"/>
        <w:left w:val="none" w:sz="0" w:space="0" w:color="auto"/>
        <w:bottom w:val="none" w:sz="0" w:space="0" w:color="auto"/>
        <w:right w:val="none" w:sz="0" w:space="0" w:color="auto"/>
      </w:divBdr>
    </w:div>
    <w:div w:id="200091947">
      <w:marLeft w:val="480"/>
      <w:marRight w:val="0"/>
      <w:marTop w:val="0"/>
      <w:marBottom w:val="0"/>
      <w:divBdr>
        <w:top w:val="none" w:sz="0" w:space="0" w:color="auto"/>
        <w:left w:val="none" w:sz="0" w:space="0" w:color="auto"/>
        <w:bottom w:val="none" w:sz="0" w:space="0" w:color="auto"/>
        <w:right w:val="none" w:sz="0" w:space="0" w:color="auto"/>
      </w:divBdr>
    </w:div>
    <w:div w:id="200166816">
      <w:marLeft w:val="480"/>
      <w:marRight w:val="0"/>
      <w:marTop w:val="0"/>
      <w:marBottom w:val="0"/>
      <w:divBdr>
        <w:top w:val="none" w:sz="0" w:space="0" w:color="auto"/>
        <w:left w:val="none" w:sz="0" w:space="0" w:color="auto"/>
        <w:bottom w:val="none" w:sz="0" w:space="0" w:color="auto"/>
        <w:right w:val="none" w:sz="0" w:space="0" w:color="auto"/>
      </w:divBdr>
    </w:div>
    <w:div w:id="203371551">
      <w:marLeft w:val="480"/>
      <w:marRight w:val="0"/>
      <w:marTop w:val="0"/>
      <w:marBottom w:val="0"/>
      <w:divBdr>
        <w:top w:val="none" w:sz="0" w:space="0" w:color="auto"/>
        <w:left w:val="none" w:sz="0" w:space="0" w:color="auto"/>
        <w:bottom w:val="none" w:sz="0" w:space="0" w:color="auto"/>
        <w:right w:val="none" w:sz="0" w:space="0" w:color="auto"/>
      </w:divBdr>
    </w:div>
    <w:div w:id="204757339">
      <w:marLeft w:val="480"/>
      <w:marRight w:val="0"/>
      <w:marTop w:val="0"/>
      <w:marBottom w:val="0"/>
      <w:divBdr>
        <w:top w:val="none" w:sz="0" w:space="0" w:color="auto"/>
        <w:left w:val="none" w:sz="0" w:space="0" w:color="auto"/>
        <w:bottom w:val="none" w:sz="0" w:space="0" w:color="auto"/>
        <w:right w:val="none" w:sz="0" w:space="0" w:color="auto"/>
      </w:divBdr>
    </w:div>
    <w:div w:id="207422304">
      <w:marLeft w:val="480"/>
      <w:marRight w:val="0"/>
      <w:marTop w:val="0"/>
      <w:marBottom w:val="0"/>
      <w:divBdr>
        <w:top w:val="none" w:sz="0" w:space="0" w:color="auto"/>
        <w:left w:val="none" w:sz="0" w:space="0" w:color="auto"/>
        <w:bottom w:val="none" w:sz="0" w:space="0" w:color="auto"/>
        <w:right w:val="none" w:sz="0" w:space="0" w:color="auto"/>
      </w:divBdr>
    </w:div>
    <w:div w:id="209342023">
      <w:marLeft w:val="480"/>
      <w:marRight w:val="0"/>
      <w:marTop w:val="0"/>
      <w:marBottom w:val="0"/>
      <w:divBdr>
        <w:top w:val="none" w:sz="0" w:space="0" w:color="auto"/>
        <w:left w:val="none" w:sz="0" w:space="0" w:color="auto"/>
        <w:bottom w:val="none" w:sz="0" w:space="0" w:color="auto"/>
        <w:right w:val="none" w:sz="0" w:space="0" w:color="auto"/>
      </w:divBdr>
    </w:div>
    <w:div w:id="209999141">
      <w:marLeft w:val="480"/>
      <w:marRight w:val="0"/>
      <w:marTop w:val="0"/>
      <w:marBottom w:val="0"/>
      <w:divBdr>
        <w:top w:val="none" w:sz="0" w:space="0" w:color="auto"/>
        <w:left w:val="none" w:sz="0" w:space="0" w:color="auto"/>
        <w:bottom w:val="none" w:sz="0" w:space="0" w:color="auto"/>
        <w:right w:val="none" w:sz="0" w:space="0" w:color="auto"/>
      </w:divBdr>
    </w:div>
    <w:div w:id="211188188">
      <w:marLeft w:val="480"/>
      <w:marRight w:val="0"/>
      <w:marTop w:val="0"/>
      <w:marBottom w:val="0"/>
      <w:divBdr>
        <w:top w:val="none" w:sz="0" w:space="0" w:color="auto"/>
        <w:left w:val="none" w:sz="0" w:space="0" w:color="auto"/>
        <w:bottom w:val="none" w:sz="0" w:space="0" w:color="auto"/>
        <w:right w:val="none" w:sz="0" w:space="0" w:color="auto"/>
      </w:divBdr>
    </w:div>
    <w:div w:id="211890007">
      <w:marLeft w:val="480"/>
      <w:marRight w:val="0"/>
      <w:marTop w:val="0"/>
      <w:marBottom w:val="0"/>
      <w:divBdr>
        <w:top w:val="none" w:sz="0" w:space="0" w:color="auto"/>
        <w:left w:val="none" w:sz="0" w:space="0" w:color="auto"/>
        <w:bottom w:val="none" w:sz="0" w:space="0" w:color="auto"/>
        <w:right w:val="none" w:sz="0" w:space="0" w:color="auto"/>
      </w:divBdr>
    </w:div>
    <w:div w:id="215820407">
      <w:marLeft w:val="480"/>
      <w:marRight w:val="0"/>
      <w:marTop w:val="0"/>
      <w:marBottom w:val="0"/>
      <w:divBdr>
        <w:top w:val="none" w:sz="0" w:space="0" w:color="auto"/>
        <w:left w:val="none" w:sz="0" w:space="0" w:color="auto"/>
        <w:bottom w:val="none" w:sz="0" w:space="0" w:color="auto"/>
        <w:right w:val="none" w:sz="0" w:space="0" w:color="auto"/>
      </w:divBdr>
    </w:div>
    <w:div w:id="220791970">
      <w:marLeft w:val="480"/>
      <w:marRight w:val="0"/>
      <w:marTop w:val="0"/>
      <w:marBottom w:val="0"/>
      <w:divBdr>
        <w:top w:val="none" w:sz="0" w:space="0" w:color="auto"/>
        <w:left w:val="none" w:sz="0" w:space="0" w:color="auto"/>
        <w:bottom w:val="none" w:sz="0" w:space="0" w:color="auto"/>
        <w:right w:val="none" w:sz="0" w:space="0" w:color="auto"/>
      </w:divBdr>
    </w:div>
    <w:div w:id="221914243">
      <w:marLeft w:val="480"/>
      <w:marRight w:val="0"/>
      <w:marTop w:val="0"/>
      <w:marBottom w:val="0"/>
      <w:divBdr>
        <w:top w:val="none" w:sz="0" w:space="0" w:color="auto"/>
        <w:left w:val="none" w:sz="0" w:space="0" w:color="auto"/>
        <w:bottom w:val="none" w:sz="0" w:space="0" w:color="auto"/>
        <w:right w:val="none" w:sz="0" w:space="0" w:color="auto"/>
      </w:divBdr>
    </w:div>
    <w:div w:id="223760002">
      <w:marLeft w:val="480"/>
      <w:marRight w:val="0"/>
      <w:marTop w:val="0"/>
      <w:marBottom w:val="0"/>
      <w:divBdr>
        <w:top w:val="none" w:sz="0" w:space="0" w:color="auto"/>
        <w:left w:val="none" w:sz="0" w:space="0" w:color="auto"/>
        <w:bottom w:val="none" w:sz="0" w:space="0" w:color="auto"/>
        <w:right w:val="none" w:sz="0" w:space="0" w:color="auto"/>
      </w:divBdr>
    </w:div>
    <w:div w:id="225915179">
      <w:marLeft w:val="480"/>
      <w:marRight w:val="0"/>
      <w:marTop w:val="0"/>
      <w:marBottom w:val="0"/>
      <w:divBdr>
        <w:top w:val="none" w:sz="0" w:space="0" w:color="auto"/>
        <w:left w:val="none" w:sz="0" w:space="0" w:color="auto"/>
        <w:bottom w:val="none" w:sz="0" w:space="0" w:color="auto"/>
        <w:right w:val="none" w:sz="0" w:space="0" w:color="auto"/>
      </w:divBdr>
    </w:div>
    <w:div w:id="226646146">
      <w:marLeft w:val="480"/>
      <w:marRight w:val="0"/>
      <w:marTop w:val="0"/>
      <w:marBottom w:val="0"/>
      <w:divBdr>
        <w:top w:val="none" w:sz="0" w:space="0" w:color="auto"/>
        <w:left w:val="none" w:sz="0" w:space="0" w:color="auto"/>
        <w:bottom w:val="none" w:sz="0" w:space="0" w:color="auto"/>
        <w:right w:val="none" w:sz="0" w:space="0" w:color="auto"/>
      </w:divBdr>
    </w:div>
    <w:div w:id="227302999">
      <w:marLeft w:val="480"/>
      <w:marRight w:val="0"/>
      <w:marTop w:val="0"/>
      <w:marBottom w:val="0"/>
      <w:divBdr>
        <w:top w:val="none" w:sz="0" w:space="0" w:color="auto"/>
        <w:left w:val="none" w:sz="0" w:space="0" w:color="auto"/>
        <w:bottom w:val="none" w:sz="0" w:space="0" w:color="auto"/>
        <w:right w:val="none" w:sz="0" w:space="0" w:color="auto"/>
      </w:divBdr>
    </w:div>
    <w:div w:id="228733221">
      <w:marLeft w:val="480"/>
      <w:marRight w:val="0"/>
      <w:marTop w:val="0"/>
      <w:marBottom w:val="0"/>
      <w:divBdr>
        <w:top w:val="none" w:sz="0" w:space="0" w:color="auto"/>
        <w:left w:val="none" w:sz="0" w:space="0" w:color="auto"/>
        <w:bottom w:val="none" w:sz="0" w:space="0" w:color="auto"/>
        <w:right w:val="none" w:sz="0" w:space="0" w:color="auto"/>
      </w:divBdr>
    </w:div>
    <w:div w:id="230045365">
      <w:marLeft w:val="480"/>
      <w:marRight w:val="0"/>
      <w:marTop w:val="0"/>
      <w:marBottom w:val="0"/>
      <w:divBdr>
        <w:top w:val="none" w:sz="0" w:space="0" w:color="auto"/>
        <w:left w:val="none" w:sz="0" w:space="0" w:color="auto"/>
        <w:bottom w:val="none" w:sz="0" w:space="0" w:color="auto"/>
        <w:right w:val="none" w:sz="0" w:space="0" w:color="auto"/>
      </w:divBdr>
    </w:div>
    <w:div w:id="231307705">
      <w:marLeft w:val="480"/>
      <w:marRight w:val="0"/>
      <w:marTop w:val="0"/>
      <w:marBottom w:val="0"/>
      <w:divBdr>
        <w:top w:val="none" w:sz="0" w:space="0" w:color="auto"/>
        <w:left w:val="none" w:sz="0" w:space="0" w:color="auto"/>
        <w:bottom w:val="none" w:sz="0" w:space="0" w:color="auto"/>
        <w:right w:val="none" w:sz="0" w:space="0" w:color="auto"/>
      </w:divBdr>
    </w:div>
    <w:div w:id="232588876">
      <w:marLeft w:val="480"/>
      <w:marRight w:val="0"/>
      <w:marTop w:val="0"/>
      <w:marBottom w:val="0"/>
      <w:divBdr>
        <w:top w:val="none" w:sz="0" w:space="0" w:color="auto"/>
        <w:left w:val="none" w:sz="0" w:space="0" w:color="auto"/>
        <w:bottom w:val="none" w:sz="0" w:space="0" w:color="auto"/>
        <w:right w:val="none" w:sz="0" w:space="0" w:color="auto"/>
      </w:divBdr>
    </w:div>
    <w:div w:id="233053658">
      <w:marLeft w:val="480"/>
      <w:marRight w:val="0"/>
      <w:marTop w:val="0"/>
      <w:marBottom w:val="0"/>
      <w:divBdr>
        <w:top w:val="none" w:sz="0" w:space="0" w:color="auto"/>
        <w:left w:val="none" w:sz="0" w:space="0" w:color="auto"/>
        <w:bottom w:val="none" w:sz="0" w:space="0" w:color="auto"/>
        <w:right w:val="none" w:sz="0" w:space="0" w:color="auto"/>
      </w:divBdr>
    </w:div>
    <w:div w:id="233509720">
      <w:marLeft w:val="480"/>
      <w:marRight w:val="0"/>
      <w:marTop w:val="0"/>
      <w:marBottom w:val="0"/>
      <w:divBdr>
        <w:top w:val="none" w:sz="0" w:space="0" w:color="auto"/>
        <w:left w:val="none" w:sz="0" w:space="0" w:color="auto"/>
        <w:bottom w:val="none" w:sz="0" w:space="0" w:color="auto"/>
        <w:right w:val="none" w:sz="0" w:space="0" w:color="auto"/>
      </w:divBdr>
    </w:div>
    <w:div w:id="234708873">
      <w:marLeft w:val="480"/>
      <w:marRight w:val="0"/>
      <w:marTop w:val="0"/>
      <w:marBottom w:val="0"/>
      <w:divBdr>
        <w:top w:val="none" w:sz="0" w:space="0" w:color="auto"/>
        <w:left w:val="none" w:sz="0" w:space="0" w:color="auto"/>
        <w:bottom w:val="none" w:sz="0" w:space="0" w:color="auto"/>
        <w:right w:val="none" w:sz="0" w:space="0" w:color="auto"/>
      </w:divBdr>
    </w:div>
    <w:div w:id="235896751">
      <w:marLeft w:val="480"/>
      <w:marRight w:val="0"/>
      <w:marTop w:val="0"/>
      <w:marBottom w:val="0"/>
      <w:divBdr>
        <w:top w:val="none" w:sz="0" w:space="0" w:color="auto"/>
        <w:left w:val="none" w:sz="0" w:space="0" w:color="auto"/>
        <w:bottom w:val="none" w:sz="0" w:space="0" w:color="auto"/>
        <w:right w:val="none" w:sz="0" w:space="0" w:color="auto"/>
      </w:divBdr>
    </w:div>
    <w:div w:id="240213308">
      <w:marLeft w:val="480"/>
      <w:marRight w:val="0"/>
      <w:marTop w:val="0"/>
      <w:marBottom w:val="0"/>
      <w:divBdr>
        <w:top w:val="none" w:sz="0" w:space="0" w:color="auto"/>
        <w:left w:val="none" w:sz="0" w:space="0" w:color="auto"/>
        <w:bottom w:val="none" w:sz="0" w:space="0" w:color="auto"/>
        <w:right w:val="none" w:sz="0" w:space="0" w:color="auto"/>
      </w:divBdr>
    </w:div>
    <w:div w:id="240798461">
      <w:marLeft w:val="480"/>
      <w:marRight w:val="0"/>
      <w:marTop w:val="0"/>
      <w:marBottom w:val="0"/>
      <w:divBdr>
        <w:top w:val="none" w:sz="0" w:space="0" w:color="auto"/>
        <w:left w:val="none" w:sz="0" w:space="0" w:color="auto"/>
        <w:bottom w:val="none" w:sz="0" w:space="0" w:color="auto"/>
        <w:right w:val="none" w:sz="0" w:space="0" w:color="auto"/>
      </w:divBdr>
    </w:div>
    <w:div w:id="242227223">
      <w:marLeft w:val="480"/>
      <w:marRight w:val="0"/>
      <w:marTop w:val="0"/>
      <w:marBottom w:val="0"/>
      <w:divBdr>
        <w:top w:val="none" w:sz="0" w:space="0" w:color="auto"/>
        <w:left w:val="none" w:sz="0" w:space="0" w:color="auto"/>
        <w:bottom w:val="none" w:sz="0" w:space="0" w:color="auto"/>
        <w:right w:val="none" w:sz="0" w:space="0" w:color="auto"/>
      </w:divBdr>
    </w:div>
    <w:div w:id="242646966">
      <w:marLeft w:val="480"/>
      <w:marRight w:val="0"/>
      <w:marTop w:val="0"/>
      <w:marBottom w:val="0"/>
      <w:divBdr>
        <w:top w:val="none" w:sz="0" w:space="0" w:color="auto"/>
        <w:left w:val="none" w:sz="0" w:space="0" w:color="auto"/>
        <w:bottom w:val="none" w:sz="0" w:space="0" w:color="auto"/>
        <w:right w:val="none" w:sz="0" w:space="0" w:color="auto"/>
      </w:divBdr>
    </w:div>
    <w:div w:id="242960590">
      <w:marLeft w:val="480"/>
      <w:marRight w:val="0"/>
      <w:marTop w:val="0"/>
      <w:marBottom w:val="0"/>
      <w:divBdr>
        <w:top w:val="none" w:sz="0" w:space="0" w:color="auto"/>
        <w:left w:val="none" w:sz="0" w:space="0" w:color="auto"/>
        <w:bottom w:val="none" w:sz="0" w:space="0" w:color="auto"/>
        <w:right w:val="none" w:sz="0" w:space="0" w:color="auto"/>
      </w:divBdr>
    </w:div>
    <w:div w:id="247347176">
      <w:bodyDiv w:val="1"/>
      <w:marLeft w:val="0"/>
      <w:marRight w:val="0"/>
      <w:marTop w:val="0"/>
      <w:marBottom w:val="0"/>
      <w:divBdr>
        <w:top w:val="none" w:sz="0" w:space="0" w:color="auto"/>
        <w:left w:val="none" w:sz="0" w:space="0" w:color="auto"/>
        <w:bottom w:val="none" w:sz="0" w:space="0" w:color="auto"/>
        <w:right w:val="none" w:sz="0" w:space="0" w:color="auto"/>
      </w:divBdr>
    </w:div>
    <w:div w:id="247425276">
      <w:marLeft w:val="480"/>
      <w:marRight w:val="0"/>
      <w:marTop w:val="0"/>
      <w:marBottom w:val="0"/>
      <w:divBdr>
        <w:top w:val="none" w:sz="0" w:space="0" w:color="auto"/>
        <w:left w:val="none" w:sz="0" w:space="0" w:color="auto"/>
        <w:bottom w:val="none" w:sz="0" w:space="0" w:color="auto"/>
        <w:right w:val="none" w:sz="0" w:space="0" w:color="auto"/>
      </w:divBdr>
    </w:div>
    <w:div w:id="250896720">
      <w:marLeft w:val="480"/>
      <w:marRight w:val="0"/>
      <w:marTop w:val="0"/>
      <w:marBottom w:val="0"/>
      <w:divBdr>
        <w:top w:val="none" w:sz="0" w:space="0" w:color="auto"/>
        <w:left w:val="none" w:sz="0" w:space="0" w:color="auto"/>
        <w:bottom w:val="none" w:sz="0" w:space="0" w:color="auto"/>
        <w:right w:val="none" w:sz="0" w:space="0" w:color="auto"/>
      </w:divBdr>
    </w:div>
    <w:div w:id="251209754">
      <w:marLeft w:val="480"/>
      <w:marRight w:val="0"/>
      <w:marTop w:val="0"/>
      <w:marBottom w:val="0"/>
      <w:divBdr>
        <w:top w:val="none" w:sz="0" w:space="0" w:color="auto"/>
        <w:left w:val="none" w:sz="0" w:space="0" w:color="auto"/>
        <w:bottom w:val="none" w:sz="0" w:space="0" w:color="auto"/>
        <w:right w:val="none" w:sz="0" w:space="0" w:color="auto"/>
      </w:divBdr>
    </w:div>
    <w:div w:id="255288021">
      <w:marLeft w:val="480"/>
      <w:marRight w:val="0"/>
      <w:marTop w:val="0"/>
      <w:marBottom w:val="0"/>
      <w:divBdr>
        <w:top w:val="none" w:sz="0" w:space="0" w:color="auto"/>
        <w:left w:val="none" w:sz="0" w:space="0" w:color="auto"/>
        <w:bottom w:val="none" w:sz="0" w:space="0" w:color="auto"/>
        <w:right w:val="none" w:sz="0" w:space="0" w:color="auto"/>
      </w:divBdr>
    </w:div>
    <w:div w:id="258029016">
      <w:marLeft w:val="480"/>
      <w:marRight w:val="0"/>
      <w:marTop w:val="0"/>
      <w:marBottom w:val="0"/>
      <w:divBdr>
        <w:top w:val="none" w:sz="0" w:space="0" w:color="auto"/>
        <w:left w:val="none" w:sz="0" w:space="0" w:color="auto"/>
        <w:bottom w:val="none" w:sz="0" w:space="0" w:color="auto"/>
        <w:right w:val="none" w:sz="0" w:space="0" w:color="auto"/>
      </w:divBdr>
    </w:div>
    <w:div w:id="259605151">
      <w:marLeft w:val="480"/>
      <w:marRight w:val="0"/>
      <w:marTop w:val="0"/>
      <w:marBottom w:val="0"/>
      <w:divBdr>
        <w:top w:val="none" w:sz="0" w:space="0" w:color="auto"/>
        <w:left w:val="none" w:sz="0" w:space="0" w:color="auto"/>
        <w:bottom w:val="none" w:sz="0" w:space="0" w:color="auto"/>
        <w:right w:val="none" w:sz="0" w:space="0" w:color="auto"/>
      </w:divBdr>
    </w:div>
    <w:div w:id="260380672">
      <w:marLeft w:val="480"/>
      <w:marRight w:val="0"/>
      <w:marTop w:val="0"/>
      <w:marBottom w:val="0"/>
      <w:divBdr>
        <w:top w:val="none" w:sz="0" w:space="0" w:color="auto"/>
        <w:left w:val="none" w:sz="0" w:space="0" w:color="auto"/>
        <w:bottom w:val="none" w:sz="0" w:space="0" w:color="auto"/>
        <w:right w:val="none" w:sz="0" w:space="0" w:color="auto"/>
      </w:divBdr>
    </w:div>
    <w:div w:id="260534136">
      <w:marLeft w:val="480"/>
      <w:marRight w:val="0"/>
      <w:marTop w:val="0"/>
      <w:marBottom w:val="0"/>
      <w:divBdr>
        <w:top w:val="none" w:sz="0" w:space="0" w:color="auto"/>
        <w:left w:val="none" w:sz="0" w:space="0" w:color="auto"/>
        <w:bottom w:val="none" w:sz="0" w:space="0" w:color="auto"/>
        <w:right w:val="none" w:sz="0" w:space="0" w:color="auto"/>
      </w:divBdr>
    </w:div>
    <w:div w:id="260601558">
      <w:marLeft w:val="480"/>
      <w:marRight w:val="0"/>
      <w:marTop w:val="0"/>
      <w:marBottom w:val="0"/>
      <w:divBdr>
        <w:top w:val="none" w:sz="0" w:space="0" w:color="auto"/>
        <w:left w:val="none" w:sz="0" w:space="0" w:color="auto"/>
        <w:bottom w:val="none" w:sz="0" w:space="0" w:color="auto"/>
        <w:right w:val="none" w:sz="0" w:space="0" w:color="auto"/>
      </w:divBdr>
    </w:div>
    <w:div w:id="261034129">
      <w:marLeft w:val="480"/>
      <w:marRight w:val="0"/>
      <w:marTop w:val="0"/>
      <w:marBottom w:val="0"/>
      <w:divBdr>
        <w:top w:val="none" w:sz="0" w:space="0" w:color="auto"/>
        <w:left w:val="none" w:sz="0" w:space="0" w:color="auto"/>
        <w:bottom w:val="none" w:sz="0" w:space="0" w:color="auto"/>
        <w:right w:val="none" w:sz="0" w:space="0" w:color="auto"/>
      </w:divBdr>
    </w:div>
    <w:div w:id="261959183">
      <w:marLeft w:val="480"/>
      <w:marRight w:val="0"/>
      <w:marTop w:val="0"/>
      <w:marBottom w:val="0"/>
      <w:divBdr>
        <w:top w:val="none" w:sz="0" w:space="0" w:color="auto"/>
        <w:left w:val="none" w:sz="0" w:space="0" w:color="auto"/>
        <w:bottom w:val="none" w:sz="0" w:space="0" w:color="auto"/>
        <w:right w:val="none" w:sz="0" w:space="0" w:color="auto"/>
      </w:divBdr>
    </w:div>
    <w:div w:id="264770317">
      <w:marLeft w:val="480"/>
      <w:marRight w:val="0"/>
      <w:marTop w:val="0"/>
      <w:marBottom w:val="0"/>
      <w:divBdr>
        <w:top w:val="none" w:sz="0" w:space="0" w:color="auto"/>
        <w:left w:val="none" w:sz="0" w:space="0" w:color="auto"/>
        <w:bottom w:val="none" w:sz="0" w:space="0" w:color="auto"/>
        <w:right w:val="none" w:sz="0" w:space="0" w:color="auto"/>
      </w:divBdr>
    </w:div>
    <w:div w:id="265817153">
      <w:marLeft w:val="480"/>
      <w:marRight w:val="0"/>
      <w:marTop w:val="0"/>
      <w:marBottom w:val="0"/>
      <w:divBdr>
        <w:top w:val="none" w:sz="0" w:space="0" w:color="auto"/>
        <w:left w:val="none" w:sz="0" w:space="0" w:color="auto"/>
        <w:bottom w:val="none" w:sz="0" w:space="0" w:color="auto"/>
        <w:right w:val="none" w:sz="0" w:space="0" w:color="auto"/>
      </w:divBdr>
    </w:div>
    <w:div w:id="267934804">
      <w:marLeft w:val="480"/>
      <w:marRight w:val="0"/>
      <w:marTop w:val="0"/>
      <w:marBottom w:val="0"/>
      <w:divBdr>
        <w:top w:val="none" w:sz="0" w:space="0" w:color="auto"/>
        <w:left w:val="none" w:sz="0" w:space="0" w:color="auto"/>
        <w:bottom w:val="none" w:sz="0" w:space="0" w:color="auto"/>
        <w:right w:val="none" w:sz="0" w:space="0" w:color="auto"/>
      </w:divBdr>
    </w:div>
    <w:div w:id="268587368">
      <w:marLeft w:val="480"/>
      <w:marRight w:val="0"/>
      <w:marTop w:val="0"/>
      <w:marBottom w:val="0"/>
      <w:divBdr>
        <w:top w:val="none" w:sz="0" w:space="0" w:color="auto"/>
        <w:left w:val="none" w:sz="0" w:space="0" w:color="auto"/>
        <w:bottom w:val="none" w:sz="0" w:space="0" w:color="auto"/>
        <w:right w:val="none" w:sz="0" w:space="0" w:color="auto"/>
      </w:divBdr>
    </w:div>
    <w:div w:id="269167323">
      <w:marLeft w:val="480"/>
      <w:marRight w:val="0"/>
      <w:marTop w:val="0"/>
      <w:marBottom w:val="0"/>
      <w:divBdr>
        <w:top w:val="none" w:sz="0" w:space="0" w:color="auto"/>
        <w:left w:val="none" w:sz="0" w:space="0" w:color="auto"/>
        <w:bottom w:val="none" w:sz="0" w:space="0" w:color="auto"/>
        <w:right w:val="none" w:sz="0" w:space="0" w:color="auto"/>
      </w:divBdr>
    </w:div>
    <w:div w:id="269439751">
      <w:marLeft w:val="480"/>
      <w:marRight w:val="0"/>
      <w:marTop w:val="0"/>
      <w:marBottom w:val="0"/>
      <w:divBdr>
        <w:top w:val="none" w:sz="0" w:space="0" w:color="auto"/>
        <w:left w:val="none" w:sz="0" w:space="0" w:color="auto"/>
        <w:bottom w:val="none" w:sz="0" w:space="0" w:color="auto"/>
        <w:right w:val="none" w:sz="0" w:space="0" w:color="auto"/>
      </w:divBdr>
    </w:div>
    <w:div w:id="272127317">
      <w:marLeft w:val="480"/>
      <w:marRight w:val="0"/>
      <w:marTop w:val="0"/>
      <w:marBottom w:val="0"/>
      <w:divBdr>
        <w:top w:val="none" w:sz="0" w:space="0" w:color="auto"/>
        <w:left w:val="none" w:sz="0" w:space="0" w:color="auto"/>
        <w:bottom w:val="none" w:sz="0" w:space="0" w:color="auto"/>
        <w:right w:val="none" w:sz="0" w:space="0" w:color="auto"/>
      </w:divBdr>
    </w:div>
    <w:div w:id="274217251">
      <w:marLeft w:val="480"/>
      <w:marRight w:val="0"/>
      <w:marTop w:val="0"/>
      <w:marBottom w:val="0"/>
      <w:divBdr>
        <w:top w:val="none" w:sz="0" w:space="0" w:color="auto"/>
        <w:left w:val="none" w:sz="0" w:space="0" w:color="auto"/>
        <w:bottom w:val="none" w:sz="0" w:space="0" w:color="auto"/>
        <w:right w:val="none" w:sz="0" w:space="0" w:color="auto"/>
      </w:divBdr>
    </w:div>
    <w:div w:id="276721627">
      <w:marLeft w:val="480"/>
      <w:marRight w:val="0"/>
      <w:marTop w:val="0"/>
      <w:marBottom w:val="0"/>
      <w:divBdr>
        <w:top w:val="none" w:sz="0" w:space="0" w:color="auto"/>
        <w:left w:val="none" w:sz="0" w:space="0" w:color="auto"/>
        <w:bottom w:val="none" w:sz="0" w:space="0" w:color="auto"/>
        <w:right w:val="none" w:sz="0" w:space="0" w:color="auto"/>
      </w:divBdr>
    </w:div>
    <w:div w:id="279193931">
      <w:marLeft w:val="480"/>
      <w:marRight w:val="0"/>
      <w:marTop w:val="0"/>
      <w:marBottom w:val="0"/>
      <w:divBdr>
        <w:top w:val="none" w:sz="0" w:space="0" w:color="auto"/>
        <w:left w:val="none" w:sz="0" w:space="0" w:color="auto"/>
        <w:bottom w:val="none" w:sz="0" w:space="0" w:color="auto"/>
        <w:right w:val="none" w:sz="0" w:space="0" w:color="auto"/>
      </w:divBdr>
    </w:div>
    <w:div w:id="279647807">
      <w:marLeft w:val="480"/>
      <w:marRight w:val="0"/>
      <w:marTop w:val="0"/>
      <w:marBottom w:val="0"/>
      <w:divBdr>
        <w:top w:val="none" w:sz="0" w:space="0" w:color="auto"/>
        <w:left w:val="none" w:sz="0" w:space="0" w:color="auto"/>
        <w:bottom w:val="none" w:sz="0" w:space="0" w:color="auto"/>
        <w:right w:val="none" w:sz="0" w:space="0" w:color="auto"/>
      </w:divBdr>
    </w:div>
    <w:div w:id="280309274">
      <w:marLeft w:val="480"/>
      <w:marRight w:val="0"/>
      <w:marTop w:val="0"/>
      <w:marBottom w:val="0"/>
      <w:divBdr>
        <w:top w:val="none" w:sz="0" w:space="0" w:color="auto"/>
        <w:left w:val="none" w:sz="0" w:space="0" w:color="auto"/>
        <w:bottom w:val="none" w:sz="0" w:space="0" w:color="auto"/>
        <w:right w:val="none" w:sz="0" w:space="0" w:color="auto"/>
      </w:divBdr>
    </w:div>
    <w:div w:id="280579355">
      <w:marLeft w:val="480"/>
      <w:marRight w:val="0"/>
      <w:marTop w:val="0"/>
      <w:marBottom w:val="0"/>
      <w:divBdr>
        <w:top w:val="none" w:sz="0" w:space="0" w:color="auto"/>
        <w:left w:val="none" w:sz="0" w:space="0" w:color="auto"/>
        <w:bottom w:val="none" w:sz="0" w:space="0" w:color="auto"/>
        <w:right w:val="none" w:sz="0" w:space="0" w:color="auto"/>
      </w:divBdr>
    </w:div>
    <w:div w:id="281617462">
      <w:marLeft w:val="480"/>
      <w:marRight w:val="0"/>
      <w:marTop w:val="0"/>
      <w:marBottom w:val="0"/>
      <w:divBdr>
        <w:top w:val="none" w:sz="0" w:space="0" w:color="auto"/>
        <w:left w:val="none" w:sz="0" w:space="0" w:color="auto"/>
        <w:bottom w:val="none" w:sz="0" w:space="0" w:color="auto"/>
        <w:right w:val="none" w:sz="0" w:space="0" w:color="auto"/>
      </w:divBdr>
    </w:div>
    <w:div w:id="282422701">
      <w:marLeft w:val="480"/>
      <w:marRight w:val="0"/>
      <w:marTop w:val="0"/>
      <w:marBottom w:val="0"/>
      <w:divBdr>
        <w:top w:val="none" w:sz="0" w:space="0" w:color="auto"/>
        <w:left w:val="none" w:sz="0" w:space="0" w:color="auto"/>
        <w:bottom w:val="none" w:sz="0" w:space="0" w:color="auto"/>
        <w:right w:val="none" w:sz="0" w:space="0" w:color="auto"/>
      </w:divBdr>
    </w:div>
    <w:div w:id="283928508">
      <w:marLeft w:val="480"/>
      <w:marRight w:val="0"/>
      <w:marTop w:val="0"/>
      <w:marBottom w:val="0"/>
      <w:divBdr>
        <w:top w:val="none" w:sz="0" w:space="0" w:color="auto"/>
        <w:left w:val="none" w:sz="0" w:space="0" w:color="auto"/>
        <w:bottom w:val="none" w:sz="0" w:space="0" w:color="auto"/>
        <w:right w:val="none" w:sz="0" w:space="0" w:color="auto"/>
      </w:divBdr>
    </w:div>
    <w:div w:id="284315031">
      <w:marLeft w:val="480"/>
      <w:marRight w:val="0"/>
      <w:marTop w:val="0"/>
      <w:marBottom w:val="0"/>
      <w:divBdr>
        <w:top w:val="none" w:sz="0" w:space="0" w:color="auto"/>
        <w:left w:val="none" w:sz="0" w:space="0" w:color="auto"/>
        <w:bottom w:val="none" w:sz="0" w:space="0" w:color="auto"/>
        <w:right w:val="none" w:sz="0" w:space="0" w:color="auto"/>
      </w:divBdr>
    </w:div>
    <w:div w:id="284655147">
      <w:marLeft w:val="480"/>
      <w:marRight w:val="0"/>
      <w:marTop w:val="0"/>
      <w:marBottom w:val="0"/>
      <w:divBdr>
        <w:top w:val="none" w:sz="0" w:space="0" w:color="auto"/>
        <w:left w:val="none" w:sz="0" w:space="0" w:color="auto"/>
        <w:bottom w:val="none" w:sz="0" w:space="0" w:color="auto"/>
        <w:right w:val="none" w:sz="0" w:space="0" w:color="auto"/>
      </w:divBdr>
    </w:div>
    <w:div w:id="288628906">
      <w:marLeft w:val="480"/>
      <w:marRight w:val="0"/>
      <w:marTop w:val="0"/>
      <w:marBottom w:val="0"/>
      <w:divBdr>
        <w:top w:val="none" w:sz="0" w:space="0" w:color="auto"/>
        <w:left w:val="none" w:sz="0" w:space="0" w:color="auto"/>
        <w:bottom w:val="none" w:sz="0" w:space="0" w:color="auto"/>
        <w:right w:val="none" w:sz="0" w:space="0" w:color="auto"/>
      </w:divBdr>
    </w:div>
    <w:div w:id="288971952">
      <w:marLeft w:val="480"/>
      <w:marRight w:val="0"/>
      <w:marTop w:val="0"/>
      <w:marBottom w:val="0"/>
      <w:divBdr>
        <w:top w:val="none" w:sz="0" w:space="0" w:color="auto"/>
        <w:left w:val="none" w:sz="0" w:space="0" w:color="auto"/>
        <w:bottom w:val="none" w:sz="0" w:space="0" w:color="auto"/>
        <w:right w:val="none" w:sz="0" w:space="0" w:color="auto"/>
      </w:divBdr>
    </w:div>
    <w:div w:id="289869671">
      <w:marLeft w:val="480"/>
      <w:marRight w:val="0"/>
      <w:marTop w:val="0"/>
      <w:marBottom w:val="0"/>
      <w:divBdr>
        <w:top w:val="none" w:sz="0" w:space="0" w:color="auto"/>
        <w:left w:val="none" w:sz="0" w:space="0" w:color="auto"/>
        <w:bottom w:val="none" w:sz="0" w:space="0" w:color="auto"/>
        <w:right w:val="none" w:sz="0" w:space="0" w:color="auto"/>
      </w:divBdr>
    </w:div>
    <w:div w:id="295333894">
      <w:marLeft w:val="480"/>
      <w:marRight w:val="0"/>
      <w:marTop w:val="0"/>
      <w:marBottom w:val="0"/>
      <w:divBdr>
        <w:top w:val="none" w:sz="0" w:space="0" w:color="auto"/>
        <w:left w:val="none" w:sz="0" w:space="0" w:color="auto"/>
        <w:bottom w:val="none" w:sz="0" w:space="0" w:color="auto"/>
        <w:right w:val="none" w:sz="0" w:space="0" w:color="auto"/>
      </w:divBdr>
    </w:div>
    <w:div w:id="296491186">
      <w:marLeft w:val="480"/>
      <w:marRight w:val="0"/>
      <w:marTop w:val="0"/>
      <w:marBottom w:val="0"/>
      <w:divBdr>
        <w:top w:val="none" w:sz="0" w:space="0" w:color="auto"/>
        <w:left w:val="none" w:sz="0" w:space="0" w:color="auto"/>
        <w:bottom w:val="none" w:sz="0" w:space="0" w:color="auto"/>
        <w:right w:val="none" w:sz="0" w:space="0" w:color="auto"/>
      </w:divBdr>
    </w:div>
    <w:div w:id="299504987">
      <w:marLeft w:val="480"/>
      <w:marRight w:val="0"/>
      <w:marTop w:val="0"/>
      <w:marBottom w:val="0"/>
      <w:divBdr>
        <w:top w:val="none" w:sz="0" w:space="0" w:color="auto"/>
        <w:left w:val="none" w:sz="0" w:space="0" w:color="auto"/>
        <w:bottom w:val="none" w:sz="0" w:space="0" w:color="auto"/>
        <w:right w:val="none" w:sz="0" w:space="0" w:color="auto"/>
      </w:divBdr>
    </w:div>
    <w:div w:id="303971920">
      <w:marLeft w:val="480"/>
      <w:marRight w:val="0"/>
      <w:marTop w:val="0"/>
      <w:marBottom w:val="0"/>
      <w:divBdr>
        <w:top w:val="none" w:sz="0" w:space="0" w:color="auto"/>
        <w:left w:val="none" w:sz="0" w:space="0" w:color="auto"/>
        <w:bottom w:val="none" w:sz="0" w:space="0" w:color="auto"/>
        <w:right w:val="none" w:sz="0" w:space="0" w:color="auto"/>
      </w:divBdr>
    </w:div>
    <w:div w:id="307369563">
      <w:marLeft w:val="480"/>
      <w:marRight w:val="0"/>
      <w:marTop w:val="0"/>
      <w:marBottom w:val="0"/>
      <w:divBdr>
        <w:top w:val="none" w:sz="0" w:space="0" w:color="auto"/>
        <w:left w:val="none" w:sz="0" w:space="0" w:color="auto"/>
        <w:bottom w:val="none" w:sz="0" w:space="0" w:color="auto"/>
        <w:right w:val="none" w:sz="0" w:space="0" w:color="auto"/>
      </w:divBdr>
    </w:div>
    <w:div w:id="307906884">
      <w:marLeft w:val="480"/>
      <w:marRight w:val="0"/>
      <w:marTop w:val="0"/>
      <w:marBottom w:val="0"/>
      <w:divBdr>
        <w:top w:val="none" w:sz="0" w:space="0" w:color="auto"/>
        <w:left w:val="none" w:sz="0" w:space="0" w:color="auto"/>
        <w:bottom w:val="none" w:sz="0" w:space="0" w:color="auto"/>
        <w:right w:val="none" w:sz="0" w:space="0" w:color="auto"/>
      </w:divBdr>
    </w:div>
    <w:div w:id="313291712">
      <w:marLeft w:val="480"/>
      <w:marRight w:val="0"/>
      <w:marTop w:val="0"/>
      <w:marBottom w:val="0"/>
      <w:divBdr>
        <w:top w:val="none" w:sz="0" w:space="0" w:color="auto"/>
        <w:left w:val="none" w:sz="0" w:space="0" w:color="auto"/>
        <w:bottom w:val="none" w:sz="0" w:space="0" w:color="auto"/>
        <w:right w:val="none" w:sz="0" w:space="0" w:color="auto"/>
      </w:divBdr>
    </w:div>
    <w:div w:id="315110757">
      <w:marLeft w:val="480"/>
      <w:marRight w:val="0"/>
      <w:marTop w:val="0"/>
      <w:marBottom w:val="0"/>
      <w:divBdr>
        <w:top w:val="none" w:sz="0" w:space="0" w:color="auto"/>
        <w:left w:val="none" w:sz="0" w:space="0" w:color="auto"/>
        <w:bottom w:val="none" w:sz="0" w:space="0" w:color="auto"/>
        <w:right w:val="none" w:sz="0" w:space="0" w:color="auto"/>
      </w:divBdr>
    </w:div>
    <w:div w:id="315569704">
      <w:marLeft w:val="480"/>
      <w:marRight w:val="0"/>
      <w:marTop w:val="0"/>
      <w:marBottom w:val="0"/>
      <w:divBdr>
        <w:top w:val="none" w:sz="0" w:space="0" w:color="auto"/>
        <w:left w:val="none" w:sz="0" w:space="0" w:color="auto"/>
        <w:bottom w:val="none" w:sz="0" w:space="0" w:color="auto"/>
        <w:right w:val="none" w:sz="0" w:space="0" w:color="auto"/>
      </w:divBdr>
    </w:div>
    <w:div w:id="316959008">
      <w:marLeft w:val="480"/>
      <w:marRight w:val="0"/>
      <w:marTop w:val="0"/>
      <w:marBottom w:val="0"/>
      <w:divBdr>
        <w:top w:val="none" w:sz="0" w:space="0" w:color="auto"/>
        <w:left w:val="none" w:sz="0" w:space="0" w:color="auto"/>
        <w:bottom w:val="none" w:sz="0" w:space="0" w:color="auto"/>
        <w:right w:val="none" w:sz="0" w:space="0" w:color="auto"/>
      </w:divBdr>
    </w:div>
    <w:div w:id="317540564">
      <w:marLeft w:val="480"/>
      <w:marRight w:val="0"/>
      <w:marTop w:val="0"/>
      <w:marBottom w:val="0"/>
      <w:divBdr>
        <w:top w:val="none" w:sz="0" w:space="0" w:color="auto"/>
        <w:left w:val="none" w:sz="0" w:space="0" w:color="auto"/>
        <w:bottom w:val="none" w:sz="0" w:space="0" w:color="auto"/>
        <w:right w:val="none" w:sz="0" w:space="0" w:color="auto"/>
      </w:divBdr>
    </w:div>
    <w:div w:id="318076349">
      <w:marLeft w:val="480"/>
      <w:marRight w:val="0"/>
      <w:marTop w:val="0"/>
      <w:marBottom w:val="0"/>
      <w:divBdr>
        <w:top w:val="none" w:sz="0" w:space="0" w:color="auto"/>
        <w:left w:val="none" w:sz="0" w:space="0" w:color="auto"/>
        <w:bottom w:val="none" w:sz="0" w:space="0" w:color="auto"/>
        <w:right w:val="none" w:sz="0" w:space="0" w:color="auto"/>
      </w:divBdr>
    </w:div>
    <w:div w:id="319044097">
      <w:marLeft w:val="480"/>
      <w:marRight w:val="0"/>
      <w:marTop w:val="0"/>
      <w:marBottom w:val="0"/>
      <w:divBdr>
        <w:top w:val="none" w:sz="0" w:space="0" w:color="auto"/>
        <w:left w:val="none" w:sz="0" w:space="0" w:color="auto"/>
        <w:bottom w:val="none" w:sz="0" w:space="0" w:color="auto"/>
        <w:right w:val="none" w:sz="0" w:space="0" w:color="auto"/>
      </w:divBdr>
    </w:div>
    <w:div w:id="319699820">
      <w:marLeft w:val="480"/>
      <w:marRight w:val="0"/>
      <w:marTop w:val="0"/>
      <w:marBottom w:val="0"/>
      <w:divBdr>
        <w:top w:val="none" w:sz="0" w:space="0" w:color="auto"/>
        <w:left w:val="none" w:sz="0" w:space="0" w:color="auto"/>
        <w:bottom w:val="none" w:sz="0" w:space="0" w:color="auto"/>
        <w:right w:val="none" w:sz="0" w:space="0" w:color="auto"/>
      </w:divBdr>
    </w:div>
    <w:div w:id="321547668">
      <w:marLeft w:val="480"/>
      <w:marRight w:val="0"/>
      <w:marTop w:val="0"/>
      <w:marBottom w:val="0"/>
      <w:divBdr>
        <w:top w:val="none" w:sz="0" w:space="0" w:color="auto"/>
        <w:left w:val="none" w:sz="0" w:space="0" w:color="auto"/>
        <w:bottom w:val="none" w:sz="0" w:space="0" w:color="auto"/>
        <w:right w:val="none" w:sz="0" w:space="0" w:color="auto"/>
      </w:divBdr>
    </w:div>
    <w:div w:id="324943677">
      <w:marLeft w:val="480"/>
      <w:marRight w:val="0"/>
      <w:marTop w:val="0"/>
      <w:marBottom w:val="0"/>
      <w:divBdr>
        <w:top w:val="none" w:sz="0" w:space="0" w:color="auto"/>
        <w:left w:val="none" w:sz="0" w:space="0" w:color="auto"/>
        <w:bottom w:val="none" w:sz="0" w:space="0" w:color="auto"/>
        <w:right w:val="none" w:sz="0" w:space="0" w:color="auto"/>
      </w:divBdr>
    </w:div>
    <w:div w:id="327637081">
      <w:marLeft w:val="480"/>
      <w:marRight w:val="0"/>
      <w:marTop w:val="0"/>
      <w:marBottom w:val="0"/>
      <w:divBdr>
        <w:top w:val="none" w:sz="0" w:space="0" w:color="auto"/>
        <w:left w:val="none" w:sz="0" w:space="0" w:color="auto"/>
        <w:bottom w:val="none" w:sz="0" w:space="0" w:color="auto"/>
        <w:right w:val="none" w:sz="0" w:space="0" w:color="auto"/>
      </w:divBdr>
    </w:div>
    <w:div w:id="328405181">
      <w:marLeft w:val="480"/>
      <w:marRight w:val="0"/>
      <w:marTop w:val="0"/>
      <w:marBottom w:val="0"/>
      <w:divBdr>
        <w:top w:val="none" w:sz="0" w:space="0" w:color="auto"/>
        <w:left w:val="none" w:sz="0" w:space="0" w:color="auto"/>
        <w:bottom w:val="none" w:sz="0" w:space="0" w:color="auto"/>
        <w:right w:val="none" w:sz="0" w:space="0" w:color="auto"/>
      </w:divBdr>
    </w:div>
    <w:div w:id="330064017">
      <w:marLeft w:val="480"/>
      <w:marRight w:val="0"/>
      <w:marTop w:val="0"/>
      <w:marBottom w:val="0"/>
      <w:divBdr>
        <w:top w:val="none" w:sz="0" w:space="0" w:color="auto"/>
        <w:left w:val="none" w:sz="0" w:space="0" w:color="auto"/>
        <w:bottom w:val="none" w:sz="0" w:space="0" w:color="auto"/>
        <w:right w:val="none" w:sz="0" w:space="0" w:color="auto"/>
      </w:divBdr>
    </w:div>
    <w:div w:id="330373427">
      <w:marLeft w:val="480"/>
      <w:marRight w:val="0"/>
      <w:marTop w:val="0"/>
      <w:marBottom w:val="0"/>
      <w:divBdr>
        <w:top w:val="none" w:sz="0" w:space="0" w:color="auto"/>
        <w:left w:val="none" w:sz="0" w:space="0" w:color="auto"/>
        <w:bottom w:val="none" w:sz="0" w:space="0" w:color="auto"/>
        <w:right w:val="none" w:sz="0" w:space="0" w:color="auto"/>
      </w:divBdr>
    </w:div>
    <w:div w:id="331417214">
      <w:marLeft w:val="480"/>
      <w:marRight w:val="0"/>
      <w:marTop w:val="0"/>
      <w:marBottom w:val="0"/>
      <w:divBdr>
        <w:top w:val="none" w:sz="0" w:space="0" w:color="auto"/>
        <w:left w:val="none" w:sz="0" w:space="0" w:color="auto"/>
        <w:bottom w:val="none" w:sz="0" w:space="0" w:color="auto"/>
        <w:right w:val="none" w:sz="0" w:space="0" w:color="auto"/>
      </w:divBdr>
    </w:div>
    <w:div w:id="331446881">
      <w:marLeft w:val="480"/>
      <w:marRight w:val="0"/>
      <w:marTop w:val="0"/>
      <w:marBottom w:val="0"/>
      <w:divBdr>
        <w:top w:val="none" w:sz="0" w:space="0" w:color="auto"/>
        <w:left w:val="none" w:sz="0" w:space="0" w:color="auto"/>
        <w:bottom w:val="none" w:sz="0" w:space="0" w:color="auto"/>
        <w:right w:val="none" w:sz="0" w:space="0" w:color="auto"/>
      </w:divBdr>
    </w:div>
    <w:div w:id="333610887">
      <w:marLeft w:val="480"/>
      <w:marRight w:val="0"/>
      <w:marTop w:val="0"/>
      <w:marBottom w:val="0"/>
      <w:divBdr>
        <w:top w:val="none" w:sz="0" w:space="0" w:color="auto"/>
        <w:left w:val="none" w:sz="0" w:space="0" w:color="auto"/>
        <w:bottom w:val="none" w:sz="0" w:space="0" w:color="auto"/>
        <w:right w:val="none" w:sz="0" w:space="0" w:color="auto"/>
      </w:divBdr>
    </w:div>
    <w:div w:id="335688421">
      <w:marLeft w:val="480"/>
      <w:marRight w:val="0"/>
      <w:marTop w:val="0"/>
      <w:marBottom w:val="0"/>
      <w:divBdr>
        <w:top w:val="none" w:sz="0" w:space="0" w:color="auto"/>
        <w:left w:val="none" w:sz="0" w:space="0" w:color="auto"/>
        <w:bottom w:val="none" w:sz="0" w:space="0" w:color="auto"/>
        <w:right w:val="none" w:sz="0" w:space="0" w:color="auto"/>
      </w:divBdr>
    </w:div>
    <w:div w:id="337082573">
      <w:marLeft w:val="480"/>
      <w:marRight w:val="0"/>
      <w:marTop w:val="0"/>
      <w:marBottom w:val="0"/>
      <w:divBdr>
        <w:top w:val="none" w:sz="0" w:space="0" w:color="auto"/>
        <w:left w:val="none" w:sz="0" w:space="0" w:color="auto"/>
        <w:bottom w:val="none" w:sz="0" w:space="0" w:color="auto"/>
        <w:right w:val="none" w:sz="0" w:space="0" w:color="auto"/>
      </w:divBdr>
    </w:div>
    <w:div w:id="338778887">
      <w:marLeft w:val="480"/>
      <w:marRight w:val="0"/>
      <w:marTop w:val="0"/>
      <w:marBottom w:val="0"/>
      <w:divBdr>
        <w:top w:val="none" w:sz="0" w:space="0" w:color="auto"/>
        <w:left w:val="none" w:sz="0" w:space="0" w:color="auto"/>
        <w:bottom w:val="none" w:sz="0" w:space="0" w:color="auto"/>
        <w:right w:val="none" w:sz="0" w:space="0" w:color="auto"/>
      </w:divBdr>
    </w:div>
    <w:div w:id="339308518">
      <w:marLeft w:val="480"/>
      <w:marRight w:val="0"/>
      <w:marTop w:val="0"/>
      <w:marBottom w:val="0"/>
      <w:divBdr>
        <w:top w:val="none" w:sz="0" w:space="0" w:color="auto"/>
        <w:left w:val="none" w:sz="0" w:space="0" w:color="auto"/>
        <w:bottom w:val="none" w:sz="0" w:space="0" w:color="auto"/>
        <w:right w:val="none" w:sz="0" w:space="0" w:color="auto"/>
      </w:divBdr>
    </w:div>
    <w:div w:id="343358074">
      <w:marLeft w:val="480"/>
      <w:marRight w:val="0"/>
      <w:marTop w:val="0"/>
      <w:marBottom w:val="0"/>
      <w:divBdr>
        <w:top w:val="none" w:sz="0" w:space="0" w:color="auto"/>
        <w:left w:val="none" w:sz="0" w:space="0" w:color="auto"/>
        <w:bottom w:val="none" w:sz="0" w:space="0" w:color="auto"/>
        <w:right w:val="none" w:sz="0" w:space="0" w:color="auto"/>
      </w:divBdr>
    </w:div>
    <w:div w:id="343872179">
      <w:marLeft w:val="480"/>
      <w:marRight w:val="0"/>
      <w:marTop w:val="0"/>
      <w:marBottom w:val="0"/>
      <w:divBdr>
        <w:top w:val="none" w:sz="0" w:space="0" w:color="auto"/>
        <w:left w:val="none" w:sz="0" w:space="0" w:color="auto"/>
        <w:bottom w:val="none" w:sz="0" w:space="0" w:color="auto"/>
        <w:right w:val="none" w:sz="0" w:space="0" w:color="auto"/>
      </w:divBdr>
    </w:div>
    <w:div w:id="344140254">
      <w:marLeft w:val="480"/>
      <w:marRight w:val="0"/>
      <w:marTop w:val="0"/>
      <w:marBottom w:val="0"/>
      <w:divBdr>
        <w:top w:val="none" w:sz="0" w:space="0" w:color="auto"/>
        <w:left w:val="none" w:sz="0" w:space="0" w:color="auto"/>
        <w:bottom w:val="none" w:sz="0" w:space="0" w:color="auto"/>
        <w:right w:val="none" w:sz="0" w:space="0" w:color="auto"/>
      </w:divBdr>
    </w:div>
    <w:div w:id="346255627">
      <w:marLeft w:val="480"/>
      <w:marRight w:val="0"/>
      <w:marTop w:val="0"/>
      <w:marBottom w:val="0"/>
      <w:divBdr>
        <w:top w:val="none" w:sz="0" w:space="0" w:color="auto"/>
        <w:left w:val="none" w:sz="0" w:space="0" w:color="auto"/>
        <w:bottom w:val="none" w:sz="0" w:space="0" w:color="auto"/>
        <w:right w:val="none" w:sz="0" w:space="0" w:color="auto"/>
      </w:divBdr>
    </w:div>
    <w:div w:id="346294805">
      <w:marLeft w:val="480"/>
      <w:marRight w:val="0"/>
      <w:marTop w:val="0"/>
      <w:marBottom w:val="0"/>
      <w:divBdr>
        <w:top w:val="none" w:sz="0" w:space="0" w:color="auto"/>
        <w:left w:val="none" w:sz="0" w:space="0" w:color="auto"/>
        <w:bottom w:val="none" w:sz="0" w:space="0" w:color="auto"/>
        <w:right w:val="none" w:sz="0" w:space="0" w:color="auto"/>
      </w:divBdr>
    </w:div>
    <w:div w:id="347830003">
      <w:marLeft w:val="480"/>
      <w:marRight w:val="0"/>
      <w:marTop w:val="0"/>
      <w:marBottom w:val="0"/>
      <w:divBdr>
        <w:top w:val="none" w:sz="0" w:space="0" w:color="auto"/>
        <w:left w:val="none" w:sz="0" w:space="0" w:color="auto"/>
        <w:bottom w:val="none" w:sz="0" w:space="0" w:color="auto"/>
        <w:right w:val="none" w:sz="0" w:space="0" w:color="auto"/>
      </w:divBdr>
    </w:div>
    <w:div w:id="348265756">
      <w:marLeft w:val="480"/>
      <w:marRight w:val="0"/>
      <w:marTop w:val="0"/>
      <w:marBottom w:val="0"/>
      <w:divBdr>
        <w:top w:val="none" w:sz="0" w:space="0" w:color="auto"/>
        <w:left w:val="none" w:sz="0" w:space="0" w:color="auto"/>
        <w:bottom w:val="none" w:sz="0" w:space="0" w:color="auto"/>
        <w:right w:val="none" w:sz="0" w:space="0" w:color="auto"/>
      </w:divBdr>
    </w:div>
    <w:div w:id="349646844">
      <w:marLeft w:val="480"/>
      <w:marRight w:val="0"/>
      <w:marTop w:val="0"/>
      <w:marBottom w:val="0"/>
      <w:divBdr>
        <w:top w:val="none" w:sz="0" w:space="0" w:color="auto"/>
        <w:left w:val="none" w:sz="0" w:space="0" w:color="auto"/>
        <w:bottom w:val="none" w:sz="0" w:space="0" w:color="auto"/>
        <w:right w:val="none" w:sz="0" w:space="0" w:color="auto"/>
      </w:divBdr>
    </w:div>
    <w:div w:id="351078163">
      <w:marLeft w:val="480"/>
      <w:marRight w:val="0"/>
      <w:marTop w:val="0"/>
      <w:marBottom w:val="0"/>
      <w:divBdr>
        <w:top w:val="none" w:sz="0" w:space="0" w:color="auto"/>
        <w:left w:val="none" w:sz="0" w:space="0" w:color="auto"/>
        <w:bottom w:val="none" w:sz="0" w:space="0" w:color="auto"/>
        <w:right w:val="none" w:sz="0" w:space="0" w:color="auto"/>
      </w:divBdr>
    </w:div>
    <w:div w:id="353042709">
      <w:marLeft w:val="480"/>
      <w:marRight w:val="0"/>
      <w:marTop w:val="0"/>
      <w:marBottom w:val="0"/>
      <w:divBdr>
        <w:top w:val="none" w:sz="0" w:space="0" w:color="auto"/>
        <w:left w:val="none" w:sz="0" w:space="0" w:color="auto"/>
        <w:bottom w:val="none" w:sz="0" w:space="0" w:color="auto"/>
        <w:right w:val="none" w:sz="0" w:space="0" w:color="auto"/>
      </w:divBdr>
    </w:div>
    <w:div w:id="353071195">
      <w:marLeft w:val="480"/>
      <w:marRight w:val="0"/>
      <w:marTop w:val="0"/>
      <w:marBottom w:val="0"/>
      <w:divBdr>
        <w:top w:val="none" w:sz="0" w:space="0" w:color="auto"/>
        <w:left w:val="none" w:sz="0" w:space="0" w:color="auto"/>
        <w:bottom w:val="none" w:sz="0" w:space="0" w:color="auto"/>
        <w:right w:val="none" w:sz="0" w:space="0" w:color="auto"/>
      </w:divBdr>
    </w:div>
    <w:div w:id="353305192">
      <w:marLeft w:val="480"/>
      <w:marRight w:val="0"/>
      <w:marTop w:val="0"/>
      <w:marBottom w:val="0"/>
      <w:divBdr>
        <w:top w:val="none" w:sz="0" w:space="0" w:color="auto"/>
        <w:left w:val="none" w:sz="0" w:space="0" w:color="auto"/>
        <w:bottom w:val="none" w:sz="0" w:space="0" w:color="auto"/>
        <w:right w:val="none" w:sz="0" w:space="0" w:color="auto"/>
      </w:divBdr>
    </w:div>
    <w:div w:id="355540982">
      <w:marLeft w:val="480"/>
      <w:marRight w:val="0"/>
      <w:marTop w:val="0"/>
      <w:marBottom w:val="0"/>
      <w:divBdr>
        <w:top w:val="none" w:sz="0" w:space="0" w:color="auto"/>
        <w:left w:val="none" w:sz="0" w:space="0" w:color="auto"/>
        <w:bottom w:val="none" w:sz="0" w:space="0" w:color="auto"/>
        <w:right w:val="none" w:sz="0" w:space="0" w:color="auto"/>
      </w:divBdr>
    </w:div>
    <w:div w:id="364719702">
      <w:marLeft w:val="480"/>
      <w:marRight w:val="0"/>
      <w:marTop w:val="0"/>
      <w:marBottom w:val="0"/>
      <w:divBdr>
        <w:top w:val="none" w:sz="0" w:space="0" w:color="auto"/>
        <w:left w:val="none" w:sz="0" w:space="0" w:color="auto"/>
        <w:bottom w:val="none" w:sz="0" w:space="0" w:color="auto"/>
        <w:right w:val="none" w:sz="0" w:space="0" w:color="auto"/>
      </w:divBdr>
    </w:div>
    <w:div w:id="366108719">
      <w:marLeft w:val="480"/>
      <w:marRight w:val="0"/>
      <w:marTop w:val="0"/>
      <w:marBottom w:val="0"/>
      <w:divBdr>
        <w:top w:val="none" w:sz="0" w:space="0" w:color="auto"/>
        <w:left w:val="none" w:sz="0" w:space="0" w:color="auto"/>
        <w:bottom w:val="none" w:sz="0" w:space="0" w:color="auto"/>
        <w:right w:val="none" w:sz="0" w:space="0" w:color="auto"/>
      </w:divBdr>
    </w:div>
    <w:div w:id="368191126">
      <w:marLeft w:val="480"/>
      <w:marRight w:val="0"/>
      <w:marTop w:val="0"/>
      <w:marBottom w:val="0"/>
      <w:divBdr>
        <w:top w:val="none" w:sz="0" w:space="0" w:color="auto"/>
        <w:left w:val="none" w:sz="0" w:space="0" w:color="auto"/>
        <w:bottom w:val="none" w:sz="0" w:space="0" w:color="auto"/>
        <w:right w:val="none" w:sz="0" w:space="0" w:color="auto"/>
      </w:divBdr>
    </w:div>
    <w:div w:id="369451607">
      <w:marLeft w:val="480"/>
      <w:marRight w:val="0"/>
      <w:marTop w:val="0"/>
      <w:marBottom w:val="0"/>
      <w:divBdr>
        <w:top w:val="none" w:sz="0" w:space="0" w:color="auto"/>
        <w:left w:val="none" w:sz="0" w:space="0" w:color="auto"/>
        <w:bottom w:val="none" w:sz="0" w:space="0" w:color="auto"/>
        <w:right w:val="none" w:sz="0" w:space="0" w:color="auto"/>
      </w:divBdr>
    </w:div>
    <w:div w:id="371424742">
      <w:marLeft w:val="480"/>
      <w:marRight w:val="0"/>
      <w:marTop w:val="0"/>
      <w:marBottom w:val="0"/>
      <w:divBdr>
        <w:top w:val="none" w:sz="0" w:space="0" w:color="auto"/>
        <w:left w:val="none" w:sz="0" w:space="0" w:color="auto"/>
        <w:bottom w:val="none" w:sz="0" w:space="0" w:color="auto"/>
        <w:right w:val="none" w:sz="0" w:space="0" w:color="auto"/>
      </w:divBdr>
    </w:div>
    <w:div w:id="371685631">
      <w:marLeft w:val="480"/>
      <w:marRight w:val="0"/>
      <w:marTop w:val="0"/>
      <w:marBottom w:val="0"/>
      <w:divBdr>
        <w:top w:val="none" w:sz="0" w:space="0" w:color="auto"/>
        <w:left w:val="none" w:sz="0" w:space="0" w:color="auto"/>
        <w:bottom w:val="none" w:sz="0" w:space="0" w:color="auto"/>
        <w:right w:val="none" w:sz="0" w:space="0" w:color="auto"/>
      </w:divBdr>
    </w:div>
    <w:div w:id="374669462">
      <w:marLeft w:val="480"/>
      <w:marRight w:val="0"/>
      <w:marTop w:val="0"/>
      <w:marBottom w:val="0"/>
      <w:divBdr>
        <w:top w:val="none" w:sz="0" w:space="0" w:color="auto"/>
        <w:left w:val="none" w:sz="0" w:space="0" w:color="auto"/>
        <w:bottom w:val="none" w:sz="0" w:space="0" w:color="auto"/>
        <w:right w:val="none" w:sz="0" w:space="0" w:color="auto"/>
      </w:divBdr>
    </w:div>
    <w:div w:id="374894768">
      <w:marLeft w:val="480"/>
      <w:marRight w:val="0"/>
      <w:marTop w:val="0"/>
      <w:marBottom w:val="0"/>
      <w:divBdr>
        <w:top w:val="none" w:sz="0" w:space="0" w:color="auto"/>
        <w:left w:val="none" w:sz="0" w:space="0" w:color="auto"/>
        <w:bottom w:val="none" w:sz="0" w:space="0" w:color="auto"/>
        <w:right w:val="none" w:sz="0" w:space="0" w:color="auto"/>
      </w:divBdr>
    </w:div>
    <w:div w:id="374933199">
      <w:marLeft w:val="480"/>
      <w:marRight w:val="0"/>
      <w:marTop w:val="0"/>
      <w:marBottom w:val="0"/>
      <w:divBdr>
        <w:top w:val="none" w:sz="0" w:space="0" w:color="auto"/>
        <w:left w:val="none" w:sz="0" w:space="0" w:color="auto"/>
        <w:bottom w:val="none" w:sz="0" w:space="0" w:color="auto"/>
        <w:right w:val="none" w:sz="0" w:space="0" w:color="auto"/>
      </w:divBdr>
    </w:div>
    <w:div w:id="376049594">
      <w:marLeft w:val="480"/>
      <w:marRight w:val="0"/>
      <w:marTop w:val="0"/>
      <w:marBottom w:val="0"/>
      <w:divBdr>
        <w:top w:val="none" w:sz="0" w:space="0" w:color="auto"/>
        <w:left w:val="none" w:sz="0" w:space="0" w:color="auto"/>
        <w:bottom w:val="none" w:sz="0" w:space="0" w:color="auto"/>
        <w:right w:val="none" w:sz="0" w:space="0" w:color="auto"/>
      </w:divBdr>
    </w:div>
    <w:div w:id="376782375">
      <w:marLeft w:val="480"/>
      <w:marRight w:val="0"/>
      <w:marTop w:val="0"/>
      <w:marBottom w:val="0"/>
      <w:divBdr>
        <w:top w:val="none" w:sz="0" w:space="0" w:color="auto"/>
        <w:left w:val="none" w:sz="0" w:space="0" w:color="auto"/>
        <w:bottom w:val="none" w:sz="0" w:space="0" w:color="auto"/>
        <w:right w:val="none" w:sz="0" w:space="0" w:color="auto"/>
      </w:divBdr>
    </w:div>
    <w:div w:id="376971226">
      <w:marLeft w:val="480"/>
      <w:marRight w:val="0"/>
      <w:marTop w:val="0"/>
      <w:marBottom w:val="0"/>
      <w:divBdr>
        <w:top w:val="none" w:sz="0" w:space="0" w:color="auto"/>
        <w:left w:val="none" w:sz="0" w:space="0" w:color="auto"/>
        <w:bottom w:val="none" w:sz="0" w:space="0" w:color="auto"/>
        <w:right w:val="none" w:sz="0" w:space="0" w:color="auto"/>
      </w:divBdr>
    </w:div>
    <w:div w:id="378165127">
      <w:marLeft w:val="480"/>
      <w:marRight w:val="0"/>
      <w:marTop w:val="0"/>
      <w:marBottom w:val="0"/>
      <w:divBdr>
        <w:top w:val="none" w:sz="0" w:space="0" w:color="auto"/>
        <w:left w:val="none" w:sz="0" w:space="0" w:color="auto"/>
        <w:bottom w:val="none" w:sz="0" w:space="0" w:color="auto"/>
        <w:right w:val="none" w:sz="0" w:space="0" w:color="auto"/>
      </w:divBdr>
    </w:div>
    <w:div w:id="380595424">
      <w:marLeft w:val="480"/>
      <w:marRight w:val="0"/>
      <w:marTop w:val="0"/>
      <w:marBottom w:val="0"/>
      <w:divBdr>
        <w:top w:val="none" w:sz="0" w:space="0" w:color="auto"/>
        <w:left w:val="none" w:sz="0" w:space="0" w:color="auto"/>
        <w:bottom w:val="none" w:sz="0" w:space="0" w:color="auto"/>
        <w:right w:val="none" w:sz="0" w:space="0" w:color="auto"/>
      </w:divBdr>
    </w:div>
    <w:div w:id="383329889">
      <w:marLeft w:val="480"/>
      <w:marRight w:val="0"/>
      <w:marTop w:val="0"/>
      <w:marBottom w:val="0"/>
      <w:divBdr>
        <w:top w:val="none" w:sz="0" w:space="0" w:color="auto"/>
        <w:left w:val="none" w:sz="0" w:space="0" w:color="auto"/>
        <w:bottom w:val="none" w:sz="0" w:space="0" w:color="auto"/>
        <w:right w:val="none" w:sz="0" w:space="0" w:color="auto"/>
      </w:divBdr>
    </w:div>
    <w:div w:id="385375145">
      <w:marLeft w:val="480"/>
      <w:marRight w:val="0"/>
      <w:marTop w:val="0"/>
      <w:marBottom w:val="0"/>
      <w:divBdr>
        <w:top w:val="none" w:sz="0" w:space="0" w:color="auto"/>
        <w:left w:val="none" w:sz="0" w:space="0" w:color="auto"/>
        <w:bottom w:val="none" w:sz="0" w:space="0" w:color="auto"/>
        <w:right w:val="none" w:sz="0" w:space="0" w:color="auto"/>
      </w:divBdr>
    </w:div>
    <w:div w:id="385765661">
      <w:marLeft w:val="480"/>
      <w:marRight w:val="0"/>
      <w:marTop w:val="0"/>
      <w:marBottom w:val="0"/>
      <w:divBdr>
        <w:top w:val="none" w:sz="0" w:space="0" w:color="auto"/>
        <w:left w:val="none" w:sz="0" w:space="0" w:color="auto"/>
        <w:bottom w:val="none" w:sz="0" w:space="0" w:color="auto"/>
        <w:right w:val="none" w:sz="0" w:space="0" w:color="auto"/>
      </w:divBdr>
    </w:div>
    <w:div w:id="386999299">
      <w:marLeft w:val="480"/>
      <w:marRight w:val="0"/>
      <w:marTop w:val="0"/>
      <w:marBottom w:val="0"/>
      <w:divBdr>
        <w:top w:val="none" w:sz="0" w:space="0" w:color="auto"/>
        <w:left w:val="none" w:sz="0" w:space="0" w:color="auto"/>
        <w:bottom w:val="none" w:sz="0" w:space="0" w:color="auto"/>
        <w:right w:val="none" w:sz="0" w:space="0" w:color="auto"/>
      </w:divBdr>
    </w:div>
    <w:div w:id="391077592">
      <w:marLeft w:val="480"/>
      <w:marRight w:val="0"/>
      <w:marTop w:val="0"/>
      <w:marBottom w:val="0"/>
      <w:divBdr>
        <w:top w:val="none" w:sz="0" w:space="0" w:color="auto"/>
        <w:left w:val="none" w:sz="0" w:space="0" w:color="auto"/>
        <w:bottom w:val="none" w:sz="0" w:space="0" w:color="auto"/>
        <w:right w:val="none" w:sz="0" w:space="0" w:color="auto"/>
      </w:divBdr>
    </w:div>
    <w:div w:id="393505337">
      <w:marLeft w:val="480"/>
      <w:marRight w:val="0"/>
      <w:marTop w:val="0"/>
      <w:marBottom w:val="0"/>
      <w:divBdr>
        <w:top w:val="none" w:sz="0" w:space="0" w:color="auto"/>
        <w:left w:val="none" w:sz="0" w:space="0" w:color="auto"/>
        <w:bottom w:val="none" w:sz="0" w:space="0" w:color="auto"/>
        <w:right w:val="none" w:sz="0" w:space="0" w:color="auto"/>
      </w:divBdr>
    </w:div>
    <w:div w:id="394205848">
      <w:marLeft w:val="480"/>
      <w:marRight w:val="0"/>
      <w:marTop w:val="0"/>
      <w:marBottom w:val="0"/>
      <w:divBdr>
        <w:top w:val="none" w:sz="0" w:space="0" w:color="auto"/>
        <w:left w:val="none" w:sz="0" w:space="0" w:color="auto"/>
        <w:bottom w:val="none" w:sz="0" w:space="0" w:color="auto"/>
        <w:right w:val="none" w:sz="0" w:space="0" w:color="auto"/>
      </w:divBdr>
    </w:div>
    <w:div w:id="394934717">
      <w:marLeft w:val="480"/>
      <w:marRight w:val="0"/>
      <w:marTop w:val="0"/>
      <w:marBottom w:val="0"/>
      <w:divBdr>
        <w:top w:val="none" w:sz="0" w:space="0" w:color="auto"/>
        <w:left w:val="none" w:sz="0" w:space="0" w:color="auto"/>
        <w:bottom w:val="none" w:sz="0" w:space="0" w:color="auto"/>
        <w:right w:val="none" w:sz="0" w:space="0" w:color="auto"/>
      </w:divBdr>
    </w:div>
    <w:div w:id="395976362">
      <w:marLeft w:val="480"/>
      <w:marRight w:val="0"/>
      <w:marTop w:val="0"/>
      <w:marBottom w:val="0"/>
      <w:divBdr>
        <w:top w:val="none" w:sz="0" w:space="0" w:color="auto"/>
        <w:left w:val="none" w:sz="0" w:space="0" w:color="auto"/>
        <w:bottom w:val="none" w:sz="0" w:space="0" w:color="auto"/>
        <w:right w:val="none" w:sz="0" w:space="0" w:color="auto"/>
      </w:divBdr>
    </w:div>
    <w:div w:id="396900648">
      <w:marLeft w:val="480"/>
      <w:marRight w:val="0"/>
      <w:marTop w:val="0"/>
      <w:marBottom w:val="0"/>
      <w:divBdr>
        <w:top w:val="none" w:sz="0" w:space="0" w:color="auto"/>
        <w:left w:val="none" w:sz="0" w:space="0" w:color="auto"/>
        <w:bottom w:val="none" w:sz="0" w:space="0" w:color="auto"/>
        <w:right w:val="none" w:sz="0" w:space="0" w:color="auto"/>
      </w:divBdr>
    </w:div>
    <w:div w:id="399212138">
      <w:marLeft w:val="480"/>
      <w:marRight w:val="0"/>
      <w:marTop w:val="0"/>
      <w:marBottom w:val="0"/>
      <w:divBdr>
        <w:top w:val="none" w:sz="0" w:space="0" w:color="auto"/>
        <w:left w:val="none" w:sz="0" w:space="0" w:color="auto"/>
        <w:bottom w:val="none" w:sz="0" w:space="0" w:color="auto"/>
        <w:right w:val="none" w:sz="0" w:space="0" w:color="auto"/>
      </w:divBdr>
    </w:div>
    <w:div w:id="404959029">
      <w:marLeft w:val="480"/>
      <w:marRight w:val="0"/>
      <w:marTop w:val="0"/>
      <w:marBottom w:val="0"/>
      <w:divBdr>
        <w:top w:val="none" w:sz="0" w:space="0" w:color="auto"/>
        <w:left w:val="none" w:sz="0" w:space="0" w:color="auto"/>
        <w:bottom w:val="none" w:sz="0" w:space="0" w:color="auto"/>
        <w:right w:val="none" w:sz="0" w:space="0" w:color="auto"/>
      </w:divBdr>
    </w:div>
    <w:div w:id="406222463">
      <w:marLeft w:val="480"/>
      <w:marRight w:val="0"/>
      <w:marTop w:val="0"/>
      <w:marBottom w:val="0"/>
      <w:divBdr>
        <w:top w:val="none" w:sz="0" w:space="0" w:color="auto"/>
        <w:left w:val="none" w:sz="0" w:space="0" w:color="auto"/>
        <w:bottom w:val="none" w:sz="0" w:space="0" w:color="auto"/>
        <w:right w:val="none" w:sz="0" w:space="0" w:color="auto"/>
      </w:divBdr>
    </w:div>
    <w:div w:id="407964694">
      <w:marLeft w:val="480"/>
      <w:marRight w:val="0"/>
      <w:marTop w:val="0"/>
      <w:marBottom w:val="0"/>
      <w:divBdr>
        <w:top w:val="none" w:sz="0" w:space="0" w:color="auto"/>
        <w:left w:val="none" w:sz="0" w:space="0" w:color="auto"/>
        <w:bottom w:val="none" w:sz="0" w:space="0" w:color="auto"/>
        <w:right w:val="none" w:sz="0" w:space="0" w:color="auto"/>
      </w:divBdr>
    </w:div>
    <w:div w:id="409354636">
      <w:marLeft w:val="480"/>
      <w:marRight w:val="0"/>
      <w:marTop w:val="0"/>
      <w:marBottom w:val="0"/>
      <w:divBdr>
        <w:top w:val="none" w:sz="0" w:space="0" w:color="auto"/>
        <w:left w:val="none" w:sz="0" w:space="0" w:color="auto"/>
        <w:bottom w:val="none" w:sz="0" w:space="0" w:color="auto"/>
        <w:right w:val="none" w:sz="0" w:space="0" w:color="auto"/>
      </w:divBdr>
    </w:div>
    <w:div w:id="409429497">
      <w:marLeft w:val="480"/>
      <w:marRight w:val="0"/>
      <w:marTop w:val="0"/>
      <w:marBottom w:val="0"/>
      <w:divBdr>
        <w:top w:val="none" w:sz="0" w:space="0" w:color="auto"/>
        <w:left w:val="none" w:sz="0" w:space="0" w:color="auto"/>
        <w:bottom w:val="none" w:sz="0" w:space="0" w:color="auto"/>
        <w:right w:val="none" w:sz="0" w:space="0" w:color="auto"/>
      </w:divBdr>
    </w:div>
    <w:div w:id="414278215">
      <w:marLeft w:val="480"/>
      <w:marRight w:val="0"/>
      <w:marTop w:val="0"/>
      <w:marBottom w:val="0"/>
      <w:divBdr>
        <w:top w:val="none" w:sz="0" w:space="0" w:color="auto"/>
        <w:left w:val="none" w:sz="0" w:space="0" w:color="auto"/>
        <w:bottom w:val="none" w:sz="0" w:space="0" w:color="auto"/>
        <w:right w:val="none" w:sz="0" w:space="0" w:color="auto"/>
      </w:divBdr>
    </w:div>
    <w:div w:id="419327482">
      <w:marLeft w:val="480"/>
      <w:marRight w:val="0"/>
      <w:marTop w:val="0"/>
      <w:marBottom w:val="0"/>
      <w:divBdr>
        <w:top w:val="none" w:sz="0" w:space="0" w:color="auto"/>
        <w:left w:val="none" w:sz="0" w:space="0" w:color="auto"/>
        <w:bottom w:val="none" w:sz="0" w:space="0" w:color="auto"/>
        <w:right w:val="none" w:sz="0" w:space="0" w:color="auto"/>
      </w:divBdr>
    </w:div>
    <w:div w:id="419837041">
      <w:marLeft w:val="480"/>
      <w:marRight w:val="0"/>
      <w:marTop w:val="0"/>
      <w:marBottom w:val="0"/>
      <w:divBdr>
        <w:top w:val="none" w:sz="0" w:space="0" w:color="auto"/>
        <w:left w:val="none" w:sz="0" w:space="0" w:color="auto"/>
        <w:bottom w:val="none" w:sz="0" w:space="0" w:color="auto"/>
        <w:right w:val="none" w:sz="0" w:space="0" w:color="auto"/>
      </w:divBdr>
    </w:div>
    <w:div w:id="422915672">
      <w:marLeft w:val="480"/>
      <w:marRight w:val="0"/>
      <w:marTop w:val="0"/>
      <w:marBottom w:val="0"/>
      <w:divBdr>
        <w:top w:val="none" w:sz="0" w:space="0" w:color="auto"/>
        <w:left w:val="none" w:sz="0" w:space="0" w:color="auto"/>
        <w:bottom w:val="none" w:sz="0" w:space="0" w:color="auto"/>
        <w:right w:val="none" w:sz="0" w:space="0" w:color="auto"/>
      </w:divBdr>
    </w:div>
    <w:div w:id="423842399">
      <w:marLeft w:val="480"/>
      <w:marRight w:val="0"/>
      <w:marTop w:val="0"/>
      <w:marBottom w:val="0"/>
      <w:divBdr>
        <w:top w:val="none" w:sz="0" w:space="0" w:color="auto"/>
        <w:left w:val="none" w:sz="0" w:space="0" w:color="auto"/>
        <w:bottom w:val="none" w:sz="0" w:space="0" w:color="auto"/>
        <w:right w:val="none" w:sz="0" w:space="0" w:color="auto"/>
      </w:divBdr>
    </w:div>
    <w:div w:id="426199970">
      <w:marLeft w:val="480"/>
      <w:marRight w:val="0"/>
      <w:marTop w:val="0"/>
      <w:marBottom w:val="0"/>
      <w:divBdr>
        <w:top w:val="none" w:sz="0" w:space="0" w:color="auto"/>
        <w:left w:val="none" w:sz="0" w:space="0" w:color="auto"/>
        <w:bottom w:val="none" w:sz="0" w:space="0" w:color="auto"/>
        <w:right w:val="none" w:sz="0" w:space="0" w:color="auto"/>
      </w:divBdr>
    </w:div>
    <w:div w:id="427384302">
      <w:marLeft w:val="480"/>
      <w:marRight w:val="0"/>
      <w:marTop w:val="0"/>
      <w:marBottom w:val="0"/>
      <w:divBdr>
        <w:top w:val="none" w:sz="0" w:space="0" w:color="auto"/>
        <w:left w:val="none" w:sz="0" w:space="0" w:color="auto"/>
        <w:bottom w:val="none" w:sz="0" w:space="0" w:color="auto"/>
        <w:right w:val="none" w:sz="0" w:space="0" w:color="auto"/>
      </w:divBdr>
    </w:div>
    <w:div w:id="428626760">
      <w:marLeft w:val="480"/>
      <w:marRight w:val="0"/>
      <w:marTop w:val="0"/>
      <w:marBottom w:val="0"/>
      <w:divBdr>
        <w:top w:val="none" w:sz="0" w:space="0" w:color="auto"/>
        <w:left w:val="none" w:sz="0" w:space="0" w:color="auto"/>
        <w:bottom w:val="none" w:sz="0" w:space="0" w:color="auto"/>
        <w:right w:val="none" w:sz="0" w:space="0" w:color="auto"/>
      </w:divBdr>
    </w:div>
    <w:div w:id="429088498">
      <w:marLeft w:val="480"/>
      <w:marRight w:val="0"/>
      <w:marTop w:val="0"/>
      <w:marBottom w:val="0"/>
      <w:divBdr>
        <w:top w:val="none" w:sz="0" w:space="0" w:color="auto"/>
        <w:left w:val="none" w:sz="0" w:space="0" w:color="auto"/>
        <w:bottom w:val="none" w:sz="0" w:space="0" w:color="auto"/>
        <w:right w:val="none" w:sz="0" w:space="0" w:color="auto"/>
      </w:divBdr>
    </w:div>
    <w:div w:id="429544468">
      <w:marLeft w:val="480"/>
      <w:marRight w:val="0"/>
      <w:marTop w:val="0"/>
      <w:marBottom w:val="0"/>
      <w:divBdr>
        <w:top w:val="none" w:sz="0" w:space="0" w:color="auto"/>
        <w:left w:val="none" w:sz="0" w:space="0" w:color="auto"/>
        <w:bottom w:val="none" w:sz="0" w:space="0" w:color="auto"/>
        <w:right w:val="none" w:sz="0" w:space="0" w:color="auto"/>
      </w:divBdr>
    </w:div>
    <w:div w:id="431437315">
      <w:marLeft w:val="480"/>
      <w:marRight w:val="0"/>
      <w:marTop w:val="0"/>
      <w:marBottom w:val="0"/>
      <w:divBdr>
        <w:top w:val="none" w:sz="0" w:space="0" w:color="auto"/>
        <w:left w:val="none" w:sz="0" w:space="0" w:color="auto"/>
        <w:bottom w:val="none" w:sz="0" w:space="0" w:color="auto"/>
        <w:right w:val="none" w:sz="0" w:space="0" w:color="auto"/>
      </w:divBdr>
    </w:div>
    <w:div w:id="431440621">
      <w:marLeft w:val="480"/>
      <w:marRight w:val="0"/>
      <w:marTop w:val="0"/>
      <w:marBottom w:val="0"/>
      <w:divBdr>
        <w:top w:val="none" w:sz="0" w:space="0" w:color="auto"/>
        <w:left w:val="none" w:sz="0" w:space="0" w:color="auto"/>
        <w:bottom w:val="none" w:sz="0" w:space="0" w:color="auto"/>
        <w:right w:val="none" w:sz="0" w:space="0" w:color="auto"/>
      </w:divBdr>
    </w:div>
    <w:div w:id="432474949">
      <w:marLeft w:val="480"/>
      <w:marRight w:val="0"/>
      <w:marTop w:val="0"/>
      <w:marBottom w:val="0"/>
      <w:divBdr>
        <w:top w:val="none" w:sz="0" w:space="0" w:color="auto"/>
        <w:left w:val="none" w:sz="0" w:space="0" w:color="auto"/>
        <w:bottom w:val="none" w:sz="0" w:space="0" w:color="auto"/>
        <w:right w:val="none" w:sz="0" w:space="0" w:color="auto"/>
      </w:divBdr>
    </w:div>
    <w:div w:id="432822799">
      <w:marLeft w:val="480"/>
      <w:marRight w:val="0"/>
      <w:marTop w:val="0"/>
      <w:marBottom w:val="0"/>
      <w:divBdr>
        <w:top w:val="none" w:sz="0" w:space="0" w:color="auto"/>
        <w:left w:val="none" w:sz="0" w:space="0" w:color="auto"/>
        <w:bottom w:val="none" w:sz="0" w:space="0" w:color="auto"/>
        <w:right w:val="none" w:sz="0" w:space="0" w:color="auto"/>
      </w:divBdr>
    </w:div>
    <w:div w:id="437140913">
      <w:marLeft w:val="480"/>
      <w:marRight w:val="0"/>
      <w:marTop w:val="0"/>
      <w:marBottom w:val="0"/>
      <w:divBdr>
        <w:top w:val="none" w:sz="0" w:space="0" w:color="auto"/>
        <w:left w:val="none" w:sz="0" w:space="0" w:color="auto"/>
        <w:bottom w:val="none" w:sz="0" w:space="0" w:color="auto"/>
        <w:right w:val="none" w:sz="0" w:space="0" w:color="auto"/>
      </w:divBdr>
    </w:div>
    <w:div w:id="439107872">
      <w:marLeft w:val="480"/>
      <w:marRight w:val="0"/>
      <w:marTop w:val="0"/>
      <w:marBottom w:val="0"/>
      <w:divBdr>
        <w:top w:val="none" w:sz="0" w:space="0" w:color="auto"/>
        <w:left w:val="none" w:sz="0" w:space="0" w:color="auto"/>
        <w:bottom w:val="none" w:sz="0" w:space="0" w:color="auto"/>
        <w:right w:val="none" w:sz="0" w:space="0" w:color="auto"/>
      </w:divBdr>
    </w:div>
    <w:div w:id="441847508">
      <w:marLeft w:val="480"/>
      <w:marRight w:val="0"/>
      <w:marTop w:val="0"/>
      <w:marBottom w:val="0"/>
      <w:divBdr>
        <w:top w:val="none" w:sz="0" w:space="0" w:color="auto"/>
        <w:left w:val="none" w:sz="0" w:space="0" w:color="auto"/>
        <w:bottom w:val="none" w:sz="0" w:space="0" w:color="auto"/>
        <w:right w:val="none" w:sz="0" w:space="0" w:color="auto"/>
      </w:divBdr>
    </w:div>
    <w:div w:id="443884975">
      <w:marLeft w:val="480"/>
      <w:marRight w:val="0"/>
      <w:marTop w:val="0"/>
      <w:marBottom w:val="0"/>
      <w:divBdr>
        <w:top w:val="none" w:sz="0" w:space="0" w:color="auto"/>
        <w:left w:val="none" w:sz="0" w:space="0" w:color="auto"/>
        <w:bottom w:val="none" w:sz="0" w:space="0" w:color="auto"/>
        <w:right w:val="none" w:sz="0" w:space="0" w:color="auto"/>
      </w:divBdr>
    </w:div>
    <w:div w:id="445076640">
      <w:marLeft w:val="480"/>
      <w:marRight w:val="0"/>
      <w:marTop w:val="0"/>
      <w:marBottom w:val="0"/>
      <w:divBdr>
        <w:top w:val="none" w:sz="0" w:space="0" w:color="auto"/>
        <w:left w:val="none" w:sz="0" w:space="0" w:color="auto"/>
        <w:bottom w:val="none" w:sz="0" w:space="0" w:color="auto"/>
        <w:right w:val="none" w:sz="0" w:space="0" w:color="auto"/>
      </w:divBdr>
    </w:div>
    <w:div w:id="445975994">
      <w:marLeft w:val="480"/>
      <w:marRight w:val="0"/>
      <w:marTop w:val="0"/>
      <w:marBottom w:val="0"/>
      <w:divBdr>
        <w:top w:val="none" w:sz="0" w:space="0" w:color="auto"/>
        <w:left w:val="none" w:sz="0" w:space="0" w:color="auto"/>
        <w:bottom w:val="none" w:sz="0" w:space="0" w:color="auto"/>
        <w:right w:val="none" w:sz="0" w:space="0" w:color="auto"/>
      </w:divBdr>
    </w:div>
    <w:div w:id="446629116">
      <w:marLeft w:val="480"/>
      <w:marRight w:val="0"/>
      <w:marTop w:val="0"/>
      <w:marBottom w:val="0"/>
      <w:divBdr>
        <w:top w:val="none" w:sz="0" w:space="0" w:color="auto"/>
        <w:left w:val="none" w:sz="0" w:space="0" w:color="auto"/>
        <w:bottom w:val="none" w:sz="0" w:space="0" w:color="auto"/>
        <w:right w:val="none" w:sz="0" w:space="0" w:color="auto"/>
      </w:divBdr>
    </w:div>
    <w:div w:id="447814923">
      <w:marLeft w:val="480"/>
      <w:marRight w:val="0"/>
      <w:marTop w:val="0"/>
      <w:marBottom w:val="0"/>
      <w:divBdr>
        <w:top w:val="none" w:sz="0" w:space="0" w:color="auto"/>
        <w:left w:val="none" w:sz="0" w:space="0" w:color="auto"/>
        <w:bottom w:val="none" w:sz="0" w:space="0" w:color="auto"/>
        <w:right w:val="none" w:sz="0" w:space="0" w:color="auto"/>
      </w:divBdr>
    </w:div>
    <w:div w:id="451679553">
      <w:marLeft w:val="480"/>
      <w:marRight w:val="0"/>
      <w:marTop w:val="0"/>
      <w:marBottom w:val="0"/>
      <w:divBdr>
        <w:top w:val="none" w:sz="0" w:space="0" w:color="auto"/>
        <w:left w:val="none" w:sz="0" w:space="0" w:color="auto"/>
        <w:bottom w:val="none" w:sz="0" w:space="0" w:color="auto"/>
        <w:right w:val="none" w:sz="0" w:space="0" w:color="auto"/>
      </w:divBdr>
    </w:div>
    <w:div w:id="454177301">
      <w:marLeft w:val="480"/>
      <w:marRight w:val="0"/>
      <w:marTop w:val="0"/>
      <w:marBottom w:val="0"/>
      <w:divBdr>
        <w:top w:val="none" w:sz="0" w:space="0" w:color="auto"/>
        <w:left w:val="none" w:sz="0" w:space="0" w:color="auto"/>
        <w:bottom w:val="none" w:sz="0" w:space="0" w:color="auto"/>
        <w:right w:val="none" w:sz="0" w:space="0" w:color="auto"/>
      </w:divBdr>
    </w:div>
    <w:div w:id="454447427">
      <w:marLeft w:val="480"/>
      <w:marRight w:val="0"/>
      <w:marTop w:val="0"/>
      <w:marBottom w:val="0"/>
      <w:divBdr>
        <w:top w:val="none" w:sz="0" w:space="0" w:color="auto"/>
        <w:left w:val="none" w:sz="0" w:space="0" w:color="auto"/>
        <w:bottom w:val="none" w:sz="0" w:space="0" w:color="auto"/>
        <w:right w:val="none" w:sz="0" w:space="0" w:color="auto"/>
      </w:divBdr>
    </w:div>
    <w:div w:id="456072357">
      <w:marLeft w:val="480"/>
      <w:marRight w:val="0"/>
      <w:marTop w:val="0"/>
      <w:marBottom w:val="0"/>
      <w:divBdr>
        <w:top w:val="none" w:sz="0" w:space="0" w:color="auto"/>
        <w:left w:val="none" w:sz="0" w:space="0" w:color="auto"/>
        <w:bottom w:val="none" w:sz="0" w:space="0" w:color="auto"/>
        <w:right w:val="none" w:sz="0" w:space="0" w:color="auto"/>
      </w:divBdr>
    </w:div>
    <w:div w:id="457141122">
      <w:marLeft w:val="480"/>
      <w:marRight w:val="0"/>
      <w:marTop w:val="0"/>
      <w:marBottom w:val="0"/>
      <w:divBdr>
        <w:top w:val="none" w:sz="0" w:space="0" w:color="auto"/>
        <w:left w:val="none" w:sz="0" w:space="0" w:color="auto"/>
        <w:bottom w:val="none" w:sz="0" w:space="0" w:color="auto"/>
        <w:right w:val="none" w:sz="0" w:space="0" w:color="auto"/>
      </w:divBdr>
    </w:div>
    <w:div w:id="458037149">
      <w:marLeft w:val="480"/>
      <w:marRight w:val="0"/>
      <w:marTop w:val="0"/>
      <w:marBottom w:val="0"/>
      <w:divBdr>
        <w:top w:val="none" w:sz="0" w:space="0" w:color="auto"/>
        <w:left w:val="none" w:sz="0" w:space="0" w:color="auto"/>
        <w:bottom w:val="none" w:sz="0" w:space="0" w:color="auto"/>
        <w:right w:val="none" w:sz="0" w:space="0" w:color="auto"/>
      </w:divBdr>
    </w:div>
    <w:div w:id="460609093">
      <w:marLeft w:val="480"/>
      <w:marRight w:val="0"/>
      <w:marTop w:val="0"/>
      <w:marBottom w:val="0"/>
      <w:divBdr>
        <w:top w:val="none" w:sz="0" w:space="0" w:color="auto"/>
        <w:left w:val="none" w:sz="0" w:space="0" w:color="auto"/>
        <w:bottom w:val="none" w:sz="0" w:space="0" w:color="auto"/>
        <w:right w:val="none" w:sz="0" w:space="0" w:color="auto"/>
      </w:divBdr>
    </w:div>
    <w:div w:id="463427615">
      <w:marLeft w:val="480"/>
      <w:marRight w:val="0"/>
      <w:marTop w:val="0"/>
      <w:marBottom w:val="0"/>
      <w:divBdr>
        <w:top w:val="none" w:sz="0" w:space="0" w:color="auto"/>
        <w:left w:val="none" w:sz="0" w:space="0" w:color="auto"/>
        <w:bottom w:val="none" w:sz="0" w:space="0" w:color="auto"/>
        <w:right w:val="none" w:sz="0" w:space="0" w:color="auto"/>
      </w:divBdr>
    </w:div>
    <w:div w:id="464467896">
      <w:marLeft w:val="480"/>
      <w:marRight w:val="0"/>
      <w:marTop w:val="0"/>
      <w:marBottom w:val="0"/>
      <w:divBdr>
        <w:top w:val="none" w:sz="0" w:space="0" w:color="auto"/>
        <w:left w:val="none" w:sz="0" w:space="0" w:color="auto"/>
        <w:bottom w:val="none" w:sz="0" w:space="0" w:color="auto"/>
        <w:right w:val="none" w:sz="0" w:space="0" w:color="auto"/>
      </w:divBdr>
    </w:div>
    <w:div w:id="464783713">
      <w:marLeft w:val="480"/>
      <w:marRight w:val="0"/>
      <w:marTop w:val="0"/>
      <w:marBottom w:val="0"/>
      <w:divBdr>
        <w:top w:val="none" w:sz="0" w:space="0" w:color="auto"/>
        <w:left w:val="none" w:sz="0" w:space="0" w:color="auto"/>
        <w:bottom w:val="none" w:sz="0" w:space="0" w:color="auto"/>
        <w:right w:val="none" w:sz="0" w:space="0" w:color="auto"/>
      </w:divBdr>
    </w:div>
    <w:div w:id="465129128">
      <w:marLeft w:val="480"/>
      <w:marRight w:val="0"/>
      <w:marTop w:val="0"/>
      <w:marBottom w:val="0"/>
      <w:divBdr>
        <w:top w:val="none" w:sz="0" w:space="0" w:color="auto"/>
        <w:left w:val="none" w:sz="0" w:space="0" w:color="auto"/>
        <w:bottom w:val="none" w:sz="0" w:space="0" w:color="auto"/>
        <w:right w:val="none" w:sz="0" w:space="0" w:color="auto"/>
      </w:divBdr>
    </w:div>
    <w:div w:id="465314992">
      <w:marLeft w:val="480"/>
      <w:marRight w:val="0"/>
      <w:marTop w:val="0"/>
      <w:marBottom w:val="0"/>
      <w:divBdr>
        <w:top w:val="none" w:sz="0" w:space="0" w:color="auto"/>
        <w:left w:val="none" w:sz="0" w:space="0" w:color="auto"/>
        <w:bottom w:val="none" w:sz="0" w:space="0" w:color="auto"/>
        <w:right w:val="none" w:sz="0" w:space="0" w:color="auto"/>
      </w:divBdr>
    </w:div>
    <w:div w:id="469173339">
      <w:marLeft w:val="480"/>
      <w:marRight w:val="0"/>
      <w:marTop w:val="0"/>
      <w:marBottom w:val="0"/>
      <w:divBdr>
        <w:top w:val="none" w:sz="0" w:space="0" w:color="auto"/>
        <w:left w:val="none" w:sz="0" w:space="0" w:color="auto"/>
        <w:bottom w:val="none" w:sz="0" w:space="0" w:color="auto"/>
        <w:right w:val="none" w:sz="0" w:space="0" w:color="auto"/>
      </w:divBdr>
    </w:div>
    <w:div w:id="472721564">
      <w:marLeft w:val="480"/>
      <w:marRight w:val="0"/>
      <w:marTop w:val="0"/>
      <w:marBottom w:val="0"/>
      <w:divBdr>
        <w:top w:val="none" w:sz="0" w:space="0" w:color="auto"/>
        <w:left w:val="none" w:sz="0" w:space="0" w:color="auto"/>
        <w:bottom w:val="none" w:sz="0" w:space="0" w:color="auto"/>
        <w:right w:val="none" w:sz="0" w:space="0" w:color="auto"/>
      </w:divBdr>
    </w:div>
    <w:div w:id="472984468">
      <w:marLeft w:val="480"/>
      <w:marRight w:val="0"/>
      <w:marTop w:val="0"/>
      <w:marBottom w:val="0"/>
      <w:divBdr>
        <w:top w:val="none" w:sz="0" w:space="0" w:color="auto"/>
        <w:left w:val="none" w:sz="0" w:space="0" w:color="auto"/>
        <w:bottom w:val="none" w:sz="0" w:space="0" w:color="auto"/>
        <w:right w:val="none" w:sz="0" w:space="0" w:color="auto"/>
      </w:divBdr>
    </w:div>
    <w:div w:id="473180609">
      <w:marLeft w:val="480"/>
      <w:marRight w:val="0"/>
      <w:marTop w:val="0"/>
      <w:marBottom w:val="0"/>
      <w:divBdr>
        <w:top w:val="none" w:sz="0" w:space="0" w:color="auto"/>
        <w:left w:val="none" w:sz="0" w:space="0" w:color="auto"/>
        <w:bottom w:val="none" w:sz="0" w:space="0" w:color="auto"/>
        <w:right w:val="none" w:sz="0" w:space="0" w:color="auto"/>
      </w:divBdr>
    </w:div>
    <w:div w:id="474837773">
      <w:marLeft w:val="480"/>
      <w:marRight w:val="0"/>
      <w:marTop w:val="0"/>
      <w:marBottom w:val="0"/>
      <w:divBdr>
        <w:top w:val="none" w:sz="0" w:space="0" w:color="auto"/>
        <w:left w:val="none" w:sz="0" w:space="0" w:color="auto"/>
        <w:bottom w:val="none" w:sz="0" w:space="0" w:color="auto"/>
        <w:right w:val="none" w:sz="0" w:space="0" w:color="auto"/>
      </w:divBdr>
    </w:div>
    <w:div w:id="475687831">
      <w:marLeft w:val="480"/>
      <w:marRight w:val="0"/>
      <w:marTop w:val="0"/>
      <w:marBottom w:val="0"/>
      <w:divBdr>
        <w:top w:val="none" w:sz="0" w:space="0" w:color="auto"/>
        <w:left w:val="none" w:sz="0" w:space="0" w:color="auto"/>
        <w:bottom w:val="none" w:sz="0" w:space="0" w:color="auto"/>
        <w:right w:val="none" w:sz="0" w:space="0" w:color="auto"/>
      </w:divBdr>
    </w:div>
    <w:div w:id="478570835">
      <w:marLeft w:val="480"/>
      <w:marRight w:val="0"/>
      <w:marTop w:val="0"/>
      <w:marBottom w:val="0"/>
      <w:divBdr>
        <w:top w:val="none" w:sz="0" w:space="0" w:color="auto"/>
        <w:left w:val="none" w:sz="0" w:space="0" w:color="auto"/>
        <w:bottom w:val="none" w:sz="0" w:space="0" w:color="auto"/>
        <w:right w:val="none" w:sz="0" w:space="0" w:color="auto"/>
      </w:divBdr>
    </w:div>
    <w:div w:id="482477620">
      <w:marLeft w:val="480"/>
      <w:marRight w:val="0"/>
      <w:marTop w:val="0"/>
      <w:marBottom w:val="0"/>
      <w:divBdr>
        <w:top w:val="none" w:sz="0" w:space="0" w:color="auto"/>
        <w:left w:val="none" w:sz="0" w:space="0" w:color="auto"/>
        <w:bottom w:val="none" w:sz="0" w:space="0" w:color="auto"/>
        <w:right w:val="none" w:sz="0" w:space="0" w:color="auto"/>
      </w:divBdr>
    </w:div>
    <w:div w:id="484856103">
      <w:marLeft w:val="480"/>
      <w:marRight w:val="0"/>
      <w:marTop w:val="0"/>
      <w:marBottom w:val="0"/>
      <w:divBdr>
        <w:top w:val="none" w:sz="0" w:space="0" w:color="auto"/>
        <w:left w:val="none" w:sz="0" w:space="0" w:color="auto"/>
        <w:bottom w:val="none" w:sz="0" w:space="0" w:color="auto"/>
        <w:right w:val="none" w:sz="0" w:space="0" w:color="auto"/>
      </w:divBdr>
    </w:div>
    <w:div w:id="485711835">
      <w:marLeft w:val="480"/>
      <w:marRight w:val="0"/>
      <w:marTop w:val="0"/>
      <w:marBottom w:val="0"/>
      <w:divBdr>
        <w:top w:val="none" w:sz="0" w:space="0" w:color="auto"/>
        <w:left w:val="none" w:sz="0" w:space="0" w:color="auto"/>
        <w:bottom w:val="none" w:sz="0" w:space="0" w:color="auto"/>
        <w:right w:val="none" w:sz="0" w:space="0" w:color="auto"/>
      </w:divBdr>
    </w:div>
    <w:div w:id="486483772">
      <w:marLeft w:val="480"/>
      <w:marRight w:val="0"/>
      <w:marTop w:val="0"/>
      <w:marBottom w:val="0"/>
      <w:divBdr>
        <w:top w:val="none" w:sz="0" w:space="0" w:color="auto"/>
        <w:left w:val="none" w:sz="0" w:space="0" w:color="auto"/>
        <w:bottom w:val="none" w:sz="0" w:space="0" w:color="auto"/>
        <w:right w:val="none" w:sz="0" w:space="0" w:color="auto"/>
      </w:divBdr>
    </w:div>
    <w:div w:id="486629371">
      <w:marLeft w:val="480"/>
      <w:marRight w:val="0"/>
      <w:marTop w:val="0"/>
      <w:marBottom w:val="0"/>
      <w:divBdr>
        <w:top w:val="none" w:sz="0" w:space="0" w:color="auto"/>
        <w:left w:val="none" w:sz="0" w:space="0" w:color="auto"/>
        <w:bottom w:val="none" w:sz="0" w:space="0" w:color="auto"/>
        <w:right w:val="none" w:sz="0" w:space="0" w:color="auto"/>
      </w:divBdr>
    </w:div>
    <w:div w:id="487065052">
      <w:marLeft w:val="480"/>
      <w:marRight w:val="0"/>
      <w:marTop w:val="0"/>
      <w:marBottom w:val="0"/>
      <w:divBdr>
        <w:top w:val="none" w:sz="0" w:space="0" w:color="auto"/>
        <w:left w:val="none" w:sz="0" w:space="0" w:color="auto"/>
        <w:bottom w:val="none" w:sz="0" w:space="0" w:color="auto"/>
        <w:right w:val="none" w:sz="0" w:space="0" w:color="auto"/>
      </w:divBdr>
    </w:div>
    <w:div w:id="488907341">
      <w:marLeft w:val="480"/>
      <w:marRight w:val="0"/>
      <w:marTop w:val="0"/>
      <w:marBottom w:val="0"/>
      <w:divBdr>
        <w:top w:val="none" w:sz="0" w:space="0" w:color="auto"/>
        <w:left w:val="none" w:sz="0" w:space="0" w:color="auto"/>
        <w:bottom w:val="none" w:sz="0" w:space="0" w:color="auto"/>
        <w:right w:val="none" w:sz="0" w:space="0" w:color="auto"/>
      </w:divBdr>
    </w:div>
    <w:div w:id="494490200">
      <w:marLeft w:val="480"/>
      <w:marRight w:val="0"/>
      <w:marTop w:val="0"/>
      <w:marBottom w:val="0"/>
      <w:divBdr>
        <w:top w:val="none" w:sz="0" w:space="0" w:color="auto"/>
        <w:left w:val="none" w:sz="0" w:space="0" w:color="auto"/>
        <w:bottom w:val="none" w:sz="0" w:space="0" w:color="auto"/>
        <w:right w:val="none" w:sz="0" w:space="0" w:color="auto"/>
      </w:divBdr>
    </w:div>
    <w:div w:id="498425187">
      <w:marLeft w:val="480"/>
      <w:marRight w:val="0"/>
      <w:marTop w:val="0"/>
      <w:marBottom w:val="0"/>
      <w:divBdr>
        <w:top w:val="none" w:sz="0" w:space="0" w:color="auto"/>
        <w:left w:val="none" w:sz="0" w:space="0" w:color="auto"/>
        <w:bottom w:val="none" w:sz="0" w:space="0" w:color="auto"/>
        <w:right w:val="none" w:sz="0" w:space="0" w:color="auto"/>
      </w:divBdr>
    </w:div>
    <w:div w:id="503008631">
      <w:marLeft w:val="480"/>
      <w:marRight w:val="0"/>
      <w:marTop w:val="0"/>
      <w:marBottom w:val="0"/>
      <w:divBdr>
        <w:top w:val="none" w:sz="0" w:space="0" w:color="auto"/>
        <w:left w:val="none" w:sz="0" w:space="0" w:color="auto"/>
        <w:bottom w:val="none" w:sz="0" w:space="0" w:color="auto"/>
        <w:right w:val="none" w:sz="0" w:space="0" w:color="auto"/>
      </w:divBdr>
    </w:div>
    <w:div w:id="505366773">
      <w:marLeft w:val="480"/>
      <w:marRight w:val="0"/>
      <w:marTop w:val="0"/>
      <w:marBottom w:val="0"/>
      <w:divBdr>
        <w:top w:val="none" w:sz="0" w:space="0" w:color="auto"/>
        <w:left w:val="none" w:sz="0" w:space="0" w:color="auto"/>
        <w:bottom w:val="none" w:sz="0" w:space="0" w:color="auto"/>
        <w:right w:val="none" w:sz="0" w:space="0" w:color="auto"/>
      </w:divBdr>
    </w:div>
    <w:div w:id="507604333">
      <w:marLeft w:val="480"/>
      <w:marRight w:val="0"/>
      <w:marTop w:val="0"/>
      <w:marBottom w:val="0"/>
      <w:divBdr>
        <w:top w:val="none" w:sz="0" w:space="0" w:color="auto"/>
        <w:left w:val="none" w:sz="0" w:space="0" w:color="auto"/>
        <w:bottom w:val="none" w:sz="0" w:space="0" w:color="auto"/>
        <w:right w:val="none" w:sz="0" w:space="0" w:color="auto"/>
      </w:divBdr>
    </w:div>
    <w:div w:id="509032028">
      <w:marLeft w:val="480"/>
      <w:marRight w:val="0"/>
      <w:marTop w:val="0"/>
      <w:marBottom w:val="0"/>
      <w:divBdr>
        <w:top w:val="none" w:sz="0" w:space="0" w:color="auto"/>
        <w:left w:val="none" w:sz="0" w:space="0" w:color="auto"/>
        <w:bottom w:val="none" w:sz="0" w:space="0" w:color="auto"/>
        <w:right w:val="none" w:sz="0" w:space="0" w:color="auto"/>
      </w:divBdr>
    </w:div>
    <w:div w:id="510023513">
      <w:marLeft w:val="480"/>
      <w:marRight w:val="0"/>
      <w:marTop w:val="0"/>
      <w:marBottom w:val="0"/>
      <w:divBdr>
        <w:top w:val="none" w:sz="0" w:space="0" w:color="auto"/>
        <w:left w:val="none" w:sz="0" w:space="0" w:color="auto"/>
        <w:bottom w:val="none" w:sz="0" w:space="0" w:color="auto"/>
        <w:right w:val="none" w:sz="0" w:space="0" w:color="auto"/>
      </w:divBdr>
    </w:div>
    <w:div w:id="511186443">
      <w:marLeft w:val="480"/>
      <w:marRight w:val="0"/>
      <w:marTop w:val="0"/>
      <w:marBottom w:val="0"/>
      <w:divBdr>
        <w:top w:val="none" w:sz="0" w:space="0" w:color="auto"/>
        <w:left w:val="none" w:sz="0" w:space="0" w:color="auto"/>
        <w:bottom w:val="none" w:sz="0" w:space="0" w:color="auto"/>
        <w:right w:val="none" w:sz="0" w:space="0" w:color="auto"/>
      </w:divBdr>
    </w:div>
    <w:div w:id="513107375">
      <w:marLeft w:val="480"/>
      <w:marRight w:val="0"/>
      <w:marTop w:val="0"/>
      <w:marBottom w:val="0"/>
      <w:divBdr>
        <w:top w:val="none" w:sz="0" w:space="0" w:color="auto"/>
        <w:left w:val="none" w:sz="0" w:space="0" w:color="auto"/>
        <w:bottom w:val="none" w:sz="0" w:space="0" w:color="auto"/>
        <w:right w:val="none" w:sz="0" w:space="0" w:color="auto"/>
      </w:divBdr>
    </w:div>
    <w:div w:id="513157023">
      <w:marLeft w:val="480"/>
      <w:marRight w:val="0"/>
      <w:marTop w:val="0"/>
      <w:marBottom w:val="0"/>
      <w:divBdr>
        <w:top w:val="none" w:sz="0" w:space="0" w:color="auto"/>
        <w:left w:val="none" w:sz="0" w:space="0" w:color="auto"/>
        <w:bottom w:val="none" w:sz="0" w:space="0" w:color="auto"/>
        <w:right w:val="none" w:sz="0" w:space="0" w:color="auto"/>
      </w:divBdr>
    </w:div>
    <w:div w:id="513540884">
      <w:marLeft w:val="480"/>
      <w:marRight w:val="0"/>
      <w:marTop w:val="0"/>
      <w:marBottom w:val="0"/>
      <w:divBdr>
        <w:top w:val="none" w:sz="0" w:space="0" w:color="auto"/>
        <w:left w:val="none" w:sz="0" w:space="0" w:color="auto"/>
        <w:bottom w:val="none" w:sz="0" w:space="0" w:color="auto"/>
        <w:right w:val="none" w:sz="0" w:space="0" w:color="auto"/>
      </w:divBdr>
    </w:div>
    <w:div w:id="514343096">
      <w:marLeft w:val="480"/>
      <w:marRight w:val="0"/>
      <w:marTop w:val="0"/>
      <w:marBottom w:val="0"/>
      <w:divBdr>
        <w:top w:val="none" w:sz="0" w:space="0" w:color="auto"/>
        <w:left w:val="none" w:sz="0" w:space="0" w:color="auto"/>
        <w:bottom w:val="none" w:sz="0" w:space="0" w:color="auto"/>
        <w:right w:val="none" w:sz="0" w:space="0" w:color="auto"/>
      </w:divBdr>
    </w:div>
    <w:div w:id="514419205">
      <w:marLeft w:val="480"/>
      <w:marRight w:val="0"/>
      <w:marTop w:val="0"/>
      <w:marBottom w:val="0"/>
      <w:divBdr>
        <w:top w:val="none" w:sz="0" w:space="0" w:color="auto"/>
        <w:left w:val="none" w:sz="0" w:space="0" w:color="auto"/>
        <w:bottom w:val="none" w:sz="0" w:space="0" w:color="auto"/>
        <w:right w:val="none" w:sz="0" w:space="0" w:color="auto"/>
      </w:divBdr>
    </w:div>
    <w:div w:id="515996214">
      <w:marLeft w:val="480"/>
      <w:marRight w:val="0"/>
      <w:marTop w:val="0"/>
      <w:marBottom w:val="0"/>
      <w:divBdr>
        <w:top w:val="none" w:sz="0" w:space="0" w:color="auto"/>
        <w:left w:val="none" w:sz="0" w:space="0" w:color="auto"/>
        <w:bottom w:val="none" w:sz="0" w:space="0" w:color="auto"/>
        <w:right w:val="none" w:sz="0" w:space="0" w:color="auto"/>
      </w:divBdr>
    </w:div>
    <w:div w:id="517157438">
      <w:marLeft w:val="480"/>
      <w:marRight w:val="0"/>
      <w:marTop w:val="0"/>
      <w:marBottom w:val="0"/>
      <w:divBdr>
        <w:top w:val="none" w:sz="0" w:space="0" w:color="auto"/>
        <w:left w:val="none" w:sz="0" w:space="0" w:color="auto"/>
        <w:bottom w:val="none" w:sz="0" w:space="0" w:color="auto"/>
        <w:right w:val="none" w:sz="0" w:space="0" w:color="auto"/>
      </w:divBdr>
    </w:div>
    <w:div w:id="521093083">
      <w:marLeft w:val="480"/>
      <w:marRight w:val="0"/>
      <w:marTop w:val="0"/>
      <w:marBottom w:val="0"/>
      <w:divBdr>
        <w:top w:val="none" w:sz="0" w:space="0" w:color="auto"/>
        <w:left w:val="none" w:sz="0" w:space="0" w:color="auto"/>
        <w:bottom w:val="none" w:sz="0" w:space="0" w:color="auto"/>
        <w:right w:val="none" w:sz="0" w:space="0" w:color="auto"/>
      </w:divBdr>
    </w:div>
    <w:div w:id="522060392">
      <w:marLeft w:val="480"/>
      <w:marRight w:val="0"/>
      <w:marTop w:val="0"/>
      <w:marBottom w:val="0"/>
      <w:divBdr>
        <w:top w:val="none" w:sz="0" w:space="0" w:color="auto"/>
        <w:left w:val="none" w:sz="0" w:space="0" w:color="auto"/>
        <w:bottom w:val="none" w:sz="0" w:space="0" w:color="auto"/>
        <w:right w:val="none" w:sz="0" w:space="0" w:color="auto"/>
      </w:divBdr>
    </w:div>
    <w:div w:id="522398471">
      <w:marLeft w:val="480"/>
      <w:marRight w:val="0"/>
      <w:marTop w:val="0"/>
      <w:marBottom w:val="0"/>
      <w:divBdr>
        <w:top w:val="none" w:sz="0" w:space="0" w:color="auto"/>
        <w:left w:val="none" w:sz="0" w:space="0" w:color="auto"/>
        <w:bottom w:val="none" w:sz="0" w:space="0" w:color="auto"/>
        <w:right w:val="none" w:sz="0" w:space="0" w:color="auto"/>
      </w:divBdr>
    </w:div>
    <w:div w:id="523135249">
      <w:marLeft w:val="480"/>
      <w:marRight w:val="0"/>
      <w:marTop w:val="0"/>
      <w:marBottom w:val="0"/>
      <w:divBdr>
        <w:top w:val="none" w:sz="0" w:space="0" w:color="auto"/>
        <w:left w:val="none" w:sz="0" w:space="0" w:color="auto"/>
        <w:bottom w:val="none" w:sz="0" w:space="0" w:color="auto"/>
        <w:right w:val="none" w:sz="0" w:space="0" w:color="auto"/>
      </w:divBdr>
    </w:div>
    <w:div w:id="525487690">
      <w:marLeft w:val="480"/>
      <w:marRight w:val="0"/>
      <w:marTop w:val="0"/>
      <w:marBottom w:val="0"/>
      <w:divBdr>
        <w:top w:val="none" w:sz="0" w:space="0" w:color="auto"/>
        <w:left w:val="none" w:sz="0" w:space="0" w:color="auto"/>
        <w:bottom w:val="none" w:sz="0" w:space="0" w:color="auto"/>
        <w:right w:val="none" w:sz="0" w:space="0" w:color="auto"/>
      </w:divBdr>
    </w:div>
    <w:div w:id="527570340">
      <w:marLeft w:val="480"/>
      <w:marRight w:val="0"/>
      <w:marTop w:val="0"/>
      <w:marBottom w:val="0"/>
      <w:divBdr>
        <w:top w:val="none" w:sz="0" w:space="0" w:color="auto"/>
        <w:left w:val="none" w:sz="0" w:space="0" w:color="auto"/>
        <w:bottom w:val="none" w:sz="0" w:space="0" w:color="auto"/>
        <w:right w:val="none" w:sz="0" w:space="0" w:color="auto"/>
      </w:divBdr>
    </w:div>
    <w:div w:id="527641881">
      <w:marLeft w:val="480"/>
      <w:marRight w:val="0"/>
      <w:marTop w:val="0"/>
      <w:marBottom w:val="0"/>
      <w:divBdr>
        <w:top w:val="none" w:sz="0" w:space="0" w:color="auto"/>
        <w:left w:val="none" w:sz="0" w:space="0" w:color="auto"/>
        <w:bottom w:val="none" w:sz="0" w:space="0" w:color="auto"/>
        <w:right w:val="none" w:sz="0" w:space="0" w:color="auto"/>
      </w:divBdr>
    </w:div>
    <w:div w:id="533349671">
      <w:marLeft w:val="480"/>
      <w:marRight w:val="0"/>
      <w:marTop w:val="0"/>
      <w:marBottom w:val="0"/>
      <w:divBdr>
        <w:top w:val="none" w:sz="0" w:space="0" w:color="auto"/>
        <w:left w:val="none" w:sz="0" w:space="0" w:color="auto"/>
        <w:bottom w:val="none" w:sz="0" w:space="0" w:color="auto"/>
        <w:right w:val="none" w:sz="0" w:space="0" w:color="auto"/>
      </w:divBdr>
    </w:div>
    <w:div w:id="533923553">
      <w:marLeft w:val="480"/>
      <w:marRight w:val="0"/>
      <w:marTop w:val="0"/>
      <w:marBottom w:val="0"/>
      <w:divBdr>
        <w:top w:val="none" w:sz="0" w:space="0" w:color="auto"/>
        <w:left w:val="none" w:sz="0" w:space="0" w:color="auto"/>
        <w:bottom w:val="none" w:sz="0" w:space="0" w:color="auto"/>
        <w:right w:val="none" w:sz="0" w:space="0" w:color="auto"/>
      </w:divBdr>
    </w:div>
    <w:div w:id="534008382">
      <w:marLeft w:val="480"/>
      <w:marRight w:val="0"/>
      <w:marTop w:val="0"/>
      <w:marBottom w:val="0"/>
      <w:divBdr>
        <w:top w:val="none" w:sz="0" w:space="0" w:color="auto"/>
        <w:left w:val="none" w:sz="0" w:space="0" w:color="auto"/>
        <w:bottom w:val="none" w:sz="0" w:space="0" w:color="auto"/>
        <w:right w:val="none" w:sz="0" w:space="0" w:color="auto"/>
      </w:divBdr>
    </w:div>
    <w:div w:id="535890059">
      <w:marLeft w:val="480"/>
      <w:marRight w:val="0"/>
      <w:marTop w:val="0"/>
      <w:marBottom w:val="0"/>
      <w:divBdr>
        <w:top w:val="none" w:sz="0" w:space="0" w:color="auto"/>
        <w:left w:val="none" w:sz="0" w:space="0" w:color="auto"/>
        <w:bottom w:val="none" w:sz="0" w:space="0" w:color="auto"/>
        <w:right w:val="none" w:sz="0" w:space="0" w:color="auto"/>
      </w:divBdr>
    </w:div>
    <w:div w:id="536436062">
      <w:marLeft w:val="480"/>
      <w:marRight w:val="0"/>
      <w:marTop w:val="0"/>
      <w:marBottom w:val="0"/>
      <w:divBdr>
        <w:top w:val="none" w:sz="0" w:space="0" w:color="auto"/>
        <w:left w:val="none" w:sz="0" w:space="0" w:color="auto"/>
        <w:bottom w:val="none" w:sz="0" w:space="0" w:color="auto"/>
        <w:right w:val="none" w:sz="0" w:space="0" w:color="auto"/>
      </w:divBdr>
    </w:div>
    <w:div w:id="536741977">
      <w:marLeft w:val="480"/>
      <w:marRight w:val="0"/>
      <w:marTop w:val="0"/>
      <w:marBottom w:val="0"/>
      <w:divBdr>
        <w:top w:val="none" w:sz="0" w:space="0" w:color="auto"/>
        <w:left w:val="none" w:sz="0" w:space="0" w:color="auto"/>
        <w:bottom w:val="none" w:sz="0" w:space="0" w:color="auto"/>
        <w:right w:val="none" w:sz="0" w:space="0" w:color="auto"/>
      </w:divBdr>
    </w:div>
    <w:div w:id="541211923">
      <w:marLeft w:val="480"/>
      <w:marRight w:val="0"/>
      <w:marTop w:val="0"/>
      <w:marBottom w:val="0"/>
      <w:divBdr>
        <w:top w:val="none" w:sz="0" w:space="0" w:color="auto"/>
        <w:left w:val="none" w:sz="0" w:space="0" w:color="auto"/>
        <w:bottom w:val="none" w:sz="0" w:space="0" w:color="auto"/>
        <w:right w:val="none" w:sz="0" w:space="0" w:color="auto"/>
      </w:divBdr>
    </w:div>
    <w:div w:id="541288503">
      <w:marLeft w:val="480"/>
      <w:marRight w:val="0"/>
      <w:marTop w:val="0"/>
      <w:marBottom w:val="0"/>
      <w:divBdr>
        <w:top w:val="none" w:sz="0" w:space="0" w:color="auto"/>
        <w:left w:val="none" w:sz="0" w:space="0" w:color="auto"/>
        <w:bottom w:val="none" w:sz="0" w:space="0" w:color="auto"/>
        <w:right w:val="none" w:sz="0" w:space="0" w:color="auto"/>
      </w:divBdr>
    </w:div>
    <w:div w:id="544758188">
      <w:marLeft w:val="480"/>
      <w:marRight w:val="0"/>
      <w:marTop w:val="0"/>
      <w:marBottom w:val="0"/>
      <w:divBdr>
        <w:top w:val="none" w:sz="0" w:space="0" w:color="auto"/>
        <w:left w:val="none" w:sz="0" w:space="0" w:color="auto"/>
        <w:bottom w:val="none" w:sz="0" w:space="0" w:color="auto"/>
        <w:right w:val="none" w:sz="0" w:space="0" w:color="auto"/>
      </w:divBdr>
    </w:div>
    <w:div w:id="547566620">
      <w:marLeft w:val="480"/>
      <w:marRight w:val="0"/>
      <w:marTop w:val="0"/>
      <w:marBottom w:val="0"/>
      <w:divBdr>
        <w:top w:val="none" w:sz="0" w:space="0" w:color="auto"/>
        <w:left w:val="none" w:sz="0" w:space="0" w:color="auto"/>
        <w:bottom w:val="none" w:sz="0" w:space="0" w:color="auto"/>
        <w:right w:val="none" w:sz="0" w:space="0" w:color="auto"/>
      </w:divBdr>
    </w:div>
    <w:div w:id="548148820">
      <w:marLeft w:val="480"/>
      <w:marRight w:val="0"/>
      <w:marTop w:val="0"/>
      <w:marBottom w:val="0"/>
      <w:divBdr>
        <w:top w:val="none" w:sz="0" w:space="0" w:color="auto"/>
        <w:left w:val="none" w:sz="0" w:space="0" w:color="auto"/>
        <w:bottom w:val="none" w:sz="0" w:space="0" w:color="auto"/>
        <w:right w:val="none" w:sz="0" w:space="0" w:color="auto"/>
      </w:divBdr>
    </w:div>
    <w:div w:id="549459773">
      <w:marLeft w:val="480"/>
      <w:marRight w:val="0"/>
      <w:marTop w:val="0"/>
      <w:marBottom w:val="0"/>
      <w:divBdr>
        <w:top w:val="none" w:sz="0" w:space="0" w:color="auto"/>
        <w:left w:val="none" w:sz="0" w:space="0" w:color="auto"/>
        <w:bottom w:val="none" w:sz="0" w:space="0" w:color="auto"/>
        <w:right w:val="none" w:sz="0" w:space="0" w:color="auto"/>
      </w:divBdr>
    </w:div>
    <w:div w:id="552158161">
      <w:marLeft w:val="480"/>
      <w:marRight w:val="0"/>
      <w:marTop w:val="0"/>
      <w:marBottom w:val="0"/>
      <w:divBdr>
        <w:top w:val="none" w:sz="0" w:space="0" w:color="auto"/>
        <w:left w:val="none" w:sz="0" w:space="0" w:color="auto"/>
        <w:bottom w:val="none" w:sz="0" w:space="0" w:color="auto"/>
        <w:right w:val="none" w:sz="0" w:space="0" w:color="auto"/>
      </w:divBdr>
    </w:div>
    <w:div w:id="552932615">
      <w:marLeft w:val="480"/>
      <w:marRight w:val="0"/>
      <w:marTop w:val="0"/>
      <w:marBottom w:val="0"/>
      <w:divBdr>
        <w:top w:val="none" w:sz="0" w:space="0" w:color="auto"/>
        <w:left w:val="none" w:sz="0" w:space="0" w:color="auto"/>
        <w:bottom w:val="none" w:sz="0" w:space="0" w:color="auto"/>
        <w:right w:val="none" w:sz="0" w:space="0" w:color="auto"/>
      </w:divBdr>
    </w:div>
    <w:div w:id="556013460">
      <w:marLeft w:val="480"/>
      <w:marRight w:val="0"/>
      <w:marTop w:val="0"/>
      <w:marBottom w:val="0"/>
      <w:divBdr>
        <w:top w:val="none" w:sz="0" w:space="0" w:color="auto"/>
        <w:left w:val="none" w:sz="0" w:space="0" w:color="auto"/>
        <w:bottom w:val="none" w:sz="0" w:space="0" w:color="auto"/>
        <w:right w:val="none" w:sz="0" w:space="0" w:color="auto"/>
      </w:divBdr>
    </w:div>
    <w:div w:id="558202154">
      <w:marLeft w:val="480"/>
      <w:marRight w:val="0"/>
      <w:marTop w:val="0"/>
      <w:marBottom w:val="0"/>
      <w:divBdr>
        <w:top w:val="none" w:sz="0" w:space="0" w:color="auto"/>
        <w:left w:val="none" w:sz="0" w:space="0" w:color="auto"/>
        <w:bottom w:val="none" w:sz="0" w:space="0" w:color="auto"/>
        <w:right w:val="none" w:sz="0" w:space="0" w:color="auto"/>
      </w:divBdr>
    </w:div>
    <w:div w:id="558321759">
      <w:marLeft w:val="480"/>
      <w:marRight w:val="0"/>
      <w:marTop w:val="0"/>
      <w:marBottom w:val="0"/>
      <w:divBdr>
        <w:top w:val="none" w:sz="0" w:space="0" w:color="auto"/>
        <w:left w:val="none" w:sz="0" w:space="0" w:color="auto"/>
        <w:bottom w:val="none" w:sz="0" w:space="0" w:color="auto"/>
        <w:right w:val="none" w:sz="0" w:space="0" w:color="auto"/>
      </w:divBdr>
    </w:div>
    <w:div w:id="559749600">
      <w:marLeft w:val="480"/>
      <w:marRight w:val="0"/>
      <w:marTop w:val="0"/>
      <w:marBottom w:val="0"/>
      <w:divBdr>
        <w:top w:val="none" w:sz="0" w:space="0" w:color="auto"/>
        <w:left w:val="none" w:sz="0" w:space="0" w:color="auto"/>
        <w:bottom w:val="none" w:sz="0" w:space="0" w:color="auto"/>
        <w:right w:val="none" w:sz="0" w:space="0" w:color="auto"/>
      </w:divBdr>
    </w:div>
    <w:div w:id="560141584">
      <w:marLeft w:val="480"/>
      <w:marRight w:val="0"/>
      <w:marTop w:val="0"/>
      <w:marBottom w:val="0"/>
      <w:divBdr>
        <w:top w:val="none" w:sz="0" w:space="0" w:color="auto"/>
        <w:left w:val="none" w:sz="0" w:space="0" w:color="auto"/>
        <w:bottom w:val="none" w:sz="0" w:space="0" w:color="auto"/>
        <w:right w:val="none" w:sz="0" w:space="0" w:color="auto"/>
      </w:divBdr>
    </w:div>
    <w:div w:id="560337215">
      <w:marLeft w:val="480"/>
      <w:marRight w:val="0"/>
      <w:marTop w:val="0"/>
      <w:marBottom w:val="0"/>
      <w:divBdr>
        <w:top w:val="none" w:sz="0" w:space="0" w:color="auto"/>
        <w:left w:val="none" w:sz="0" w:space="0" w:color="auto"/>
        <w:bottom w:val="none" w:sz="0" w:space="0" w:color="auto"/>
        <w:right w:val="none" w:sz="0" w:space="0" w:color="auto"/>
      </w:divBdr>
    </w:div>
    <w:div w:id="560601405">
      <w:marLeft w:val="480"/>
      <w:marRight w:val="0"/>
      <w:marTop w:val="0"/>
      <w:marBottom w:val="0"/>
      <w:divBdr>
        <w:top w:val="none" w:sz="0" w:space="0" w:color="auto"/>
        <w:left w:val="none" w:sz="0" w:space="0" w:color="auto"/>
        <w:bottom w:val="none" w:sz="0" w:space="0" w:color="auto"/>
        <w:right w:val="none" w:sz="0" w:space="0" w:color="auto"/>
      </w:divBdr>
    </w:div>
    <w:div w:id="561452642">
      <w:marLeft w:val="480"/>
      <w:marRight w:val="0"/>
      <w:marTop w:val="0"/>
      <w:marBottom w:val="0"/>
      <w:divBdr>
        <w:top w:val="none" w:sz="0" w:space="0" w:color="auto"/>
        <w:left w:val="none" w:sz="0" w:space="0" w:color="auto"/>
        <w:bottom w:val="none" w:sz="0" w:space="0" w:color="auto"/>
        <w:right w:val="none" w:sz="0" w:space="0" w:color="auto"/>
      </w:divBdr>
    </w:div>
    <w:div w:id="561714690">
      <w:marLeft w:val="480"/>
      <w:marRight w:val="0"/>
      <w:marTop w:val="0"/>
      <w:marBottom w:val="0"/>
      <w:divBdr>
        <w:top w:val="none" w:sz="0" w:space="0" w:color="auto"/>
        <w:left w:val="none" w:sz="0" w:space="0" w:color="auto"/>
        <w:bottom w:val="none" w:sz="0" w:space="0" w:color="auto"/>
        <w:right w:val="none" w:sz="0" w:space="0" w:color="auto"/>
      </w:divBdr>
    </w:div>
    <w:div w:id="562831290">
      <w:marLeft w:val="480"/>
      <w:marRight w:val="0"/>
      <w:marTop w:val="0"/>
      <w:marBottom w:val="0"/>
      <w:divBdr>
        <w:top w:val="none" w:sz="0" w:space="0" w:color="auto"/>
        <w:left w:val="none" w:sz="0" w:space="0" w:color="auto"/>
        <w:bottom w:val="none" w:sz="0" w:space="0" w:color="auto"/>
        <w:right w:val="none" w:sz="0" w:space="0" w:color="auto"/>
      </w:divBdr>
    </w:div>
    <w:div w:id="570505167">
      <w:marLeft w:val="480"/>
      <w:marRight w:val="0"/>
      <w:marTop w:val="0"/>
      <w:marBottom w:val="0"/>
      <w:divBdr>
        <w:top w:val="none" w:sz="0" w:space="0" w:color="auto"/>
        <w:left w:val="none" w:sz="0" w:space="0" w:color="auto"/>
        <w:bottom w:val="none" w:sz="0" w:space="0" w:color="auto"/>
        <w:right w:val="none" w:sz="0" w:space="0" w:color="auto"/>
      </w:divBdr>
    </w:div>
    <w:div w:id="570892700">
      <w:marLeft w:val="480"/>
      <w:marRight w:val="0"/>
      <w:marTop w:val="0"/>
      <w:marBottom w:val="0"/>
      <w:divBdr>
        <w:top w:val="none" w:sz="0" w:space="0" w:color="auto"/>
        <w:left w:val="none" w:sz="0" w:space="0" w:color="auto"/>
        <w:bottom w:val="none" w:sz="0" w:space="0" w:color="auto"/>
        <w:right w:val="none" w:sz="0" w:space="0" w:color="auto"/>
      </w:divBdr>
    </w:div>
    <w:div w:id="571040629">
      <w:marLeft w:val="480"/>
      <w:marRight w:val="0"/>
      <w:marTop w:val="0"/>
      <w:marBottom w:val="0"/>
      <w:divBdr>
        <w:top w:val="none" w:sz="0" w:space="0" w:color="auto"/>
        <w:left w:val="none" w:sz="0" w:space="0" w:color="auto"/>
        <w:bottom w:val="none" w:sz="0" w:space="0" w:color="auto"/>
        <w:right w:val="none" w:sz="0" w:space="0" w:color="auto"/>
      </w:divBdr>
    </w:div>
    <w:div w:id="571308086">
      <w:marLeft w:val="480"/>
      <w:marRight w:val="0"/>
      <w:marTop w:val="0"/>
      <w:marBottom w:val="0"/>
      <w:divBdr>
        <w:top w:val="none" w:sz="0" w:space="0" w:color="auto"/>
        <w:left w:val="none" w:sz="0" w:space="0" w:color="auto"/>
        <w:bottom w:val="none" w:sz="0" w:space="0" w:color="auto"/>
        <w:right w:val="none" w:sz="0" w:space="0" w:color="auto"/>
      </w:divBdr>
    </w:div>
    <w:div w:id="571962344">
      <w:marLeft w:val="480"/>
      <w:marRight w:val="0"/>
      <w:marTop w:val="0"/>
      <w:marBottom w:val="0"/>
      <w:divBdr>
        <w:top w:val="none" w:sz="0" w:space="0" w:color="auto"/>
        <w:left w:val="none" w:sz="0" w:space="0" w:color="auto"/>
        <w:bottom w:val="none" w:sz="0" w:space="0" w:color="auto"/>
        <w:right w:val="none" w:sz="0" w:space="0" w:color="auto"/>
      </w:divBdr>
    </w:div>
    <w:div w:id="572666048">
      <w:marLeft w:val="480"/>
      <w:marRight w:val="0"/>
      <w:marTop w:val="0"/>
      <w:marBottom w:val="0"/>
      <w:divBdr>
        <w:top w:val="none" w:sz="0" w:space="0" w:color="auto"/>
        <w:left w:val="none" w:sz="0" w:space="0" w:color="auto"/>
        <w:bottom w:val="none" w:sz="0" w:space="0" w:color="auto"/>
        <w:right w:val="none" w:sz="0" w:space="0" w:color="auto"/>
      </w:divBdr>
    </w:div>
    <w:div w:id="572740211">
      <w:marLeft w:val="480"/>
      <w:marRight w:val="0"/>
      <w:marTop w:val="0"/>
      <w:marBottom w:val="0"/>
      <w:divBdr>
        <w:top w:val="none" w:sz="0" w:space="0" w:color="auto"/>
        <w:left w:val="none" w:sz="0" w:space="0" w:color="auto"/>
        <w:bottom w:val="none" w:sz="0" w:space="0" w:color="auto"/>
        <w:right w:val="none" w:sz="0" w:space="0" w:color="auto"/>
      </w:divBdr>
    </w:div>
    <w:div w:id="573515231">
      <w:marLeft w:val="480"/>
      <w:marRight w:val="0"/>
      <w:marTop w:val="0"/>
      <w:marBottom w:val="0"/>
      <w:divBdr>
        <w:top w:val="none" w:sz="0" w:space="0" w:color="auto"/>
        <w:left w:val="none" w:sz="0" w:space="0" w:color="auto"/>
        <w:bottom w:val="none" w:sz="0" w:space="0" w:color="auto"/>
        <w:right w:val="none" w:sz="0" w:space="0" w:color="auto"/>
      </w:divBdr>
    </w:div>
    <w:div w:id="574440268">
      <w:marLeft w:val="480"/>
      <w:marRight w:val="0"/>
      <w:marTop w:val="0"/>
      <w:marBottom w:val="0"/>
      <w:divBdr>
        <w:top w:val="none" w:sz="0" w:space="0" w:color="auto"/>
        <w:left w:val="none" w:sz="0" w:space="0" w:color="auto"/>
        <w:bottom w:val="none" w:sz="0" w:space="0" w:color="auto"/>
        <w:right w:val="none" w:sz="0" w:space="0" w:color="auto"/>
      </w:divBdr>
    </w:div>
    <w:div w:id="577441563">
      <w:marLeft w:val="480"/>
      <w:marRight w:val="0"/>
      <w:marTop w:val="0"/>
      <w:marBottom w:val="0"/>
      <w:divBdr>
        <w:top w:val="none" w:sz="0" w:space="0" w:color="auto"/>
        <w:left w:val="none" w:sz="0" w:space="0" w:color="auto"/>
        <w:bottom w:val="none" w:sz="0" w:space="0" w:color="auto"/>
        <w:right w:val="none" w:sz="0" w:space="0" w:color="auto"/>
      </w:divBdr>
    </w:div>
    <w:div w:id="579558781">
      <w:marLeft w:val="480"/>
      <w:marRight w:val="0"/>
      <w:marTop w:val="0"/>
      <w:marBottom w:val="0"/>
      <w:divBdr>
        <w:top w:val="none" w:sz="0" w:space="0" w:color="auto"/>
        <w:left w:val="none" w:sz="0" w:space="0" w:color="auto"/>
        <w:bottom w:val="none" w:sz="0" w:space="0" w:color="auto"/>
        <w:right w:val="none" w:sz="0" w:space="0" w:color="auto"/>
      </w:divBdr>
    </w:div>
    <w:div w:id="581262461">
      <w:marLeft w:val="480"/>
      <w:marRight w:val="0"/>
      <w:marTop w:val="0"/>
      <w:marBottom w:val="0"/>
      <w:divBdr>
        <w:top w:val="none" w:sz="0" w:space="0" w:color="auto"/>
        <w:left w:val="none" w:sz="0" w:space="0" w:color="auto"/>
        <w:bottom w:val="none" w:sz="0" w:space="0" w:color="auto"/>
        <w:right w:val="none" w:sz="0" w:space="0" w:color="auto"/>
      </w:divBdr>
    </w:div>
    <w:div w:id="582450990">
      <w:marLeft w:val="480"/>
      <w:marRight w:val="0"/>
      <w:marTop w:val="0"/>
      <w:marBottom w:val="0"/>
      <w:divBdr>
        <w:top w:val="none" w:sz="0" w:space="0" w:color="auto"/>
        <w:left w:val="none" w:sz="0" w:space="0" w:color="auto"/>
        <w:bottom w:val="none" w:sz="0" w:space="0" w:color="auto"/>
        <w:right w:val="none" w:sz="0" w:space="0" w:color="auto"/>
      </w:divBdr>
    </w:div>
    <w:div w:id="582765326">
      <w:marLeft w:val="480"/>
      <w:marRight w:val="0"/>
      <w:marTop w:val="0"/>
      <w:marBottom w:val="0"/>
      <w:divBdr>
        <w:top w:val="none" w:sz="0" w:space="0" w:color="auto"/>
        <w:left w:val="none" w:sz="0" w:space="0" w:color="auto"/>
        <w:bottom w:val="none" w:sz="0" w:space="0" w:color="auto"/>
        <w:right w:val="none" w:sz="0" w:space="0" w:color="auto"/>
      </w:divBdr>
    </w:div>
    <w:div w:id="585379308">
      <w:marLeft w:val="480"/>
      <w:marRight w:val="0"/>
      <w:marTop w:val="0"/>
      <w:marBottom w:val="0"/>
      <w:divBdr>
        <w:top w:val="none" w:sz="0" w:space="0" w:color="auto"/>
        <w:left w:val="none" w:sz="0" w:space="0" w:color="auto"/>
        <w:bottom w:val="none" w:sz="0" w:space="0" w:color="auto"/>
        <w:right w:val="none" w:sz="0" w:space="0" w:color="auto"/>
      </w:divBdr>
    </w:div>
    <w:div w:id="585573854">
      <w:marLeft w:val="480"/>
      <w:marRight w:val="0"/>
      <w:marTop w:val="0"/>
      <w:marBottom w:val="0"/>
      <w:divBdr>
        <w:top w:val="none" w:sz="0" w:space="0" w:color="auto"/>
        <w:left w:val="none" w:sz="0" w:space="0" w:color="auto"/>
        <w:bottom w:val="none" w:sz="0" w:space="0" w:color="auto"/>
        <w:right w:val="none" w:sz="0" w:space="0" w:color="auto"/>
      </w:divBdr>
    </w:div>
    <w:div w:id="589433817">
      <w:marLeft w:val="480"/>
      <w:marRight w:val="0"/>
      <w:marTop w:val="0"/>
      <w:marBottom w:val="0"/>
      <w:divBdr>
        <w:top w:val="none" w:sz="0" w:space="0" w:color="auto"/>
        <w:left w:val="none" w:sz="0" w:space="0" w:color="auto"/>
        <w:bottom w:val="none" w:sz="0" w:space="0" w:color="auto"/>
        <w:right w:val="none" w:sz="0" w:space="0" w:color="auto"/>
      </w:divBdr>
    </w:div>
    <w:div w:id="589967312">
      <w:marLeft w:val="480"/>
      <w:marRight w:val="0"/>
      <w:marTop w:val="0"/>
      <w:marBottom w:val="0"/>
      <w:divBdr>
        <w:top w:val="none" w:sz="0" w:space="0" w:color="auto"/>
        <w:left w:val="none" w:sz="0" w:space="0" w:color="auto"/>
        <w:bottom w:val="none" w:sz="0" w:space="0" w:color="auto"/>
        <w:right w:val="none" w:sz="0" w:space="0" w:color="auto"/>
      </w:divBdr>
    </w:div>
    <w:div w:id="591427671">
      <w:marLeft w:val="480"/>
      <w:marRight w:val="0"/>
      <w:marTop w:val="0"/>
      <w:marBottom w:val="0"/>
      <w:divBdr>
        <w:top w:val="none" w:sz="0" w:space="0" w:color="auto"/>
        <w:left w:val="none" w:sz="0" w:space="0" w:color="auto"/>
        <w:bottom w:val="none" w:sz="0" w:space="0" w:color="auto"/>
        <w:right w:val="none" w:sz="0" w:space="0" w:color="auto"/>
      </w:divBdr>
    </w:div>
    <w:div w:id="591664546">
      <w:marLeft w:val="480"/>
      <w:marRight w:val="0"/>
      <w:marTop w:val="0"/>
      <w:marBottom w:val="0"/>
      <w:divBdr>
        <w:top w:val="none" w:sz="0" w:space="0" w:color="auto"/>
        <w:left w:val="none" w:sz="0" w:space="0" w:color="auto"/>
        <w:bottom w:val="none" w:sz="0" w:space="0" w:color="auto"/>
        <w:right w:val="none" w:sz="0" w:space="0" w:color="auto"/>
      </w:divBdr>
    </w:div>
    <w:div w:id="592132426">
      <w:marLeft w:val="480"/>
      <w:marRight w:val="0"/>
      <w:marTop w:val="0"/>
      <w:marBottom w:val="0"/>
      <w:divBdr>
        <w:top w:val="none" w:sz="0" w:space="0" w:color="auto"/>
        <w:left w:val="none" w:sz="0" w:space="0" w:color="auto"/>
        <w:bottom w:val="none" w:sz="0" w:space="0" w:color="auto"/>
        <w:right w:val="none" w:sz="0" w:space="0" w:color="auto"/>
      </w:divBdr>
    </w:div>
    <w:div w:id="595944192">
      <w:marLeft w:val="480"/>
      <w:marRight w:val="0"/>
      <w:marTop w:val="0"/>
      <w:marBottom w:val="0"/>
      <w:divBdr>
        <w:top w:val="none" w:sz="0" w:space="0" w:color="auto"/>
        <w:left w:val="none" w:sz="0" w:space="0" w:color="auto"/>
        <w:bottom w:val="none" w:sz="0" w:space="0" w:color="auto"/>
        <w:right w:val="none" w:sz="0" w:space="0" w:color="auto"/>
      </w:divBdr>
    </w:div>
    <w:div w:id="596258900">
      <w:marLeft w:val="480"/>
      <w:marRight w:val="0"/>
      <w:marTop w:val="0"/>
      <w:marBottom w:val="0"/>
      <w:divBdr>
        <w:top w:val="none" w:sz="0" w:space="0" w:color="auto"/>
        <w:left w:val="none" w:sz="0" w:space="0" w:color="auto"/>
        <w:bottom w:val="none" w:sz="0" w:space="0" w:color="auto"/>
        <w:right w:val="none" w:sz="0" w:space="0" w:color="auto"/>
      </w:divBdr>
    </w:div>
    <w:div w:id="598368349">
      <w:marLeft w:val="480"/>
      <w:marRight w:val="0"/>
      <w:marTop w:val="0"/>
      <w:marBottom w:val="0"/>
      <w:divBdr>
        <w:top w:val="none" w:sz="0" w:space="0" w:color="auto"/>
        <w:left w:val="none" w:sz="0" w:space="0" w:color="auto"/>
        <w:bottom w:val="none" w:sz="0" w:space="0" w:color="auto"/>
        <w:right w:val="none" w:sz="0" w:space="0" w:color="auto"/>
      </w:divBdr>
    </w:div>
    <w:div w:id="598683110">
      <w:marLeft w:val="480"/>
      <w:marRight w:val="0"/>
      <w:marTop w:val="0"/>
      <w:marBottom w:val="0"/>
      <w:divBdr>
        <w:top w:val="none" w:sz="0" w:space="0" w:color="auto"/>
        <w:left w:val="none" w:sz="0" w:space="0" w:color="auto"/>
        <w:bottom w:val="none" w:sz="0" w:space="0" w:color="auto"/>
        <w:right w:val="none" w:sz="0" w:space="0" w:color="auto"/>
      </w:divBdr>
    </w:div>
    <w:div w:id="602224871">
      <w:marLeft w:val="480"/>
      <w:marRight w:val="0"/>
      <w:marTop w:val="0"/>
      <w:marBottom w:val="0"/>
      <w:divBdr>
        <w:top w:val="none" w:sz="0" w:space="0" w:color="auto"/>
        <w:left w:val="none" w:sz="0" w:space="0" w:color="auto"/>
        <w:bottom w:val="none" w:sz="0" w:space="0" w:color="auto"/>
        <w:right w:val="none" w:sz="0" w:space="0" w:color="auto"/>
      </w:divBdr>
    </w:div>
    <w:div w:id="603851021">
      <w:marLeft w:val="480"/>
      <w:marRight w:val="0"/>
      <w:marTop w:val="0"/>
      <w:marBottom w:val="0"/>
      <w:divBdr>
        <w:top w:val="none" w:sz="0" w:space="0" w:color="auto"/>
        <w:left w:val="none" w:sz="0" w:space="0" w:color="auto"/>
        <w:bottom w:val="none" w:sz="0" w:space="0" w:color="auto"/>
        <w:right w:val="none" w:sz="0" w:space="0" w:color="auto"/>
      </w:divBdr>
    </w:div>
    <w:div w:id="609899575">
      <w:marLeft w:val="480"/>
      <w:marRight w:val="0"/>
      <w:marTop w:val="0"/>
      <w:marBottom w:val="0"/>
      <w:divBdr>
        <w:top w:val="none" w:sz="0" w:space="0" w:color="auto"/>
        <w:left w:val="none" w:sz="0" w:space="0" w:color="auto"/>
        <w:bottom w:val="none" w:sz="0" w:space="0" w:color="auto"/>
        <w:right w:val="none" w:sz="0" w:space="0" w:color="auto"/>
      </w:divBdr>
    </w:div>
    <w:div w:id="614169168">
      <w:marLeft w:val="480"/>
      <w:marRight w:val="0"/>
      <w:marTop w:val="0"/>
      <w:marBottom w:val="0"/>
      <w:divBdr>
        <w:top w:val="none" w:sz="0" w:space="0" w:color="auto"/>
        <w:left w:val="none" w:sz="0" w:space="0" w:color="auto"/>
        <w:bottom w:val="none" w:sz="0" w:space="0" w:color="auto"/>
        <w:right w:val="none" w:sz="0" w:space="0" w:color="auto"/>
      </w:divBdr>
    </w:div>
    <w:div w:id="614990009">
      <w:marLeft w:val="480"/>
      <w:marRight w:val="0"/>
      <w:marTop w:val="0"/>
      <w:marBottom w:val="0"/>
      <w:divBdr>
        <w:top w:val="none" w:sz="0" w:space="0" w:color="auto"/>
        <w:left w:val="none" w:sz="0" w:space="0" w:color="auto"/>
        <w:bottom w:val="none" w:sz="0" w:space="0" w:color="auto"/>
        <w:right w:val="none" w:sz="0" w:space="0" w:color="auto"/>
      </w:divBdr>
    </w:div>
    <w:div w:id="615330869">
      <w:marLeft w:val="480"/>
      <w:marRight w:val="0"/>
      <w:marTop w:val="0"/>
      <w:marBottom w:val="0"/>
      <w:divBdr>
        <w:top w:val="none" w:sz="0" w:space="0" w:color="auto"/>
        <w:left w:val="none" w:sz="0" w:space="0" w:color="auto"/>
        <w:bottom w:val="none" w:sz="0" w:space="0" w:color="auto"/>
        <w:right w:val="none" w:sz="0" w:space="0" w:color="auto"/>
      </w:divBdr>
    </w:div>
    <w:div w:id="615404605">
      <w:marLeft w:val="480"/>
      <w:marRight w:val="0"/>
      <w:marTop w:val="0"/>
      <w:marBottom w:val="0"/>
      <w:divBdr>
        <w:top w:val="none" w:sz="0" w:space="0" w:color="auto"/>
        <w:left w:val="none" w:sz="0" w:space="0" w:color="auto"/>
        <w:bottom w:val="none" w:sz="0" w:space="0" w:color="auto"/>
        <w:right w:val="none" w:sz="0" w:space="0" w:color="auto"/>
      </w:divBdr>
    </w:div>
    <w:div w:id="616914442">
      <w:marLeft w:val="480"/>
      <w:marRight w:val="0"/>
      <w:marTop w:val="0"/>
      <w:marBottom w:val="0"/>
      <w:divBdr>
        <w:top w:val="none" w:sz="0" w:space="0" w:color="auto"/>
        <w:left w:val="none" w:sz="0" w:space="0" w:color="auto"/>
        <w:bottom w:val="none" w:sz="0" w:space="0" w:color="auto"/>
        <w:right w:val="none" w:sz="0" w:space="0" w:color="auto"/>
      </w:divBdr>
    </w:div>
    <w:div w:id="617223833">
      <w:marLeft w:val="480"/>
      <w:marRight w:val="0"/>
      <w:marTop w:val="0"/>
      <w:marBottom w:val="0"/>
      <w:divBdr>
        <w:top w:val="none" w:sz="0" w:space="0" w:color="auto"/>
        <w:left w:val="none" w:sz="0" w:space="0" w:color="auto"/>
        <w:bottom w:val="none" w:sz="0" w:space="0" w:color="auto"/>
        <w:right w:val="none" w:sz="0" w:space="0" w:color="auto"/>
      </w:divBdr>
    </w:div>
    <w:div w:id="623271192">
      <w:marLeft w:val="480"/>
      <w:marRight w:val="0"/>
      <w:marTop w:val="0"/>
      <w:marBottom w:val="0"/>
      <w:divBdr>
        <w:top w:val="none" w:sz="0" w:space="0" w:color="auto"/>
        <w:left w:val="none" w:sz="0" w:space="0" w:color="auto"/>
        <w:bottom w:val="none" w:sz="0" w:space="0" w:color="auto"/>
        <w:right w:val="none" w:sz="0" w:space="0" w:color="auto"/>
      </w:divBdr>
    </w:div>
    <w:div w:id="624434762">
      <w:marLeft w:val="480"/>
      <w:marRight w:val="0"/>
      <w:marTop w:val="0"/>
      <w:marBottom w:val="0"/>
      <w:divBdr>
        <w:top w:val="none" w:sz="0" w:space="0" w:color="auto"/>
        <w:left w:val="none" w:sz="0" w:space="0" w:color="auto"/>
        <w:bottom w:val="none" w:sz="0" w:space="0" w:color="auto"/>
        <w:right w:val="none" w:sz="0" w:space="0" w:color="auto"/>
      </w:divBdr>
    </w:div>
    <w:div w:id="625359215">
      <w:marLeft w:val="480"/>
      <w:marRight w:val="0"/>
      <w:marTop w:val="0"/>
      <w:marBottom w:val="0"/>
      <w:divBdr>
        <w:top w:val="none" w:sz="0" w:space="0" w:color="auto"/>
        <w:left w:val="none" w:sz="0" w:space="0" w:color="auto"/>
        <w:bottom w:val="none" w:sz="0" w:space="0" w:color="auto"/>
        <w:right w:val="none" w:sz="0" w:space="0" w:color="auto"/>
      </w:divBdr>
    </w:div>
    <w:div w:id="625428825">
      <w:marLeft w:val="480"/>
      <w:marRight w:val="0"/>
      <w:marTop w:val="0"/>
      <w:marBottom w:val="0"/>
      <w:divBdr>
        <w:top w:val="none" w:sz="0" w:space="0" w:color="auto"/>
        <w:left w:val="none" w:sz="0" w:space="0" w:color="auto"/>
        <w:bottom w:val="none" w:sz="0" w:space="0" w:color="auto"/>
        <w:right w:val="none" w:sz="0" w:space="0" w:color="auto"/>
      </w:divBdr>
    </w:div>
    <w:div w:id="630012566">
      <w:marLeft w:val="480"/>
      <w:marRight w:val="0"/>
      <w:marTop w:val="0"/>
      <w:marBottom w:val="0"/>
      <w:divBdr>
        <w:top w:val="none" w:sz="0" w:space="0" w:color="auto"/>
        <w:left w:val="none" w:sz="0" w:space="0" w:color="auto"/>
        <w:bottom w:val="none" w:sz="0" w:space="0" w:color="auto"/>
        <w:right w:val="none" w:sz="0" w:space="0" w:color="auto"/>
      </w:divBdr>
    </w:div>
    <w:div w:id="631715160">
      <w:marLeft w:val="480"/>
      <w:marRight w:val="0"/>
      <w:marTop w:val="0"/>
      <w:marBottom w:val="0"/>
      <w:divBdr>
        <w:top w:val="none" w:sz="0" w:space="0" w:color="auto"/>
        <w:left w:val="none" w:sz="0" w:space="0" w:color="auto"/>
        <w:bottom w:val="none" w:sz="0" w:space="0" w:color="auto"/>
        <w:right w:val="none" w:sz="0" w:space="0" w:color="auto"/>
      </w:divBdr>
    </w:div>
    <w:div w:id="633027498">
      <w:marLeft w:val="480"/>
      <w:marRight w:val="0"/>
      <w:marTop w:val="0"/>
      <w:marBottom w:val="0"/>
      <w:divBdr>
        <w:top w:val="none" w:sz="0" w:space="0" w:color="auto"/>
        <w:left w:val="none" w:sz="0" w:space="0" w:color="auto"/>
        <w:bottom w:val="none" w:sz="0" w:space="0" w:color="auto"/>
        <w:right w:val="none" w:sz="0" w:space="0" w:color="auto"/>
      </w:divBdr>
    </w:div>
    <w:div w:id="633215235">
      <w:marLeft w:val="480"/>
      <w:marRight w:val="0"/>
      <w:marTop w:val="0"/>
      <w:marBottom w:val="0"/>
      <w:divBdr>
        <w:top w:val="none" w:sz="0" w:space="0" w:color="auto"/>
        <w:left w:val="none" w:sz="0" w:space="0" w:color="auto"/>
        <w:bottom w:val="none" w:sz="0" w:space="0" w:color="auto"/>
        <w:right w:val="none" w:sz="0" w:space="0" w:color="auto"/>
      </w:divBdr>
    </w:div>
    <w:div w:id="635722082">
      <w:marLeft w:val="480"/>
      <w:marRight w:val="0"/>
      <w:marTop w:val="0"/>
      <w:marBottom w:val="0"/>
      <w:divBdr>
        <w:top w:val="none" w:sz="0" w:space="0" w:color="auto"/>
        <w:left w:val="none" w:sz="0" w:space="0" w:color="auto"/>
        <w:bottom w:val="none" w:sz="0" w:space="0" w:color="auto"/>
        <w:right w:val="none" w:sz="0" w:space="0" w:color="auto"/>
      </w:divBdr>
    </w:div>
    <w:div w:id="636494883">
      <w:marLeft w:val="480"/>
      <w:marRight w:val="0"/>
      <w:marTop w:val="0"/>
      <w:marBottom w:val="0"/>
      <w:divBdr>
        <w:top w:val="none" w:sz="0" w:space="0" w:color="auto"/>
        <w:left w:val="none" w:sz="0" w:space="0" w:color="auto"/>
        <w:bottom w:val="none" w:sz="0" w:space="0" w:color="auto"/>
        <w:right w:val="none" w:sz="0" w:space="0" w:color="auto"/>
      </w:divBdr>
    </w:div>
    <w:div w:id="637031389">
      <w:marLeft w:val="480"/>
      <w:marRight w:val="0"/>
      <w:marTop w:val="0"/>
      <w:marBottom w:val="0"/>
      <w:divBdr>
        <w:top w:val="none" w:sz="0" w:space="0" w:color="auto"/>
        <w:left w:val="none" w:sz="0" w:space="0" w:color="auto"/>
        <w:bottom w:val="none" w:sz="0" w:space="0" w:color="auto"/>
        <w:right w:val="none" w:sz="0" w:space="0" w:color="auto"/>
      </w:divBdr>
    </w:div>
    <w:div w:id="637884111">
      <w:marLeft w:val="480"/>
      <w:marRight w:val="0"/>
      <w:marTop w:val="0"/>
      <w:marBottom w:val="0"/>
      <w:divBdr>
        <w:top w:val="none" w:sz="0" w:space="0" w:color="auto"/>
        <w:left w:val="none" w:sz="0" w:space="0" w:color="auto"/>
        <w:bottom w:val="none" w:sz="0" w:space="0" w:color="auto"/>
        <w:right w:val="none" w:sz="0" w:space="0" w:color="auto"/>
      </w:divBdr>
    </w:div>
    <w:div w:id="639304377">
      <w:marLeft w:val="480"/>
      <w:marRight w:val="0"/>
      <w:marTop w:val="0"/>
      <w:marBottom w:val="0"/>
      <w:divBdr>
        <w:top w:val="none" w:sz="0" w:space="0" w:color="auto"/>
        <w:left w:val="none" w:sz="0" w:space="0" w:color="auto"/>
        <w:bottom w:val="none" w:sz="0" w:space="0" w:color="auto"/>
        <w:right w:val="none" w:sz="0" w:space="0" w:color="auto"/>
      </w:divBdr>
    </w:div>
    <w:div w:id="640038448">
      <w:marLeft w:val="480"/>
      <w:marRight w:val="0"/>
      <w:marTop w:val="0"/>
      <w:marBottom w:val="0"/>
      <w:divBdr>
        <w:top w:val="none" w:sz="0" w:space="0" w:color="auto"/>
        <w:left w:val="none" w:sz="0" w:space="0" w:color="auto"/>
        <w:bottom w:val="none" w:sz="0" w:space="0" w:color="auto"/>
        <w:right w:val="none" w:sz="0" w:space="0" w:color="auto"/>
      </w:divBdr>
    </w:div>
    <w:div w:id="643236265">
      <w:marLeft w:val="480"/>
      <w:marRight w:val="0"/>
      <w:marTop w:val="0"/>
      <w:marBottom w:val="0"/>
      <w:divBdr>
        <w:top w:val="none" w:sz="0" w:space="0" w:color="auto"/>
        <w:left w:val="none" w:sz="0" w:space="0" w:color="auto"/>
        <w:bottom w:val="none" w:sz="0" w:space="0" w:color="auto"/>
        <w:right w:val="none" w:sz="0" w:space="0" w:color="auto"/>
      </w:divBdr>
    </w:div>
    <w:div w:id="643236340">
      <w:marLeft w:val="480"/>
      <w:marRight w:val="0"/>
      <w:marTop w:val="0"/>
      <w:marBottom w:val="0"/>
      <w:divBdr>
        <w:top w:val="none" w:sz="0" w:space="0" w:color="auto"/>
        <w:left w:val="none" w:sz="0" w:space="0" w:color="auto"/>
        <w:bottom w:val="none" w:sz="0" w:space="0" w:color="auto"/>
        <w:right w:val="none" w:sz="0" w:space="0" w:color="auto"/>
      </w:divBdr>
    </w:div>
    <w:div w:id="643778233">
      <w:marLeft w:val="480"/>
      <w:marRight w:val="0"/>
      <w:marTop w:val="0"/>
      <w:marBottom w:val="0"/>
      <w:divBdr>
        <w:top w:val="none" w:sz="0" w:space="0" w:color="auto"/>
        <w:left w:val="none" w:sz="0" w:space="0" w:color="auto"/>
        <w:bottom w:val="none" w:sz="0" w:space="0" w:color="auto"/>
        <w:right w:val="none" w:sz="0" w:space="0" w:color="auto"/>
      </w:divBdr>
    </w:div>
    <w:div w:id="649403512">
      <w:marLeft w:val="480"/>
      <w:marRight w:val="0"/>
      <w:marTop w:val="0"/>
      <w:marBottom w:val="0"/>
      <w:divBdr>
        <w:top w:val="none" w:sz="0" w:space="0" w:color="auto"/>
        <w:left w:val="none" w:sz="0" w:space="0" w:color="auto"/>
        <w:bottom w:val="none" w:sz="0" w:space="0" w:color="auto"/>
        <w:right w:val="none" w:sz="0" w:space="0" w:color="auto"/>
      </w:divBdr>
    </w:div>
    <w:div w:id="651523390">
      <w:marLeft w:val="480"/>
      <w:marRight w:val="0"/>
      <w:marTop w:val="0"/>
      <w:marBottom w:val="0"/>
      <w:divBdr>
        <w:top w:val="none" w:sz="0" w:space="0" w:color="auto"/>
        <w:left w:val="none" w:sz="0" w:space="0" w:color="auto"/>
        <w:bottom w:val="none" w:sz="0" w:space="0" w:color="auto"/>
        <w:right w:val="none" w:sz="0" w:space="0" w:color="auto"/>
      </w:divBdr>
    </w:div>
    <w:div w:id="654453025">
      <w:marLeft w:val="480"/>
      <w:marRight w:val="0"/>
      <w:marTop w:val="0"/>
      <w:marBottom w:val="0"/>
      <w:divBdr>
        <w:top w:val="none" w:sz="0" w:space="0" w:color="auto"/>
        <w:left w:val="none" w:sz="0" w:space="0" w:color="auto"/>
        <w:bottom w:val="none" w:sz="0" w:space="0" w:color="auto"/>
        <w:right w:val="none" w:sz="0" w:space="0" w:color="auto"/>
      </w:divBdr>
    </w:div>
    <w:div w:id="655718309">
      <w:marLeft w:val="480"/>
      <w:marRight w:val="0"/>
      <w:marTop w:val="0"/>
      <w:marBottom w:val="0"/>
      <w:divBdr>
        <w:top w:val="none" w:sz="0" w:space="0" w:color="auto"/>
        <w:left w:val="none" w:sz="0" w:space="0" w:color="auto"/>
        <w:bottom w:val="none" w:sz="0" w:space="0" w:color="auto"/>
        <w:right w:val="none" w:sz="0" w:space="0" w:color="auto"/>
      </w:divBdr>
    </w:div>
    <w:div w:id="656306052">
      <w:marLeft w:val="480"/>
      <w:marRight w:val="0"/>
      <w:marTop w:val="0"/>
      <w:marBottom w:val="0"/>
      <w:divBdr>
        <w:top w:val="none" w:sz="0" w:space="0" w:color="auto"/>
        <w:left w:val="none" w:sz="0" w:space="0" w:color="auto"/>
        <w:bottom w:val="none" w:sz="0" w:space="0" w:color="auto"/>
        <w:right w:val="none" w:sz="0" w:space="0" w:color="auto"/>
      </w:divBdr>
    </w:div>
    <w:div w:id="658581568">
      <w:marLeft w:val="480"/>
      <w:marRight w:val="0"/>
      <w:marTop w:val="0"/>
      <w:marBottom w:val="0"/>
      <w:divBdr>
        <w:top w:val="none" w:sz="0" w:space="0" w:color="auto"/>
        <w:left w:val="none" w:sz="0" w:space="0" w:color="auto"/>
        <w:bottom w:val="none" w:sz="0" w:space="0" w:color="auto"/>
        <w:right w:val="none" w:sz="0" w:space="0" w:color="auto"/>
      </w:divBdr>
    </w:div>
    <w:div w:id="659120368">
      <w:marLeft w:val="480"/>
      <w:marRight w:val="0"/>
      <w:marTop w:val="0"/>
      <w:marBottom w:val="0"/>
      <w:divBdr>
        <w:top w:val="none" w:sz="0" w:space="0" w:color="auto"/>
        <w:left w:val="none" w:sz="0" w:space="0" w:color="auto"/>
        <w:bottom w:val="none" w:sz="0" w:space="0" w:color="auto"/>
        <w:right w:val="none" w:sz="0" w:space="0" w:color="auto"/>
      </w:divBdr>
    </w:div>
    <w:div w:id="663629360">
      <w:marLeft w:val="480"/>
      <w:marRight w:val="0"/>
      <w:marTop w:val="0"/>
      <w:marBottom w:val="0"/>
      <w:divBdr>
        <w:top w:val="none" w:sz="0" w:space="0" w:color="auto"/>
        <w:left w:val="none" w:sz="0" w:space="0" w:color="auto"/>
        <w:bottom w:val="none" w:sz="0" w:space="0" w:color="auto"/>
        <w:right w:val="none" w:sz="0" w:space="0" w:color="auto"/>
      </w:divBdr>
    </w:div>
    <w:div w:id="664017027">
      <w:marLeft w:val="480"/>
      <w:marRight w:val="0"/>
      <w:marTop w:val="0"/>
      <w:marBottom w:val="0"/>
      <w:divBdr>
        <w:top w:val="none" w:sz="0" w:space="0" w:color="auto"/>
        <w:left w:val="none" w:sz="0" w:space="0" w:color="auto"/>
        <w:bottom w:val="none" w:sz="0" w:space="0" w:color="auto"/>
        <w:right w:val="none" w:sz="0" w:space="0" w:color="auto"/>
      </w:divBdr>
    </w:div>
    <w:div w:id="665323082">
      <w:marLeft w:val="480"/>
      <w:marRight w:val="0"/>
      <w:marTop w:val="0"/>
      <w:marBottom w:val="0"/>
      <w:divBdr>
        <w:top w:val="none" w:sz="0" w:space="0" w:color="auto"/>
        <w:left w:val="none" w:sz="0" w:space="0" w:color="auto"/>
        <w:bottom w:val="none" w:sz="0" w:space="0" w:color="auto"/>
        <w:right w:val="none" w:sz="0" w:space="0" w:color="auto"/>
      </w:divBdr>
    </w:div>
    <w:div w:id="669142791">
      <w:marLeft w:val="480"/>
      <w:marRight w:val="0"/>
      <w:marTop w:val="0"/>
      <w:marBottom w:val="0"/>
      <w:divBdr>
        <w:top w:val="none" w:sz="0" w:space="0" w:color="auto"/>
        <w:left w:val="none" w:sz="0" w:space="0" w:color="auto"/>
        <w:bottom w:val="none" w:sz="0" w:space="0" w:color="auto"/>
        <w:right w:val="none" w:sz="0" w:space="0" w:color="auto"/>
      </w:divBdr>
    </w:div>
    <w:div w:id="672030024">
      <w:marLeft w:val="480"/>
      <w:marRight w:val="0"/>
      <w:marTop w:val="0"/>
      <w:marBottom w:val="0"/>
      <w:divBdr>
        <w:top w:val="none" w:sz="0" w:space="0" w:color="auto"/>
        <w:left w:val="none" w:sz="0" w:space="0" w:color="auto"/>
        <w:bottom w:val="none" w:sz="0" w:space="0" w:color="auto"/>
        <w:right w:val="none" w:sz="0" w:space="0" w:color="auto"/>
      </w:divBdr>
    </w:div>
    <w:div w:id="679162546">
      <w:marLeft w:val="480"/>
      <w:marRight w:val="0"/>
      <w:marTop w:val="0"/>
      <w:marBottom w:val="0"/>
      <w:divBdr>
        <w:top w:val="none" w:sz="0" w:space="0" w:color="auto"/>
        <w:left w:val="none" w:sz="0" w:space="0" w:color="auto"/>
        <w:bottom w:val="none" w:sz="0" w:space="0" w:color="auto"/>
        <w:right w:val="none" w:sz="0" w:space="0" w:color="auto"/>
      </w:divBdr>
    </w:div>
    <w:div w:id="680009270">
      <w:marLeft w:val="480"/>
      <w:marRight w:val="0"/>
      <w:marTop w:val="0"/>
      <w:marBottom w:val="0"/>
      <w:divBdr>
        <w:top w:val="none" w:sz="0" w:space="0" w:color="auto"/>
        <w:left w:val="none" w:sz="0" w:space="0" w:color="auto"/>
        <w:bottom w:val="none" w:sz="0" w:space="0" w:color="auto"/>
        <w:right w:val="none" w:sz="0" w:space="0" w:color="auto"/>
      </w:divBdr>
    </w:div>
    <w:div w:id="682820578">
      <w:marLeft w:val="480"/>
      <w:marRight w:val="0"/>
      <w:marTop w:val="0"/>
      <w:marBottom w:val="0"/>
      <w:divBdr>
        <w:top w:val="none" w:sz="0" w:space="0" w:color="auto"/>
        <w:left w:val="none" w:sz="0" w:space="0" w:color="auto"/>
        <w:bottom w:val="none" w:sz="0" w:space="0" w:color="auto"/>
        <w:right w:val="none" w:sz="0" w:space="0" w:color="auto"/>
      </w:divBdr>
    </w:div>
    <w:div w:id="683283582">
      <w:marLeft w:val="480"/>
      <w:marRight w:val="0"/>
      <w:marTop w:val="0"/>
      <w:marBottom w:val="0"/>
      <w:divBdr>
        <w:top w:val="none" w:sz="0" w:space="0" w:color="auto"/>
        <w:left w:val="none" w:sz="0" w:space="0" w:color="auto"/>
        <w:bottom w:val="none" w:sz="0" w:space="0" w:color="auto"/>
        <w:right w:val="none" w:sz="0" w:space="0" w:color="auto"/>
      </w:divBdr>
    </w:div>
    <w:div w:id="686448357">
      <w:marLeft w:val="480"/>
      <w:marRight w:val="0"/>
      <w:marTop w:val="0"/>
      <w:marBottom w:val="0"/>
      <w:divBdr>
        <w:top w:val="none" w:sz="0" w:space="0" w:color="auto"/>
        <w:left w:val="none" w:sz="0" w:space="0" w:color="auto"/>
        <w:bottom w:val="none" w:sz="0" w:space="0" w:color="auto"/>
        <w:right w:val="none" w:sz="0" w:space="0" w:color="auto"/>
      </w:divBdr>
    </w:div>
    <w:div w:id="686907683">
      <w:marLeft w:val="480"/>
      <w:marRight w:val="0"/>
      <w:marTop w:val="0"/>
      <w:marBottom w:val="0"/>
      <w:divBdr>
        <w:top w:val="none" w:sz="0" w:space="0" w:color="auto"/>
        <w:left w:val="none" w:sz="0" w:space="0" w:color="auto"/>
        <w:bottom w:val="none" w:sz="0" w:space="0" w:color="auto"/>
        <w:right w:val="none" w:sz="0" w:space="0" w:color="auto"/>
      </w:divBdr>
    </w:div>
    <w:div w:id="688877105">
      <w:marLeft w:val="480"/>
      <w:marRight w:val="0"/>
      <w:marTop w:val="0"/>
      <w:marBottom w:val="0"/>
      <w:divBdr>
        <w:top w:val="none" w:sz="0" w:space="0" w:color="auto"/>
        <w:left w:val="none" w:sz="0" w:space="0" w:color="auto"/>
        <w:bottom w:val="none" w:sz="0" w:space="0" w:color="auto"/>
        <w:right w:val="none" w:sz="0" w:space="0" w:color="auto"/>
      </w:divBdr>
    </w:div>
    <w:div w:id="690643530">
      <w:marLeft w:val="480"/>
      <w:marRight w:val="0"/>
      <w:marTop w:val="0"/>
      <w:marBottom w:val="0"/>
      <w:divBdr>
        <w:top w:val="none" w:sz="0" w:space="0" w:color="auto"/>
        <w:left w:val="none" w:sz="0" w:space="0" w:color="auto"/>
        <w:bottom w:val="none" w:sz="0" w:space="0" w:color="auto"/>
        <w:right w:val="none" w:sz="0" w:space="0" w:color="auto"/>
      </w:divBdr>
    </w:div>
    <w:div w:id="692734315">
      <w:marLeft w:val="480"/>
      <w:marRight w:val="0"/>
      <w:marTop w:val="0"/>
      <w:marBottom w:val="0"/>
      <w:divBdr>
        <w:top w:val="none" w:sz="0" w:space="0" w:color="auto"/>
        <w:left w:val="none" w:sz="0" w:space="0" w:color="auto"/>
        <w:bottom w:val="none" w:sz="0" w:space="0" w:color="auto"/>
        <w:right w:val="none" w:sz="0" w:space="0" w:color="auto"/>
      </w:divBdr>
    </w:div>
    <w:div w:id="698551539">
      <w:marLeft w:val="480"/>
      <w:marRight w:val="0"/>
      <w:marTop w:val="0"/>
      <w:marBottom w:val="0"/>
      <w:divBdr>
        <w:top w:val="none" w:sz="0" w:space="0" w:color="auto"/>
        <w:left w:val="none" w:sz="0" w:space="0" w:color="auto"/>
        <w:bottom w:val="none" w:sz="0" w:space="0" w:color="auto"/>
        <w:right w:val="none" w:sz="0" w:space="0" w:color="auto"/>
      </w:divBdr>
    </w:div>
    <w:div w:id="701129779">
      <w:marLeft w:val="480"/>
      <w:marRight w:val="0"/>
      <w:marTop w:val="0"/>
      <w:marBottom w:val="0"/>
      <w:divBdr>
        <w:top w:val="none" w:sz="0" w:space="0" w:color="auto"/>
        <w:left w:val="none" w:sz="0" w:space="0" w:color="auto"/>
        <w:bottom w:val="none" w:sz="0" w:space="0" w:color="auto"/>
        <w:right w:val="none" w:sz="0" w:space="0" w:color="auto"/>
      </w:divBdr>
    </w:div>
    <w:div w:id="701787167">
      <w:marLeft w:val="480"/>
      <w:marRight w:val="0"/>
      <w:marTop w:val="0"/>
      <w:marBottom w:val="0"/>
      <w:divBdr>
        <w:top w:val="none" w:sz="0" w:space="0" w:color="auto"/>
        <w:left w:val="none" w:sz="0" w:space="0" w:color="auto"/>
        <w:bottom w:val="none" w:sz="0" w:space="0" w:color="auto"/>
        <w:right w:val="none" w:sz="0" w:space="0" w:color="auto"/>
      </w:divBdr>
    </w:div>
    <w:div w:id="702291888">
      <w:marLeft w:val="480"/>
      <w:marRight w:val="0"/>
      <w:marTop w:val="0"/>
      <w:marBottom w:val="0"/>
      <w:divBdr>
        <w:top w:val="none" w:sz="0" w:space="0" w:color="auto"/>
        <w:left w:val="none" w:sz="0" w:space="0" w:color="auto"/>
        <w:bottom w:val="none" w:sz="0" w:space="0" w:color="auto"/>
        <w:right w:val="none" w:sz="0" w:space="0" w:color="auto"/>
      </w:divBdr>
    </w:div>
    <w:div w:id="702629488">
      <w:marLeft w:val="480"/>
      <w:marRight w:val="0"/>
      <w:marTop w:val="0"/>
      <w:marBottom w:val="0"/>
      <w:divBdr>
        <w:top w:val="none" w:sz="0" w:space="0" w:color="auto"/>
        <w:left w:val="none" w:sz="0" w:space="0" w:color="auto"/>
        <w:bottom w:val="none" w:sz="0" w:space="0" w:color="auto"/>
        <w:right w:val="none" w:sz="0" w:space="0" w:color="auto"/>
      </w:divBdr>
    </w:div>
    <w:div w:id="702905264">
      <w:marLeft w:val="480"/>
      <w:marRight w:val="0"/>
      <w:marTop w:val="0"/>
      <w:marBottom w:val="0"/>
      <w:divBdr>
        <w:top w:val="none" w:sz="0" w:space="0" w:color="auto"/>
        <w:left w:val="none" w:sz="0" w:space="0" w:color="auto"/>
        <w:bottom w:val="none" w:sz="0" w:space="0" w:color="auto"/>
        <w:right w:val="none" w:sz="0" w:space="0" w:color="auto"/>
      </w:divBdr>
    </w:div>
    <w:div w:id="703747491">
      <w:marLeft w:val="480"/>
      <w:marRight w:val="0"/>
      <w:marTop w:val="0"/>
      <w:marBottom w:val="0"/>
      <w:divBdr>
        <w:top w:val="none" w:sz="0" w:space="0" w:color="auto"/>
        <w:left w:val="none" w:sz="0" w:space="0" w:color="auto"/>
        <w:bottom w:val="none" w:sz="0" w:space="0" w:color="auto"/>
        <w:right w:val="none" w:sz="0" w:space="0" w:color="auto"/>
      </w:divBdr>
    </w:div>
    <w:div w:id="704019464">
      <w:marLeft w:val="480"/>
      <w:marRight w:val="0"/>
      <w:marTop w:val="0"/>
      <w:marBottom w:val="0"/>
      <w:divBdr>
        <w:top w:val="none" w:sz="0" w:space="0" w:color="auto"/>
        <w:left w:val="none" w:sz="0" w:space="0" w:color="auto"/>
        <w:bottom w:val="none" w:sz="0" w:space="0" w:color="auto"/>
        <w:right w:val="none" w:sz="0" w:space="0" w:color="auto"/>
      </w:divBdr>
    </w:div>
    <w:div w:id="704718879">
      <w:marLeft w:val="480"/>
      <w:marRight w:val="0"/>
      <w:marTop w:val="0"/>
      <w:marBottom w:val="0"/>
      <w:divBdr>
        <w:top w:val="none" w:sz="0" w:space="0" w:color="auto"/>
        <w:left w:val="none" w:sz="0" w:space="0" w:color="auto"/>
        <w:bottom w:val="none" w:sz="0" w:space="0" w:color="auto"/>
        <w:right w:val="none" w:sz="0" w:space="0" w:color="auto"/>
      </w:divBdr>
    </w:div>
    <w:div w:id="708915520">
      <w:marLeft w:val="480"/>
      <w:marRight w:val="0"/>
      <w:marTop w:val="0"/>
      <w:marBottom w:val="0"/>
      <w:divBdr>
        <w:top w:val="none" w:sz="0" w:space="0" w:color="auto"/>
        <w:left w:val="none" w:sz="0" w:space="0" w:color="auto"/>
        <w:bottom w:val="none" w:sz="0" w:space="0" w:color="auto"/>
        <w:right w:val="none" w:sz="0" w:space="0" w:color="auto"/>
      </w:divBdr>
    </w:div>
    <w:div w:id="711152247">
      <w:marLeft w:val="480"/>
      <w:marRight w:val="0"/>
      <w:marTop w:val="0"/>
      <w:marBottom w:val="0"/>
      <w:divBdr>
        <w:top w:val="none" w:sz="0" w:space="0" w:color="auto"/>
        <w:left w:val="none" w:sz="0" w:space="0" w:color="auto"/>
        <w:bottom w:val="none" w:sz="0" w:space="0" w:color="auto"/>
        <w:right w:val="none" w:sz="0" w:space="0" w:color="auto"/>
      </w:divBdr>
    </w:div>
    <w:div w:id="714701299">
      <w:marLeft w:val="480"/>
      <w:marRight w:val="0"/>
      <w:marTop w:val="0"/>
      <w:marBottom w:val="0"/>
      <w:divBdr>
        <w:top w:val="none" w:sz="0" w:space="0" w:color="auto"/>
        <w:left w:val="none" w:sz="0" w:space="0" w:color="auto"/>
        <w:bottom w:val="none" w:sz="0" w:space="0" w:color="auto"/>
        <w:right w:val="none" w:sz="0" w:space="0" w:color="auto"/>
      </w:divBdr>
    </w:div>
    <w:div w:id="715156069">
      <w:marLeft w:val="480"/>
      <w:marRight w:val="0"/>
      <w:marTop w:val="0"/>
      <w:marBottom w:val="0"/>
      <w:divBdr>
        <w:top w:val="none" w:sz="0" w:space="0" w:color="auto"/>
        <w:left w:val="none" w:sz="0" w:space="0" w:color="auto"/>
        <w:bottom w:val="none" w:sz="0" w:space="0" w:color="auto"/>
        <w:right w:val="none" w:sz="0" w:space="0" w:color="auto"/>
      </w:divBdr>
    </w:div>
    <w:div w:id="718742074">
      <w:marLeft w:val="480"/>
      <w:marRight w:val="0"/>
      <w:marTop w:val="0"/>
      <w:marBottom w:val="0"/>
      <w:divBdr>
        <w:top w:val="none" w:sz="0" w:space="0" w:color="auto"/>
        <w:left w:val="none" w:sz="0" w:space="0" w:color="auto"/>
        <w:bottom w:val="none" w:sz="0" w:space="0" w:color="auto"/>
        <w:right w:val="none" w:sz="0" w:space="0" w:color="auto"/>
      </w:divBdr>
    </w:div>
    <w:div w:id="719790579">
      <w:marLeft w:val="480"/>
      <w:marRight w:val="0"/>
      <w:marTop w:val="0"/>
      <w:marBottom w:val="0"/>
      <w:divBdr>
        <w:top w:val="none" w:sz="0" w:space="0" w:color="auto"/>
        <w:left w:val="none" w:sz="0" w:space="0" w:color="auto"/>
        <w:bottom w:val="none" w:sz="0" w:space="0" w:color="auto"/>
        <w:right w:val="none" w:sz="0" w:space="0" w:color="auto"/>
      </w:divBdr>
    </w:div>
    <w:div w:id="719937200">
      <w:marLeft w:val="480"/>
      <w:marRight w:val="0"/>
      <w:marTop w:val="0"/>
      <w:marBottom w:val="0"/>
      <w:divBdr>
        <w:top w:val="none" w:sz="0" w:space="0" w:color="auto"/>
        <w:left w:val="none" w:sz="0" w:space="0" w:color="auto"/>
        <w:bottom w:val="none" w:sz="0" w:space="0" w:color="auto"/>
        <w:right w:val="none" w:sz="0" w:space="0" w:color="auto"/>
      </w:divBdr>
    </w:div>
    <w:div w:id="720250274">
      <w:marLeft w:val="480"/>
      <w:marRight w:val="0"/>
      <w:marTop w:val="0"/>
      <w:marBottom w:val="0"/>
      <w:divBdr>
        <w:top w:val="none" w:sz="0" w:space="0" w:color="auto"/>
        <w:left w:val="none" w:sz="0" w:space="0" w:color="auto"/>
        <w:bottom w:val="none" w:sz="0" w:space="0" w:color="auto"/>
        <w:right w:val="none" w:sz="0" w:space="0" w:color="auto"/>
      </w:divBdr>
    </w:div>
    <w:div w:id="721366824">
      <w:marLeft w:val="480"/>
      <w:marRight w:val="0"/>
      <w:marTop w:val="0"/>
      <w:marBottom w:val="0"/>
      <w:divBdr>
        <w:top w:val="none" w:sz="0" w:space="0" w:color="auto"/>
        <w:left w:val="none" w:sz="0" w:space="0" w:color="auto"/>
        <w:bottom w:val="none" w:sz="0" w:space="0" w:color="auto"/>
        <w:right w:val="none" w:sz="0" w:space="0" w:color="auto"/>
      </w:divBdr>
    </w:div>
    <w:div w:id="721486074">
      <w:marLeft w:val="480"/>
      <w:marRight w:val="0"/>
      <w:marTop w:val="0"/>
      <w:marBottom w:val="0"/>
      <w:divBdr>
        <w:top w:val="none" w:sz="0" w:space="0" w:color="auto"/>
        <w:left w:val="none" w:sz="0" w:space="0" w:color="auto"/>
        <w:bottom w:val="none" w:sz="0" w:space="0" w:color="auto"/>
        <w:right w:val="none" w:sz="0" w:space="0" w:color="auto"/>
      </w:divBdr>
    </w:div>
    <w:div w:id="724911098">
      <w:marLeft w:val="480"/>
      <w:marRight w:val="0"/>
      <w:marTop w:val="0"/>
      <w:marBottom w:val="0"/>
      <w:divBdr>
        <w:top w:val="none" w:sz="0" w:space="0" w:color="auto"/>
        <w:left w:val="none" w:sz="0" w:space="0" w:color="auto"/>
        <w:bottom w:val="none" w:sz="0" w:space="0" w:color="auto"/>
        <w:right w:val="none" w:sz="0" w:space="0" w:color="auto"/>
      </w:divBdr>
    </w:div>
    <w:div w:id="725378055">
      <w:marLeft w:val="480"/>
      <w:marRight w:val="0"/>
      <w:marTop w:val="0"/>
      <w:marBottom w:val="0"/>
      <w:divBdr>
        <w:top w:val="none" w:sz="0" w:space="0" w:color="auto"/>
        <w:left w:val="none" w:sz="0" w:space="0" w:color="auto"/>
        <w:bottom w:val="none" w:sz="0" w:space="0" w:color="auto"/>
        <w:right w:val="none" w:sz="0" w:space="0" w:color="auto"/>
      </w:divBdr>
    </w:div>
    <w:div w:id="727730357">
      <w:marLeft w:val="480"/>
      <w:marRight w:val="0"/>
      <w:marTop w:val="0"/>
      <w:marBottom w:val="0"/>
      <w:divBdr>
        <w:top w:val="none" w:sz="0" w:space="0" w:color="auto"/>
        <w:left w:val="none" w:sz="0" w:space="0" w:color="auto"/>
        <w:bottom w:val="none" w:sz="0" w:space="0" w:color="auto"/>
        <w:right w:val="none" w:sz="0" w:space="0" w:color="auto"/>
      </w:divBdr>
    </w:div>
    <w:div w:id="729033323">
      <w:marLeft w:val="480"/>
      <w:marRight w:val="0"/>
      <w:marTop w:val="0"/>
      <w:marBottom w:val="0"/>
      <w:divBdr>
        <w:top w:val="none" w:sz="0" w:space="0" w:color="auto"/>
        <w:left w:val="none" w:sz="0" w:space="0" w:color="auto"/>
        <w:bottom w:val="none" w:sz="0" w:space="0" w:color="auto"/>
        <w:right w:val="none" w:sz="0" w:space="0" w:color="auto"/>
      </w:divBdr>
    </w:div>
    <w:div w:id="729966096">
      <w:marLeft w:val="480"/>
      <w:marRight w:val="0"/>
      <w:marTop w:val="0"/>
      <w:marBottom w:val="0"/>
      <w:divBdr>
        <w:top w:val="none" w:sz="0" w:space="0" w:color="auto"/>
        <w:left w:val="none" w:sz="0" w:space="0" w:color="auto"/>
        <w:bottom w:val="none" w:sz="0" w:space="0" w:color="auto"/>
        <w:right w:val="none" w:sz="0" w:space="0" w:color="auto"/>
      </w:divBdr>
    </w:div>
    <w:div w:id="732965873">
      <w:marLeft w:val="480"/>
      <w:marRight w:val="0"/>
      <w:marTop w:val="0"/>
      <w:marBottom w:val="0"/>
      <w:divBdr>
        <w:top w:val="none" w:sz="0" w:space="0" w:color="auto"/>
        <w:left w:val="none" w:sz="0" w:space="0" w:color="auto"/>
        <w:bottom w:val="none" w:sz="0" w:space="0" w:color="auto"/>
        <w:right w:val="none" w:sz="0" w:space="0" w:color="auto"/>
      </w:divBdr>
    </w:div>
    <w:div w:id="734666811">
      <w:marLeft w:val="480"/>
      <w:marRight w:val="0"/>
      <w:marTop w:val="0"/>
      <w:marBottom w:val="0"/>
      <w:divBdr>
        <w:top w:val="none" w:sz="0" w:space="0" w:color="auto"/>
        <w:left w:val="none" w:sz="0" w:space="0" w:color="auto"/>
        <w:bottom w:val="none" w:sz="0" w:space="0" w:color="auto"/>
        <w:right w:val="none" w:sz="0" w:space="0" w:color="auto"/>
      </w:divBdr>
    </w:div>
    <w:div w:id="734738956">
      <w:marLeft w:val="480"/>
      <w:marRight w:val="0"/>
      <w:marTop w:val="0"/>
      <w:marBottom w:val="0"/>
      <w:divBdr>
        <w:top w:val="none" w:sz="0" w:space="0" w:color="auto"/>
        <w:left w:val="none" w:sz="0" w:space="0" w:color="auto"/>
        <w:bottom w:val="none" w:sz="0" w:space="0" w:color="auto"/>
        <w:right w:val="none" w:sz="0" w:space="0" w:color="auto"/>
      </w:divBdr>
    </w:div>
    <w:div w:id="736049073">
      <w:marLeft w:val="480"/>
      <w:marRight w:val="0"/>
      <w:marTop w:val="0"/>
      <w:marBottom w:val="0"/>
      <w:divBdr>
        <w:top w:val="none" w:sz="0" w:space="0" w:color="auto"/>
        <w:left w:val="none" w:sz="0" w:space="0" w:color="auto"/>
        <w:bottom w:val="none" w:sz="0" w:space="0" w:color="auto"/>
        <w:right w:val="none" w:sz="0" w:space="0" w:color="auto"/>
      </w:divBdr>
    </w:div>
    <w:div w:id="738557631">
      <w:marLeft w:val="480"/>
      <w:marRight w:val="0"/>
      <w:marTop w:val="0"/>
      <w:marBottom w:val="0"/>
      <w:divBdr>
        <w:top w:val="none" w:sz="0" w:space="0" w:color="auto"/>
        <w:left w:val="none" w:sz="0" w:space="0" w:color="auto"/>
        <w:bottom w:val="none" w:sz="0" w:space="0" w:color="auto"/>
        <w:right w:val="none" w:sz="0" w:space="0" w:color="auto"/>
      </w:divBdr>
    </w:div>
    <w:div w:id="741148524">
      <w:marLeft w:val="480"/>
      <w:marRight w:val="0"/>
      <w:marTop w:val="0"/>
      <w:marBottom w:val="0"/>
      <w:divBdr>
        <w:top w:val="none" w:sz="0" w:space="0" w:color="auto"/>
        <w:left w:val="none" w:sz="0" w:space="0" w:color="auto"/>
        <w:bottom w:val="none" w:sz="0" w:space="0" w:color="auto"/>
        <w:right w:val="none" w:sz="0" w:space="0" w:color="auto"/>
      </w:divBdr>
    </w:div>
    <w:div w:id="742022339">
      <w:marLeft w:val="480"/>
      <w:marRight w:val="0"/>
      <w:marTop w:val="0"/>
      <w:marBottom w:val="0"/>
      <w:divBdr>
        <w:top w:val="none" w:sz="0" w:space="0" w:color="auto"/>
        <w:left w:val="none" w:sz="0" w:space="0" w:color="auto"/>
        <w:bottom w:val="none" w:sz="0" w:space="0" w:color="auto"/>
        <w:right w:val="none" w:sz="0" w:space="0" w:color="auto"/>
      </w:divBdr>
    </w:div>
    <w:div w:id="745997981">
      <w:marLeft w:val="480"/>
      <w:marRight w:val="0"/>
      <w:marTop w:val="0"/>
      <w:marBottom w:val="0"/>
      <w:divBdr>
        <w:top w:val="none" w:sz="0" w:space="0" w:color="auto"/>
        <w:left w:val="none" w:sz="0" w:space="0" w:color="auto"/>
        <w:bottom w:val="none" w:sz="0" w:space="0" w:color="auto"/>
        <w:right w:val="none" w:sz="0" w:space="0" w:color="auto"/>
      </w:divBdr>
    </w:div>
    <w:div w:id="746466099">
      <w:marLeft w:val="480"/>
      <w:marRight w:val="0"/>
      <w:marTop w:val="0"/>
      <w:marBottom w:val="0"/>
      <w:divBdr>
        <w:top w:val="none" w:sz="0" w:space="0" w:color="auto"/>
        <w:left w:val="none" w:sz="0" w:space="0" w:color="auto"/>
        <w:bottom w:val="none" w:sz="0" w:space="0" w:color="auto"/>
        <w:right w:val="none" w:sz="0" w:space="0" w:color="auto"/>
      </w:divBdr>
    </w:div>
    <w:div w:id="747003386">
      <w:marLeft w:val="480"/>
      <w:marRight w:val="0"/>
      <w:marTop w:val="0"/>
      <w:marBottom w:val="0"/>
      <w:divBdr>
        <w:top w:val="none" w:sz="0" w:space="0" w:color="auto"/>
        <w:left w:val="none" w:sz="0" w:space="0" w:color="auto"/>
        <w:bottom w:val="none" w:sz="0" w:space="0" w:color="auto"/>
        <w:right w:val="none" w:sz="0" w:space="0" w:color="auto"/>
      </w:divBdr>
    </w:div>
    <w:div w:id="748619279">
      <w:marLeft w:val="480"/>
      <w:marRight w:val="0"/>
      <w:marTop w:val="0"/>
      <w:marBottom w:val="0"/>
      <w:divBdr>
        <w:top w:val="none" w:sz="0" w:space="0" w:color="auto"/>
        <w:left w:val="none" w:sz="0" w:space="0" w:color="auto"/>
        <w:bottom w:val="none" w:sz="0" w:space="0" w:color="auto"/>
        <w:right w:val="none" w:sz="0" w:space="0" w:color="auto"/>
      </w:divBdr>
    </w:div>
    <w:div w:id="750854964">
      <w:marLeft w:val="480"/>
      <w:marRight w:val="0"/>
      <w:marTop w:val="0"/>
      <w:marBottom w:val="0"/>
      <w:divBdr>
        <w:top w:val="none" w:sz="0" w:space="0" w:color="auto"/>
        <w:left w:val="none" w:sz="0" w:space="0" w:color="auto"/>
        <w:bottom w:val="none" w:sz="0" w:space="0" w:color="auto"/>
        <w:right w:val="none" w:sz="0" w:space="0" w:color="auto"/>
      </w:divBdr>
    </w:div>
    <w:div w:id="750928200">
      <w:marLeft w:val="480"/>
      <w:marRight w:val="0"/>
      <w:marTop w:val="0"/>
      <w:marBottom w:val="0"/>
      <w:divBdr>
        <w:top w:val="none" w:sz="0" w:space="0" w:color="auto"/>
        <w:left w:val="none" w:sz="0" w:space="0" w:color="auto"/>
        <w:bottom w:val="none" w:sz="0" w:space="0" w:color="auto"/>
        <w:right w:val="none" w:sz="0" w:space="0" w:color="auto"/>
      </w:divBdr>
    </w:div>
    <w:div w:id="751855876">
      <w:marLeft w:val="480"/>
      <w:marRight w:val="0"/>
      <w:marTop w:val="0"/>
      <w:marBottom w:val="0"/>
      <w:divBdr>
        <w:top w:val="none" w:sz="0" w:space="0" w:color="auto"/>
        <w:left w:val="none" w:sz="0" w:space="0" w:color="auto"/>
        <w:bottom w:val="none" w:sz="0" w:space="0" w:color="auto"/>
        <w:right w:val="none" w:sz="0" w:space="0" w:color="auto"/>
      </w:divBdr>
    </w:div>
    <w:div w:id="756946943">
      <w:marLeft w:val="480"/>
      <w:marRight w:val="0"/>
      <w:marTop w:val="0"/>
      <w:marBottom w:val="0"/>
      <w:divBdr>
        <w:top w:val="none" w:sz="0" w:space="0" w:color="auto"/>
        <w:left w:val="none" w:sz="0" w:space="0" w:color="auto"/>
        <w:bottom w:val="none" w:sz="0" w:space="0" w:color="auto"/>
        <w:right w:val="none" w:sz="0" w:space="0" w:color="auto"/>
      </w:divBdr>
    </w:div>
    <w:div w:id="757292927">
      <w:marLeft w:val="480"/>
      <w:marRight w:val="0"/>
      <w:marTop w:val="0"/>
      <w:marBottom w:val="0"/>
      <w:divBdr>
        <w:top w:val="none" w:sz="0" w:space="0" w:color="auto"/>
        <w:left w:val="none" w:sz="0" w:space="0" w:color="auto"/>
        <w:bottom w:val="none" w:sz="0" w:space="0" w:color="auto"/>
        <w:right w:val="none" w:sz="0" w:space="0" w:color="auto"/>
      </w:divBdr>
    </w:div>
    <w:div w:id="760681299">
      <w:marLeft w:val="480"/>
      <w:marRight w:val="0"/>
      <w:marTop w:val="0"/>
      <w:marBottom w:val="0"/>
      <w:divBdr>
        <w:top w:val="none" w:sz="0" w:space="0" w:color="auto"/>
        <w:left w:val="none" w:sz="0" w:space="0" w:color="auto"/>
        <w:bottom w:val="none" w:sz="0" w:space="0" w:color="auto"/>
        <w:right w:val="none" w:sz="0" w:space="0" w:color="auto"/>
      </w:divBdr>
    </w:div>
    <w:div w:id="762338346">
      <w:marLeft w:val="480"/>
      <w:marRight w:val="0"/>
      <w:marTop w:val="0"/>
      <w:marBottom w:val="0"/>
      <w:divBdr>
        <w:top w:val="none" w:sz="0" w:space="0" w:color="auto"/>
        <w:left w:val="none" w:sz="0" w:space="0" w:color="auto"/>
        <w:bottom w:val="none" w:sz="0" w:space="0" w:color="auto"/>
        <w:right w:val="none" w:sz="0" w:space="0" w:color="auto"/>
      </w:divBdr>
    </w:div>
    <w:div w:id="763650404">
      <w:marLeft w:val="480"/>
      <w:marRight w:val="0"/>
      <w:marTop w:val="0"/>
      <w:marBottom w:val="0"/>
      <w:divBdr>
        <w:top w:val="none" w:sz="0" w:space="0" w:color="auto"/>
        <w:left w:val="none" w:sz="0" w:space="0" w:color="auto"/>
        <w:bottom w:val="none" w:sz="0" w:space="0" w:color="auto"/>
        <w:right w:val="none" w:sz="0" w:space="0" w:color="auto"/>
      </w:divBdr>
    </w:div>
    <w:div w:id="763651606">
      <w:marLeft w:val="480"/>
      <w:marRight w:val="0"/>
      <w:marTop w:val="0"/>
      <w:marBottom w:val="0"/>
      <w:divBdr>
        <w:top w:val="none" w:sz="0" w:space="0" w:color="auto"/>
        <w:left w:val="none" w:sz="0" w:space="0" w:color="auto"/>
        <w:bottom w:val="none" w:sz="0" w:space="0" w:color="auto"/>
        <w:right w:val="none" w:sz="0" w:space="0" w:color="auto"/>
      </w:divBdr>
    </w:div>
    <w:div w:id="764378240">
      <w:marLeft w:val="480"/>
      <w:marRight w:val="0"/>
      <w:marTop w:val="0"/>
      <w:marBottom w:val="0"/>
      <w:divBdr>
        <w:top w:val="none" w:sz="0" w:space="0" w:color="auto"/>
        <w:left w:val="none" w:sz="0" w:space="0" w:color="auto"/>
        <w:bottom w:val="none" w:sz="0" w:space="0" w:color="auto"/>
        <w:right w:val="none" w:sz="0" w:space="0" w:color="auto"/>
      </w:divBdr>
    </w:div>
    <w:div w:id="766970263">
      <w:marLeft w:val="480"/>
      <w:marRight w:val="0"/>
      <w:marTop w:val="0"/>
      <w:marBottom w:val="0"/>
      <w:divBdr>
        <w:top w:val="none" w:sz="0" w:space="0" w:color="auto"/>
        <w:left w:val="none" w:sz="0" w:space="0" w:color="auto"/>
        <w:bottom w:val="none" w:sz="0" w:space="0" w:color="auto"/>
        <w:right w:val="none" w:sz="0" w:space="0" w:color="auto"/>
      </w:divBdr>
    </w:div>
    <w:div w:id="767850810">
      <w:marLeft w:val="480"/>
      <w:marRight w:val="0"/>
      <w:marTop w:val="0"/>
      <w:marBottom w:val="0"/>
      <w:divBdr>
        <w:top w:val="none" w:sz="0" w:space="0" w:color="auto"/>
        <w:left w:val="none" w:sz="0" w:space="0" w:color="auto"/>
        <w:bottom w:val="none" w:sz="0" w:space="0" w:color="auto"/>
        <w:right w:val="none" w:sz="0" w:space="0" w:color="auto"/>
      </w:divBdr>
    </w:div>
    <w:div w:id="771050403">
      <w:marLeft w:val="480"/>
      <w:marRight w:val="0"/>
      <w:marTop w:val="0"/>
      <w:marBottom w:val="0"/>
      <w:divBdr>
        <w:top w:val="none" w:sz="0" w:space="0" w:color="auto"/>
        <w:left w:val="none" w:sz="0" w:space="0" w:color="auto"/>
        <w:bottom w:val="none" w:sz="0" w:space="0" w:color="auto"/>
        <w:right w:val="none" w:sz="0" w:space="0" w:color="auto"/>
      </w:divBdr>
    </w:div>
    <w:div w:id="773867314">
      <w:marLeft w:val="480"/>
      <w:marRight w:val="0"/>
      <w:marTop w:val="0"/>
      <w:marBottom w:val="0"/>
      <w:divBdr>
        <w:top w:val="none" w:sz="0" w:space="0" w:color="auto"/>
        <w:left w:val="none" w:sz="0" w:space="0" w:color="auto"/>
        <w:bottom w:val="none" w:sz="0" w:space="0" w:color="auto"/>
        <w:right w:val="none" w:sz="0" w:space="0" w:color="auto"/>
      </w:divBdr>
    </w:div>
    <w:div w:id="775294538">
      <w:marLeft w:val="480"/>
      <w:marRight w:val="0"/>
      <w:marTop w:val="0"/>
      <w:marBottom w:val="0"/>
      <w:divBdr>
        <w:top w:val="none" w:sz="0" w:space="0" w:color="auto"/>
        <w:left w:val="none" w:sz="0" w:space="0" w:color="auto"/>
        <w:bottom w:val="none" w:sz="0" w:space="0" w:color="auto"/>
        <w:right w:val="none" w:sz="0" w:space="0" w:color="auto"/>
      </w:divBdr>
    </w:div>
    <w:div w:id="775826350">
      <w:marLeft w:val="480"/>
      <w:marRight w:val="0"/>
      <w:marTop w:val="0"/>
      <w:marBottom w:val="0"/>
      <w:divBdr>
        <w:top w:val="none" w:sz="0" w:space="0" w:color="auto"/>
        <w:left w:val="none" w:sz="0" w:space="0" w:color="auto"/>
        <w:bottom w:val="none" w:sz="0" w:space="0" w:color="auto"/>
        <w:right w:val="none" w:sz="0" w:space="0" w:color="auto"/>
      </w:divBdr>
    </w:div>
    <w:div w:id="776683210">
      <w:marLeft w:val="480"/>
      <w:marRight w:val="0"/>
      <w:marTop w:val="0"/>
      <w:marBottom w:val="0"/>
      <w:divBdr>
        <w:top w:val="none" w:sz="0" w:space="0" w:color="auto"/>
        <w:left w:val="none" w:sz="0" w:space="0" w:color="auto"/>
        <w:bottom w:val="none" w:sz="0" w:space="0" w:color="auto"/>
        <w:right w:val="none" w:sz="0" w:space="0" w:color="auto"/>
      </w:divBdr>
    </w:div>
    <w:div w:id="776753838">
      <w:marLeft w:val="480"/>
      <w:marRight w:val="0"/>
      <w:marTop w:val="0"/>
      <w:marBottom w:val="0"/>
      <w:divBdr>
        <w:top w:val="none" w:sz="0" w:space="0" w:color="auto"/>
        <w:left w:val="none" w:sz="0" w:space="0" w:color="auto"/>
        <w:bottom w:val="none" w:sz="0" w:space="0" w:color="auto"/>
        <w:right w:val="none" w:sz="0" w:space="0" w:color="auto"/>
      </w:divBdr>
    </w:div>
    <w:div w:id="778136939">
      <w:marLeft w:val="480"/>
      <w:marRight w:val="0"/>
      <w:marTop w:val="0"/>
      <w:marBottom w:val="0"/>
      <w:divBdr>
        <w:top w:val="none" w:sz="0" w:space="0" w:color="auto"/>
        <w:left w:val="none" w:sz="0" w:space="0" w:color="auto"/>
        <w:bottom w:val="none" w:sz="0" w:space="0" w:color="auto"/>
        <w:right w:val="none" w:sz="0" w:space="0" w:color="auto"/>
      </w:divBdr>
    </w:div>
    <w:div w:id="779639619">
      <w:marLeft w:val="480"/>
      <w:marRight w:val="0"/>
      <w:marTop w:val="0"/>
      <w:marBottom w:val="0"/>
      <w:divBdr>
        <w:top w:val="none" w:sz="0" w:space="0" w:color="auto"/>
        <w:left w:val="none" w:sz="0" w:space="0" w:color="auto"/>
        <w:bottom w:val="none" w:sz="0" w:space="0" w:color="auto"/>
        <w:right w:val="none" w:sz="0" w:space="0" w:color="auto"/>
      </w:divBdr>
    </w:div>
    <w:div w:id="780343884">
      <w:marLeft w:val="480"/>
      <w:marRight w:val="0"/>
      <w:marTop w:val="0"/>
      <w:marBottom w:val="0"/>
      <w:divBdr>
        <w:top w:val="none" w:sz="0" w:space="0" w:color="auto"/>
        <w:left w:val="none" w:sz="0" w:space="0" w:color="auto"/>
        <w:bottom w:val="none" w:sz="0" w:space="0" w:color="auto"/>
        <w:right w:val="none" w:sz="0" w:space="0" w:color="auto"/>
      </w:divBdr>
    </w:div>
    <w:div w:id="782305525">
      <w:marLeft w:val="480"/>
      <w:marRight w:val="0"/>
      <w:marTop w:val="0"/>
      <w:marBottom w:val="0"/>
      <w:divBdr>
        <w:top w:val="none" w:sz="0" w:space="0" w:color="auto"/>
        <w:left w:val="none" w:sz="0" w:space="0" w:color="auto"/>
        <w:bottom w:val="none" w:sz="0" w:space="0" w:color="auto"/>
        <w:right w:val="none" w:sz="0" w:space="0" w:color="auto"/>
      </w:divBdr>
    </w:div>
    <w:div w:id="783038358">
      <w:marLeft w:val="480"/>
      <w:marRight w:val="0"/>
      <w:marTop w:val="0"/>
      <w:marBottom w:val="0"/>
      <w:divBdr>
        <w:top w:val="none" w:sz="0" w:space="0" w:color="auto"/>
        <w:left w:val="none" w:sz="0" w:space="0" w:color="auto"/>
        <w:bottom w:val="none" w:sz="0" w:space="0" w:color="auto"/>
        <w:right w:val="none" w:sz="0" w:space="0" w:color="auto"/>
      </w:divBdr>
    </w:div>
    <w:div w:id="783379906">
      <w:marLeft w:val="480"/>
      <w:marRight w:val="0"/>
      <w:marTop w:val="0"/>
      <w:marBottom w:val="0"/>
      <w:divBdr>
        <w:top w:val="none" w:sz="0" w:space="0" w:color="auto"/>
        <w:left w:val="none" w:sz="0" w:space="0" w:color="auto"/>
        <w:bottom w:val="none" w:sz="0" w:space="0" w:color="auto"/>
        <w:right w:val="none" w:sz="0" w:space="0" w:color="auto"/>
      </w:divBdr>
    </w:div>
    <w:div w:id="783767158">
      <w:marLeft w:val="480"/>
      <w:marRight w:val="0"/>
      <w:marTop w:val="0"/>
      <w:marBottom w:val="0"/>
      <w:divBdr>
        <w:top w:val="none" w:sz="0" w:space="0" w:color="auto"/>
        <w:left w:val="none" w:sz="0" w:space="0" w:color="auto"/>
        <w:bottom w:val="none" w:sz="0" w:space="0" w:color="auto"/>
        <w:right w:val="none" w:sz="0" w:space="0" w:color="auto"/>
      </w:divBdr>
    </w:div>
    <w:div w:id="785395032">
      <w:marLeft w:val="480"/>
      <w:marRight w:val="0"/>
      <w:marTop w:val="0"/>
      <w:marBottom w:val="0"/>
      <w:divBdr>
        <w:top w:val="none" w:sz="0" w:space="0" w:color="auto"/>
        <w:left w:val="none" w:sz="0" w:space="0" w:color="auto"/>
        <w:bottom w:val="none" w:sz="0" w:space="0" w:color="auto"/>
        <w:right w:val="none" w:sz="0" w:space="0" w:color="auto"/>
      </w:divBdr>
    </w:div>
    <w:div w:id="788858755">
      <w:marLeft w:val="480"/>
      <w:marRight w:val="0"/>
      <w:marTop w:val="0"/>
      <w:marBottom w:val="0"/>
      <w:divBdr>
        <w:top w:val="none" w:sz="0" w:space="0" w:color="auto"/>
        <w:left w:val="none" w:sz="0" w:space="0" w:color="auto"/>
        <w:bottom w:val="none" w:sz="0" w:space="0" w:color="auto"/>
        <w:right w:val="none" w:sz="0" w:space="0" w:color="auto"/>
      </w:divBdr>
    </w:div>
    <w:div w:id="791217160">
      <w:marLeft w:val="480"/>
      <w:marRight w:val="0"/>
      <w:marTop w:val="0"/>
      <w:marBottom w:val="0"/>
      <w:divBdr>
        <w:top w:val="none" w:sz="0" w:space="0" w:color="auto"/>
        <w:left w:val="none" w:sz="0" w:space="0" w:color="auto"/>
        <w:bottom w:val="none" w:sz="0" w:space="0" w:color="auto"/>
        <w:right w:val="none" w:sz="0" w:space="0" w:color="auto"/>
      </w:divBdr>
    </w:div>
    <w:div w:id="792333793">
      <w:marLeft w:val="480"/>
      <w:marRight w:val="0"/>
      <w:marTop w:val="0"/>
      <w:marBottom w:val="0"/>
      <w:divBdr>
        <w:top w:val="none" w:sz="0" w:space="0" w:color="auto"/>
        <w:left w:val="none" w:sz="0" w:space="0" w:color="auto"/>
        <w:bottom w:val="none" w:sz="0" w:space="0" w:color="auto"/>
        <w:right w:val="none" w:sz="0" w:space="0" w:color="auto"/>
      </w:divBdr>
    </w:div>
    <w:div w:id="792674427">
      <w:marLeft w:val="480"/>
      <w:marRight w:val="0"/>
      <w:marTop w:val="0"/>
      <w:marBottom w:val="0"/>
      <w:divBdr>
        <w:top w:val="none" w:sz="0" w:space="0" w:color="auto"/>
        <w:left w:val="none" w:sz="0" w:space="0" w:color="auto"/>
        <w:bottom w:val="none" w:sz="0" w:space="0" w:color="auto"/>
        <w:right w:val="none" w:sz="0" w:space="0" w:color="auto"/>
      </w:divBdr>
    </w:div>
    <w:div w:id="793057431">
      <w:marLeft w:val="480"/>
      <w:marRight w:val="0"/>
      <w:marTop w:val="0"/>
      <w:marBottom w:val="0"/>
      <w:divBdr>
        <w:top w:val="none" w:sz="0" w:space="0" w:color="auto"/>
        <w:left w:val="none" w:sz="0" w:space="0" w:color="auto"/>
        <w:bottom w:val="none" w:sz="0" w:space="0" w:color="auto"/>
        <w:right w:val="none" w:sz="0" w:space="0" w:color="auto"/>
      </w:divBdr>
    </w:div>
    <w:div w:id="793210200">
      <w:marLeft w:val="480"/>
      <w:marRight w:val="0"/>
      <w:marTop w:val="0"/>
      <w:marBottom w:val="0"/>
      <w:divBdr>
        <w:top w:val="none" w:sz="0" w:space="0" w:color="auto"/>
        <w:left w:val="none" w:sz="0" w:space="0" w:color="auto"/>
        <w:bottom w:val="none" w:sz="0" w:space="0" w:color="auto"/>
        <w:right w:val="none" w:sz="0" w:space="0" w:color="auto"/>
      </w:divBdr>
    </w:div>
    <w:div w:id="794252171">
      <w:marLeft w:val="480"/>
      <w:marRight w:val="0"/>
      <w:marTop w:val="0"/>
      <w:marBottom w:val="0"/>
      <w:divBdr>
        <w:top w:val="none" w:sz="0" w:space="0" w:color="auto"/>
        <w:left w:val="none" w:sz="0" w:space="0" w:color="auto"/>
        <w:bottom w:val="none" w:sz="0" w:space="0" w:color="auto"/>
        <w:right w:val="none" w:sz="0" w:space="0" w:color="auto"/>
      </w:divBdr>
    </w:div>
    <w:div w:id="795148851">
      <w:marLeft w:val="480"/>
      <w:marRight w:val="0"/>
      <w:marTop w:val="0"/>
      <w:marBottom w:val="0"/>
      <w:divBdr>
        <w:top w:val="none" w:sz="0" w:space="0" w:color="auto"/>
        <w:left w:val="none" w:sz="0" w:space="0" w:color="auto"/>
        <w:bottom w:val="none" w:sz="0" w:space="0" w:color="auto"/>
        <w:right w:val="none" w:sz="0" w:space="0" w:color="auto"/>
      </w:divBdr>
    </w:div>
    <w:div w:id="797186478">
      <w:marLeft w:val="480"/>
      <w:marRight w:val="0"/>
      <w:marTop w:val="0"/>
      <w:marBottom w:val="0"/>
      <w:divBdr>
        <w:top w:val="none" w:sz="0" w:space="0" w:color="auto"/>
        <w:left w:val="none" w:sz="0" w:space="0" w:color="auto"/>
        <w:bottom w:val="none" w:sz="0" w:space="0" w:color="auto"/>
        <w:right w:val="none" w:sz="0" w:space="0" w:color="auto"/>
      </w:divBdr>
    </w:div>
    <w:div w:id="798453675">
      <w:marLeft w:val="480"/>
      <w:marRight w:val="0"/>
      <w:marTop w:val="0"/>
      <w:marBottom w:val="0"/>
      <w:divBdr>
        <w:top w:val="none" w:sz="0" w:space="0" w:color="auto"/>
        <w:left w:val="none" w:sz="0" w:space="0" w:color="auto"/>
        <w:bottom w:val="none" w:sz="0" w:space="0" w:color="auto"/>
        <w:right w:val="none" w:sz="0" w:space="0" w:color="auto"/>
      </w:divBdr>
    </w:div>
    <w:div w:id="799613472">
      <w:marLeft w:val="480"/>
      <w:marRight w:val="0"/>
      <w:marTop w:val="0"/>
      <w:marBottom w:val="0"/>
      <w:divBdr>
        <w:top w:val="none" w:sz="0" w:space="0" w:color="auto"/>
        <w:left w:val="none" w:sz="0" w:space="0" w:color="auto"/>
        <w:bottom w:val="none" w:sz="0" w:space="0" w:color="auto"/>
        <w:right w:val="none" w:sz="0" w:space="0" w:color="auto"/>
      </w:divBdr>
    </w:div>
    <w:div w:id="801270253">
      <w:marLeft w:val="480"/>
      <w:marRight w:val="0"/>
      <w:marTop w:val="0"/>
      <w:marBottom w:val="0"/>
      <w:divBdr>
        <w:top w:val="none" w:sz="0" w:space="0" w:color="auto"/>
        <w:left w:val="none" w:sz="0" w:space="0" w:color="auto"/>
        <w:bottom w:val="none" w:sz="0" w:space="0" w:color="auto"/>
        <w:right w:val="none" w:sz="0" w:space="0" w:color="auto"/>
      </w:divBdr>
    </w:div>
    <w:div w:id="805513377">
      <w:marLeft w:val="480"/>
      <w:marRight w:val="0"/>
      <w:marTop w:val="0"/>
      <w:marBottom w:val="0"/>
      <w:divBdr>
        <w:top w:val="none" w:sz="0" w:space="0" w:color="auto"/>
        <w:left w:val="none" w:sz="0" w:space="0" w:color="auto"/>
        <w:bottom w:val="none" w:sz="0" w:space="0" w:color="auto"/>
        <w:right w:val="none" w:sz="0" w:space="0" w:color="auto"/>
      </w:divBdr>
    </w:div>
    <w:div w:id="811288318">
      <w:marLeft w:val="480"/>
      <w:marRight w:val="0"/>
      <w:marTop w:val="0"/>
      <w:marBottom w:val="0"/>
      <w:divBdr>
        <w:top w:val="none" w:sz="0" w:space="0" w:color="auto"/>
        <w:left w:val="none" w:sz="0" w:space="0" w:color="auto"/>
        <w:bottom w:val="none" w:sz="0" w:space="0" w:color="auto"/>
        <w:right w:val="none" w:sz="0" w:space="0" w:color="auto"/>
      </w:divBdr>
    </w:div>
    <w:div w:id="811601798">
      <w:marLeft w:val="480"/>
      <w:marRight w:val="0"/>
      <w:marTop w:val="0"/>
      <w:marBottom w:val="0"/>
      <w:divBdr>
        <w:top w:val="none" w:sz="0" w:space="0" w:color="auto"/>
        <w:left w:val="none" w:sz="0" w:space="0" w:color="auto"/>
        <w:bottom w:val="none" w:sz="0" w:space="0" w:color="auto"/>
        <w:right w:val="none" w:sz="0" w:space="0" w:color="auto"/>
      </w:divBdr>
    </w:div>
    <w:div w:id="813303278">
      <w:marLeft w:val="480"/>
      <w:marRight w:val="0"/>
      <w:marTop w:val="0"/>
      <w:marBottom w:val="0"/>
      <w:divBdr>
        <w:top w:val="none" w:sz="0" w:space="0" w:color="auto"/>
        <w:left w:val="none" w:sz="0" w:space="0" w:color="auto"/>
        <w:bottom w:val="none" w:sz="0" w:space="0" w:color="auto"/>
        <w:right w:val="none" w:sz="0" w:space="0" w:color="auto"/>
      </w:divBdr>
    </w:div>
    <w:div w:id="818425794">
      <w:marLeft w:val="480"/>
      <w:marRight w:val="0"/>
      <w:marTop w:val="0"/>
      <w:marBottom w:val="0"/>
      <w:divBdr>
        <w:top w:val="none" w:sz="0" w:space="0" w:color="auto"/>
        <w:left w:val="none" w:sz="0" w:space="0" w:color="auto"/>
        <w:bottom w:val="none" w:sz="0" w:space="0" w:color="auto"/>
        <w:right w:val="none" w:sz="0" w:space="0" w:color="auto"/>
      </w:divBdr>
    </w:div>
    <w:div w:id="819005585">
      <w:marLeft w:val="480"/>
      <w:marRight w:val="0"/>
      <w:marTop w:val="0"/>
      <w:marBottom w:val="0"/>
      <w:divBdr>
        <w:top w:val="none" w:sz="0" w:space="0" w:color="auto"/>
        <w:left w:val="none" w:sz="0" w:space="0" w:color="auto"/>
        <w:bottom w:val="none" w:sz="0" w:space="0" w:color="auto"/>
        <w:right w:val="none" w:sz="0" w:space="0" w:color="auto"/>
      </w:divBdr>
    </w:div>
    <w:div w:id="819730246">
      <w:marLeft w:val="480"/>
      <w:marRight w:val="0"/>
      <w:marTop w:val="0"/>
      <w:marBottom w:val="0"/>
      <w:divBdr>
        <w:top w:val="none" w:sz="0" w:space="0" w:color="auto"/>
        <w:left w:val="none" w:sz="0" w:space="0" w:color="auto"/>
        <w:bottom w:val="none" w:sz="0" w:space="0" w:color="auto"/>
        <w:right w:val="none" w:sz="0" w:space="0" w:color="auto"/>
      </w:divBdr>
    </w:div>
    <w:div w:id="819887228">
      <w:marLeft w:val="480"/>
      <w:marRight w:val="0"/>
      <w:marTop w:val="0"/>
      <w:marBottom w:val="0"/>
      <w:divBdr>
        <w:top w:val="none" w:sz="0" w:space="0" w:color="auto"/>
        <w:left w:val="none" w:sz="0" w:space="0" w:color="auto"/>
        <w:bottom w:val="none" w:sz="0" w:space="0" w:color="auto"/>
        <w:right w:val="none" w:sz="0" w:space="0" w:color="auto"/>
      </w:divBdr>
    </w:div>
    <w:div w:id="821582181">
      <w:marLeft w:val="480"/>
      <w:marRight w:val="0"/>
      <w:marTop w:val="0"/>
      <w:marBottom w:val="0"/>
      <w:divBdr>
        <w:top w:val="none" w:sz="0" w:space="0" w:color="auto"/>
        <w:left w:val="none" w:sz="0" w:space="0" w:color="auto"/>
        <w:bottom w:val="none" w:sz="0" w:space="0" w:color="auto"/>
        <w:right w:val="none" w:sz="0" w:space="0" w:color="auto"/>
      </w:divBdr>
    </w:div>
    <w:div w:id="824005567">
      <w:marLeft w:val="480"/>
      <w:marRight w:val="0"/>
      <w:marTop w:val="0"/>
      <w:marBottom w:val="0"/>
      <w:divBdr>
        <w:top w:val="none" w:sz="0" w:space="0" w:color="auto"/>
        <w:left w:val="none" w:sz="0" w:space="0" w:color="auto"/>
        <w:bottom w:val="none" w:sz="0" w:space="0" w:color="auto"/>
        <w:right w:val="none" w:sz="0" w:space="0" w:color="auto"/>
      </w:divBdr>
    </w:div>
    <w:div w:id="824861994">
      <w:marLeft w:val="480"/>
      <w:marRight w:val="0"/>
      <w:marTop w:val="0"/>
      <w:marBottom w:val="0"/>
      <w:divBdr>
        <w:top w:val="none" w:sz="0" w:space="0" w:color="auto"/>
        <w:left w:val="none" w:sz="0" w:space="0" w:color="auto"/>
        <w:bottom w:val="none" w:sz="0" w:space="0" w:color="auto"/>
        <w:right w:val="none" w:sz="0" w:space="0" w:color="auto"/>
      </w:divBdr>
    </w:div>
    <w:div w:id="825433635">
      <w:marLeft w:val="480"/>
      <w:marRight w:val="0"/>
      <w:marTop w:val="0"/>
      <w:marBottom w:val="0"/>
      <w:divBdr>
        <w:top w:val="none" w:sz="0" w:space="0" w:color="auto"/>
        <w:left w:val="none" w:sz="0" w:space="0" w:color="auto"/>
        <w:bottom w:val="none" w:sz="0" w:space="0" w:color="auto"/>
        <w:right w:val="none" w:sz="0" w:space="0" w:color="auto"/>
      </w:divBdr>
    </w:div>
    <w:div w:id="826478953">
      <w:marLeft w:val="480"/>
      <w:marRight w:val="0"/>
      <w:marTop w:val="0"/>
      <w:marBottom w:val="0"/>
      <w:divBdr>
        <w:top w:val="none" w:sz="0" w:space="0" w:color="auto"/>
        <w:left w:val="none" w:sz="0" w:space="0" w:color="auto"/>
        <w:bottom w:val="none" w:sz="0" w:space="0" w:color="auto"/>
        <w:right w:val="none" w:sz="0" w:space="0" w:color="auto"/>
      </w:divBdr>
    </w:div>
    <w:div w:id="827986521">
      <w:marLeft w:val="480"/>
      <w:marRight w:val="0"/>
      <w:marTop w:val="0"/>
      <w:marBottom w:val="0"/>
      <w:divBdr>
        <w:top w:val="none" w:sz="0" w:space="0" w:color="auto"/>
        <w:left w:val="none" w:sz="0" w:space="0" w:color="auto"/>
        <w:bottom w:val="none" w:sz="0" w:space="0" w:color="auto"/>
        <w:right w:val="none" w:sz="0" w:space="0" w:color="auto"/>
      </w:divBdr>
    </w:div>
    <w:div w:id="828247587">
      <w:marLeft w:val="480"/>
      <w:marRight w:val="0"/>
      <w:marTop w:val="0"/>
      <w:marBottom w:val="0"/>
      <w:divBdr>
        <w:top w:val="none" w:sz="0" w:space="0" w:color="auto"/>
        <w:left w:val="none" w:sz="0" w:space="0" w:color="auto"/>
        <w:bottom w:val="none" w:sz="0" w:space="0" w:color="auto"/>
        <w:right w:val="none" w:sz="0" w:space="0" w:color="auto"/>
      </w:divBdr>
    </w:div>
    <w:div w:id="830368766">
      <w:marLeft w:val="480"/>
      <w:marRight w:val="0"/>
      <w:marTop w:val="0"/>
      <w:marBottom w:val="0"/>
      <w:divBdr>
        <w:top w:val="none" w:sz="0" w:space="0" w:color="auto"/>
        <w:left w:val="none" w:sz="0" w:space="0" w:color="auto"/>
        <w:bottom w:val="none" w:sz="0" w:space="0" w:color="auto"/>
        <w:right w:val="none" w:sz="0" w:space="0" w:color="auto"/>
      </w:divBdr>
    </w:div>
    <w:div w:id="830826221">
      <w:marLeft w:val="480"/>
      <w:marRight w:val="0"/>
      <w:marTop w:val="0"/>
      <w:marBottom w:val="0"/>
      <w:divBdr>
        <w:top w:val="none" w:sz="0" w:space="0" w:color="auto"/>
        <w:left w:val="none" w:sz="0" w:space="0" w:color="auto"/>
        <w:bottom w:val="none" w:sz="0" w:space="0" w:color="auto"/>
        <w:right w:val="none" w:sz="0" w:space="0" w:color="auto"/>
      </w:divBdr>
    </w:div>
    <w:div w:id="831411538">
      <w:marLeft w:val="480"/>
      <w:marRight w:val="0"/>
      <w:marTop w:val="0"/>
      <w:marBottom w:val="0"/>
      <w:divBdr>
        <w:top w:val="none" w:sz="0" w:space="0" w:color="auto"/>
        <w:left w:val="none" w:sz="0" w:space="0" w:color="auto"/>
        <w:bottom w:val="none" w:sz="0" w:space="0" w:color="auto"/>
        <w:right w:val="none" w:sz="0" w:space="0" w:color="auto"/>
      </w:divBdr>
    </w:div>
    <w:div w:id="834494228">
      <w:marLeft w:val="480"/>
      <w:marRight w:val="0"/>
      <w:marTop w:val="0"/>
      <w:marBottom w:val="0"/>
      <w:divBdr>
        <w:top w:val="none" w:sz="0" w:space="0" w:color="auto"/>
        <w:left w:val="none" w:sz="0" w:space="0" w:color="auto"/>
        <w:bottom w:val="none" w:sz="0" w:space="0" w:color="auto"/>
        <w:right w:val="none" w:sz="0" w:space="0" w:color="auto"/>
      </w:divBdr>
    </w:div>
    <w:div w:id="836001800">
      <w:marLeft w:val="480"/>
      <w:marRight w:val="0"/>
      <w:marTop w:val="0"/>
      <w:marBottom w:val="0"/>
      <w:divBdr>
        <w:top w:val="none" w:sz="0" w:space="0" w:color="auto"/>
        <w:left w:val="none" w:sz="0" w:space="0" w:color="auto"/>
        <w:bottom w:val="none" w:sz="0" w:space="0" w:color="auto"/>
        <w:right w:val="none" w:sz="0" w:space="0" w:color="auto"/>
      </w:divBdr>
    </w:div>
    <w:div w:id="836649242">
      <w:marLeft w:val="480"/>
      <w:marRight w:val="0"/>
      <w:marTop w:val="0"/>
      <w:marBottom w:val="0"/>
      <w:divBdr>
        <w:top w:val="none" w:sz="0" w:space="0" w:color="auto"/>
        <w:left w:val="none" w:sz="0" w:space="0" w:color="auto"/>
        <w:bottom w:val="none" w:sz="0" w:space="0" w:color="auto"/>
        <w:right w:val="none" w:sz="0" w:space="0" w:color="auto"/>
      </w:divBdr>
    </w:div>
    <w:div w:id="838887932">
      <w:marLeft w:val="480"/>
      <w:marRight w:val="0"/>
      <w:marTop w:val="0"/>
      <w:marBottom w:val="0"/>
      <w:divBdr>
        <w:top w:val="none" w:sz="0" w:space="0" w:color="auto"/>
        <w:left w:val="none" w:sz="0" w:space="0" w:color="auto"/>
        <w:bottom w:val="none" w:sz="0" w:space="0" w:color="auto"/>
        <w:right w:val="none" w:sz="0" w:space="0" w:color="auto"/>
      </w:divBdr>
    </w:div>
    <w:div w:id="839587343">
      <w:marLeft w:val="480"/>
      <w:marRight w:val="0"/>
      <w:marTop w:val="0"/>
      <w:marBottom w:val="0"/>
      <w:divBdr>
        <w:top w:val="none" w:sz="0" w:space="0" w:color="auto"/>
        <w:left w:val="none" w:sz="0" w:space="0" w:color="auto"/>
        <w:bottom w:val="none" w:sz="0" w:space="0" w:color="auto"/>
        <w:right w:val="none" w:sz="0" w:space="0" w:color="auto"/>
      </w:divBdr>
    </w:div>
    <w:div w:id="842007986">
      <w:marLeft w:val="480"/>
      <w:marRight w:val="0"/>
      <w:marTop w:val="0"/>
      <w:marBottom w:val="0"/>
      <w:divBdr>
        <w:top w:val="none" w:sz="0" w:space="0" w:color="auto"/>
        <w:left w:val="none" w:sz="0" w:space="0" w:color="auto"/>
        <w:bottom w:val="none" w:sz="0" w:space="0" w:color="auto"/>
        <w:right w:val="none" w:sz="0" w:space="0" w:color="auto"/>
      </w:divBdr>
    </w:div>
    <w:div w:id="845630764">
      <w:marLeft w:val="480"/>
      <w:marRight w:val="0"/>
      <w:marTop w:val="0"/>
      <w:marBottom w:val="0"/>
      <w:divBdr>
        <w:top w:val="none" w:sz="0" w:space="0" w:color="auto"/>
        <w:left w:val="none" w:sz="0" w:space="0" w:color="auto"/>
        <w:bottom w:val="none" w:sz="0" w:space="0" w:color="auto"/>
        <w:right w:val="none" w:sz="0" w:space="0" w:color="auto"/>
      </w:divBdr>
    </w:div>
    <w:div w:id="846477900">
      <w:marLeft w:val="480"/>
      <w:marRight w:val="0"/>
      <w:marTop w:val="0"/>
      <w:marBottom w:val="0"/>
      <w:divBdr>
        <w:top w:val="none" w:sz="0" w:space="0" w:color="auto"/>
        <w:left w:val="none" w:sz="0" w:space="0" w:color="auto"/>
        <w:bottom w:val="none" w:sz="0" w:space="0" w:color="auto"/>
        <w:right w:val="none" w:sz="0" w:space="0" w:color="auto"/>
      </w:divBdr>
    </w:div>
    <w:div w:id="846990648">
      <w:marLeft w:val="480"/>
      <w:marRight w:val="0"/>
      <w:marTop w:val="0"/>
      <w:marBottom w:val="0"/>
      <w:divBdr>
        <w:top w:val="none" w:sz="0" w:space="0" w:color="auto"/>
        <w:left w:val="none" w:sz="0" w:space="0" w:color="auto"/>
        <w:bottom w:val="none" w:sz="0" w:space="0" w:color="auto"/>
        <w:right w:val="none" w:sz="0" w:space="0" w:color="auto"/>
      </w:divBdr>
    </w:div>
    <w:div w:id="847598858">
      <w:marLeft w:val="480"/>
      <w:marRight w:val="0"/>
      <w:marTop w:val="0"/>
      <w:marBottom w:val="0"/>
      <w:divBdr>
        <w:top w:val="none" w:sz="0" w:space="0" w:color="auto"/>
        <w:left w:val="none" w:sz="0" w:space="0" w:color="auto"/>
        <w:bottom w:val="none" w:sz="0" w:space="0" w:color="auto"/>
        <w:right w:val="none" w:sz="0" w:space="0" w:color="auto"/>
      </w:divBdr>
    </w:div>
    <w:div w:id="854228161">
      <w:marLeft w:val="480"/>
      <w:marRight w:val="0"/>
      <w:marTop w:val="0"/>
      <w:marBottom w:val="0"/>
      <w:divBdr>
        <w:top w:val="none" w:sz="0" w:space="0" w:color="auto"/>
        <w:left w:val="none" w:sz="0" w:space="0" w:color="auto"/>
        <w:bottom w:val="none" w:sz="0" w:space="0" w:color="auto"/>
        <w:right w:val="none" w:sz="0" w:space="0" w:color="auto"/>
      </w:divBdr>
    </w:div>
    <w:div w:id="856848792">
      <w:marLeft w:val="480"/>
      <w:marRight w:val="0"/>
      <w:marTop w:val="0"/>
      <w:marBottom w:val="0"/>
      <w:divBdr>
        <w:top w:val="none" w:sz="0" w:space="0" w:color="auto"/>
        <w:left w:val="none" w:sz="0" w:space="0" w:color="auto"/>
        <w:bottom w:val="none" w:sz="0" w:space="0" w:color="auto"/>
        <w:right w:val="none" w:sz="0" w:space="0" w:color="auto"/>
      </w:divBdr>
    </w:div>
    <w:div w:id="857233652">
      <w:marLeft w:val="480"/>
      <w:marRight w:val="0"/>
      <w:marTop w:val="0"/>
      <w:marBottom w:val="0"/>
      <w:divBdr>
        <w:top w:val="none" w:sz="0" w:space="0" w:color="auto"/>
        <w:left w:val="none" w:sz="0" w:space="0" w:color="auto"/>
        <w:bottom w:val="none" w:sz="0" w:space="0" w:color="auto"/>
        <w:right w:val="none" w:sz="0" w:space="0" w:color="auto"/>
      </w:divBdr>
    </w:div>
    <w:div w:id="857816277">
      <w:marLeft w:val="480"/>
      <w:marRight w:val="0"/>
      <w:marTop w:val="0"/>
      <w:marBottom w:val="0"/>
      <w:divBdr>
        <w:top w:val="none" w:sz="0" w:space="0" w:color="auto"/>
        <w:left w:val="none" w:sz="0" w:space="0" w:color="auto"/>
        <w:bottom w:val="none" w:sz="0" w:space="0" w:color="auto"/>
        <w:right w:val="none" w:sz="0" w:space="0" w:color="auto"/>
      </w:divBdr>
    </w:div>
    <w:div w:id="858854144">
      <w:marLeft w:val="480"/>
      <w:marRight w:val="0"/>
      <w:marTop w:val="0"/>
      <w:marBottom w:val="0"/>
      <w:divBdr>
        <w:top w:val="none" w:sz="0" w:space="0" w:color="auto"/>
        <w:left w:val="none" w:sz="0" w:space="0" w:color="auto"/>
        <w:bottom w:val="none" w:sz="0" w:space="0" w:color="auto"/>
        <w:right w:val="none" w:sz="0" w:space="0" w:color="auto"/>
      </w:divBdr>
    </w:div>
    <w:div w:id="862520626">
      <w:marLeft w:val="480"/>
      <w:marRight w:val="0"/>
      <w:marTop w:val="0"/>
      <w:marBottom w:val="0"/>
      <w:divBdr>
        <w:top w:val="none" w:sz="0" w:space="0" w:color="auto"/>
        <w:left w:val="none" w:sz="0" w:space="0" w:color="auto"/>
        <w:bottom w:val="none" w:sz="0" w:space="0" w:color="auto"/>
        <w:right w:val="none" w:sz="0" w:space="0" w:color="auto"/>
      </w:divBdr>
    </w:div>
    <w:div w:id="863135263">
      <w:marLeft w:val="480"/>
      <w:marRight w:val="0"/>
      <w:marTop w:val="0"/>
      <w:marBottom w:val="0"/>
      <w:divBdr>
        <w:top w:val="none" w:sz="0" w:space="0" w:color="auto"/>
        <w:left w:val="none" w:sz="0" w:space="0" w:color="auto"/>
        <w:bottom w:val="none" w:sz="0" w:space="0" w:color="auto"/>
        <w:right w:val="none" w:sz="0" w:space="0" w:color="auto"/>
      </w:divBdr>
    </w:div>
    <w:div w:id="863714303">
      <w:marLeft w:val="480"/>
      <w:marRight w:val="0"/>
      <w:marTop w:val="0"/>
      <w:marBottom w:val="0"/>
      <w:divBdr>
        <w:top w:val="none" w:sz="0" w:space="0" w:color="auto"/>
        <w:left w:val="none" w:sz="0" w:space="0" w:color="auto"/>
        <w:bottom w:val="none" w:sz="0" w:space="0" w:color="auto"/>
        <w:right w:val="none" w:sz="0" w:space="0" w:color="auto"/>
      </w:divBdr>
    </w:div>
    <w:div w:id="865214006">
      <w:marLeft w:val="480"/>
      <w:marRight w:val="0"/>
      <w:marTop w:val="0"/>
      <w:marBottom w:val="0"/>
      <w:divBdr>
        <w:top w:val="none" w:sz="0" w:space="0" w:color="auto"/>
        <w:left w:val="none" w:sz="0" w:space="0" w:color="auto"/>
        <w:bottom w:val="none" w:sz="0" w:space="0" w:color="auto"/>
        <w:right w:val="none" w:sz="0" w:space="0" w:color="auto"/>
      </w:divBdr>
    </w:div>
    <w:div w:id="866452665">
      <w:marLeft w:val="480"/>
      <w:marRight w:val="0"/>
      <w:marTop w:val="0"/>
      <w:marBottom w:val="0"/>
      <w:divBdr>
        <w:top w:val="none" w:sz="0" w:space="0" w:color="auto"/>
        <w:left w:val="none" w:sz="0" w:space="0" w:color="auto"/>
        <w:bottom w:val="none" w:sz="0" w:space="0" w:color="auto"/>
        <w:right w:val="none" w:sz="0" w:space="0" w:color="auto"/>
      </w:divBdr>
    </w:div>
    <w:div w:id="872233616">
      <w:marLeft w:val="480"/>
      <w:marRight w:val="0"/>
      <w:marTop w:val="0"/>
      <w:marBottom w:val="0"/>
      <w:divBdr>
        <w:top w:val="none" w:sz="0" w:space="0" w:color="auto"/>
        <w:left w:val="none" w:sz="0" w:space="0" w:color="auto"/>
        <w:bottom w:val="none" w:sz="0" w:space="0" w:color="auto"/>
        <w:right w:val="none" w:sz="0" w:space="0" w:color="auto"/>
      </w:divBdr>
    </w:div>
    <w:div w:id="872420787">
      <w:marLeft w:val="480"/>
      <w:marRight w:val="0"/>
      <w:marTop w:val="0"/>
      <w:marBottom w:val="0"/>
      <w:divBdr>
        <w:top w:val="none" w:sz="0" w:space="0" w:color="auto"/>
        <w:left w:val="none" w:sz="0" w:space="0" w:color="auto"/>
        <w:bottom w:val="none" w:sz="0" w:space="0" w:color="auto"/>
        <w:right w:val="none" w:sz="0" w:space="0" w:color="auto"/>
      </w:divBdr>
    </w:div>
    <w:div w:id="873738451">
      <w:marLeft w:val="480"/>
      <w:marRight w:val="0"/>
      <w:marTop w:val="0"/>
      <w:marBottom w:val="0"/>
      <w:divBdr>
        <w:top w:val="none" w:sz="0" w:space="0" w:color="auto"/>
        <w:left w:val="none" w:sz="0" w:space="0" w:color="auto"/>
        <w:bottom w:val="none" w:sz="0" w:space="0" w:color="auto"/>
        <w:right w:val="none" w:sz="0" w:space="0" w:color="auto"/>
      </w:divBdr>
    </w:div>
    <w:div w:id="873882180">
      <w:marLeft w:val="480"/>
      <w:marRight w:val="0"/>
      <w:marTop w:val="0"/>
      <w:marBottom w:val="0"/>
      <w:divBdr>
        <w:top w:val="none" w:sz="0" w:space="0" w:color="auto"/>
        <w:left w:val="none" w:sz="0" w:space="0" w:color="auto"/>
        <w:bottom w:val="none" w:sz="0" w:space="0" w:color="auto"/>
        <w:right w:val="none" w:sz="0" w:space="0" w:color="auto"/>
      </w:divBdr>
    </w:div>
    <w:div w:id="878279757">
      <w:marLeft w:val="480"/>
      <w:marRight w:val="0"/>
      <w:marTop w:val="0"/>
      <w:marBottom w:val="0"/>
      <w:divBdr>
        <w:top w:val="none" w:sz="0" w:space="0" w:color="auto"/>
        <w:left w:val="none" w:sz="0" w:space="0" w:color="auto"/>
        <w:bottom w:val="none" w:sz="0" w:space="0" w:color="auto"/>
        <w:right w:val="none" w:sz="0" w:space="0" w:color="auto"/>
      </w:divBdr>
    </w:div>
    <w:div w:id="880092462">
      <w:marLeft w:val="480"/>
      <w:marRight w:val="0"/>
      <w:marTop w:val="0"/>
      <w:marBottom w:val="0"/>
      <w:divBdr>
        <w:top w:val="none" w:sz="0" w:space="0" w:color="auto"/>
        <w:left w:val="none" w:sz="0" w:space="0" w:color="auto"/>
        <w:bottom w:val="none" w:sz="0" w:space="0" w:color="auto"/>
        <w:right w:val="none" w:sz="0" w:space="0" w:color="auto"/>
      </w:divBdr>
    </w:div>
    <w:div w:id="881869824">
      <w:marLeft w:val="480"/>
      <w:marRight w:val="0"/>
      <w:marTop w:val="0"/>
      <w:marBottom w:val="0"/>
      <w:divBdr>
        <w:top w:val="none" w:sz="0" w:space="0" w:color="auto"/>
        <w:left w:val="none" w:sz="0" w:space="0" w:color="auto"/>
        <w:bottom w:val="none" w:sz="0" w:space="0" w:color="auto"/>
        <w:right w:val="none" w:sz="0" w:space="0" w:color="auto"/>
      </w:divBdr>
    </w:div>
    <w:div w:id="881938932">
      <w:marLeft w:val="480"/>
      <w:marRight w:val="0"/>
      <w:marTop w:val="0"/>
      <w:marBottom w:val="0"/>
      <w:divBdr>
        <w:top w:val="none" w:sz="0" w:space="0" w:color="auto"/>
        <w:left w:val="none" w:sz="0" w:space="0" w:color="auto"/>
        <w:bottom w:val="none" w:sz="0" w:space="0" w:color="auto"/>
        <w:right w:val="none" w:sz="0" w:space="0" w:color="auto"/>
      </w:divBdr>
    </w:div>
    <w:div w:id="882985186">
      <w:marLeft w:val="480"/>
      <w:marRight w:val="0"/>
      <w:marTop w:val="0"/>
      <w:marBottom w:val="0"/>
      <w:divBdr>
        <w:top w:val="none" w:sz="0" w:space="0" w:color="auto"/>
        <w:left w:val="none" w:sz="0" w:space="0" w:color="auto"/>
        <w:bottom w:val="none" w:sz="0" w:space="0" w:color="auto"/>
        <w:right w:val="none" w:sz="0" w:space="0" w:color="auto"/>
      </w:divBdr>
    </w:div>
    <w:div w:id="885025249">
      <w:marLeft w:val="480"/>
      <w:marRight w:val="0"/>
      <w:marTop w:val="0"/>
      <w:marBottom w:val="0"/>
      <w:divBdr>
        <w:top w:val="none" w:sz="0" w:space="0" w:color="auto"/>
        <w:left w:val="none" w:sz="0" w:space="0" w:color="auto"/>
        <w:bottom w:val="none" w:sz="0" w:space="0" w:color="auto"/>
        <w:right w:val="none" w:sz="0" w:space="0" w:color="auto"/>
      </w:divBdr>
    </w:div>
    <w:div w:id="887910579">
      <w:marLeft w:val="480"/>
      <w:marRight w:val="0"/>
      <w:marTop w:val="0"/>
      <w:marBottom w:val="0"/>
      <w:divBdr>
        <w:top w:val="none" w:sz="0" w:space="0" w:color="auto"/>
        <w:left w:val="none" w:sz="0" w:space="0" w:color="auto"/>
        <w:bottom w:val="none" w:sz="0" w:space="0" w:color="auto"/>
        <w:right w:val="none" w:sz="0" w:space="0" w:color="auto"/>
      </w:divBdr>
    </w:div>
    <w:div w:id="888763011">
      <w:marLeft w:val="480"/>
      <w:marRight w:val="0"/>
      <w:marTop w:val="0"/>
      <w:marBottom w:val="0"/>
      <w:divBdr>
        <w:top w:val="none" w:sz="0" w:space="0" w:color="auto"/>
        <w:left w:val="none" w:sz="0" w:space="0" w:color="auto"/>
        <w:bottom w:val="none" w:sz="0" w:space="0" w:color="auto"/>
        <w:right w:val="none" w:sz="0" w:space="0" w:color="auto"/>
      </w:divBdr>
    </w:div>
    <w:div w:id="889343541">
      <w:marLeft w:val="480"/>
      <w:marRight w:val="0"/>
      <w:marTop w:val="0"/>
      <w:marBottom w:val="0"/>
      <w:divBdr>
        <w:top w:val="none" w:sz="0" w:space="0" w:color="auto"/>
        <w:left w:val="none" w:sz="0" w:space="0" w:color="auto"/>
        <w:bottom w:val="none" w:sz="0" w:space="0" w:color="auto"/>
        <w:right w:val="none" w:sz="0" w:space="0" w:color="auto"/>
      </w:divBdr>
    </w:div>
    <w:div w:id="889612498">
      <w:marLeft w:val="480"/>
      <w:marRight w:val="0"/>
      <w:marTop w:val="0"/>
      <w:marBottom w:val="0"/>
      <w:divBdr>
        <w:top w:val="none" w:sz="0" w:space="0" w:color="auto"/>
        <w:left w:val="none" w:sz="0" w:space="0" w:color="auto"/>
        <w:bottom w:val="none" w:sz="0" w:space="0" w:color="auto"/>
        <w:right w:val="none" w:sz="0" w:space="0" w:color="auto"/>
      </w:divBdr>
    </w:div>
    <w:div w:id="892696323">
      <w:marLeft w:val="480"/>
      <w:marRight w:val="0"/>
      <w:marTop w:val="0"/>
      <w:marBottom w:val="0"/>
      <w:divBdr>
        <w:top w:val="none" w:sz="0" w:space="0" w:color="auto"/>
        <w:left w:val="none" w:sz="0" w:space="0" w:color="auto"/>
        <w:bottom w:val="none" w:sz="0" w:space="0" w:color="auto"/>
        <w:right w:val="none" w:sz="0" w:space="0" w:color="auto"/>
      </w:divBdr>
    </w:div>
    <w:div w:id="893077050">
      <w:marLeft w:val="480"/>
      <w:marRight w:val="0"/>
      <w:marTop w:val="0"/>
      <w:marBottom w:val="0"/>
      <w:divBdr>
        <w:top w:val="none" w:sz="0" w:space="0" w:color="auto"/>
        <w:left w:val="none" w:sz="0" w:space="0" w:color="auto"/>
        <w:bottom w:val="none" w:sz="0" w:space="0" w:color="auto"/>
        <w:right w:val="none" w:sz="0" w:space="0" w:color="auto"/>
      </w:divBdr>
    </w:div>
    <w:div w:id="895050700">
      <w:marLeft w:val="480"/>
      <w:marRight w:val="0"/>
      <w:marTop w:val="0"/>
      <w:marBottom w:val="0"/>
      <w:divBdr>
        <w:top w:val="none" w:sz="0" w:space="0" w:color="auto"/>
        <w:left w:val="none" w:sz="0" w:space="0" w:color="auto"/>
        <w:bottom w:val="none" w:sz="0" w:space="0" w:color="auto"/>
        <w:right w:val="none" w:sz="0" w:space="0" w:color="auto"/>
      </w:divBdr>
    </w:div>
    <w:div w:id="895506594">
      <w:marLeft w:val="480"/>
      <w:marRight w:val="0"/>
      <w:marTop w:val="0"/>
      <w:marBottom w:val="0"/>
      <w:divBdr>
        <w:top w:val="none" w:sz="0" w:space="0" w:color="auto"/>
        <w:left w:val="none" w:sz="0" w:space="0" w:color="auto"/>
        <w:bottom w:val="none" w:sz="0" w:space="0" w:color="auto"/>
        <w:right w:val="none" w:sz="0" w:space="0" w:color="auto"/>
      </w:divBdr>
    </w:div>
    <w:div w:id="895820036">
      <w:marLeft w:val="480"/>
      <w:marRight w:val="0"/>
      <w:marTop w:val="0"/>
      <w:marBottom w:val="0"/>
      <w:divBdr>
        <w:top w:val="none" w:sz="0" w:space="0" w:color="auto"/>
        <w:left w:val="none" w:sz="0" w:space="0" w:color="auto"/>
        <w:bottom w:val="none" w:sz="0" w:space="0" w:color="auto"/>
        <w:right w:val="none" w:sz="0" w:space="0" w:color="auto"/>
      </w:divBdr>
    </w:div>
    <w:div w:id="897546251">
      <w:marLeft w:val="480"/>
      <w:marRight w:val="0"/>
      <w:marTop w:val="0"/>
      <w:marBottom w:val="0"/>
      <w:divBdr>
        <w:top w:val="none" w:sz="0" w:space="0" w:color="auto"/>
        <w:left w:val="none" w:sz="0" w:space="0" w:color="auto"/>
        <w:bottom w:val="none" w:sz="0" w:space="0" w:color="auto"/>
        <w:right w:val="none" w:sz="0" w:space="0" w:color="auto"/>
      </w:divBdr>
    </w:div>
    <w:div w:id="899443384">
      <w:marLeft w:val="480"/>
      <w:marRight w:val="0"/>
      <w:marTop w:val="0"/>
      <w:marBottom w:val="0"/>
      <w:divBdr>
        <w:top w:val="none" w:sz="0" w:space="0" w:color="auto"/>
        <w:left w:val="none" w:sz="0" w:space="0" w:color="auto"/>
        <w:bottom w:val="none" w:sz="0" w:space="0" w:color="auto"/>
        <w:right w:val="none" w:sz="0" w:space="0" w:color="auto"/>
      </w:divBdr>
    </w:div>
    <w:div w:id="899511799">
      <w:marLeft w:val="480"/>
      <w:marRight w:val="0"/>
      <w:marTop w:val="0"/>
      <w:marBottom w:val="0"/>
      <w:divBdr>
        <w:top w:val="none" w:sz="0" w:space="0" w:color="auto"/>
        <w:left w:val="none" w:sz="0" w:space="0" w:color="auto"/>
        <w:bottom w:val="none" w:sz="0" w:space="0" w:color="auto"/>
        <w:right w:val="none" w:sz="0" w:space="0" w:color="auto"/>
      </w:divBdr>
    </w:div>
    <w:div w:id="901985371">
      <w:marLeft w:val="480"/>
      <w:marRight w:val="0"/>
      <w:marTop w:val="0"/>
      <w:marBottom w:val="0"/>
      <w:divBdr>
        <w:top w:val="none" w:sz="0" w:space="0" w:color="auto"/>
        <w:left w:val="none" w:sz="0" w:space="0" w:color="auto"/>
        <w:bottom w:val="none" w:sz="0" w:space="0" w:color="auto"/>
        <w:right w:val="none" w:sz="0" w:space="0" w:color="auto"/>
      </w:divBdr>
    </w:div>
    <w:div w:id="905337366">
      <w:marLeft w:val="480"/>
      <w:marRight w:val="0"/>
      <w:marTop w:val="0"/>
      <w:marBottom w:val="0"/>
      <w:divBdr>
        <w:top w:val="none" w:sz="0" w:space="0" w:color="auto"/>
        <w:left w:val="none" w:sz="0" w:space="0" w:color="auto"/>
        <w:bottom w:val="none" w:sz="0" w:space="0" w:color="auto"/>
        <w:right w:val="none" w:sz="0" w:space="0" w:color="auto"/>
      </w:divBdr>
    </w:div>
    <w:div w:id="906190877">
      <w:marLeft w:val="480"/>
      <w:marRight w:val="0"/>
      <w:marTop w:val="0"/>
      <w:marBottom w:val="0"/>
      <w:divBdr>
        <w:top w:val="none" w:sz="0" w:space="0" w:color="auto"/>
        <w:left w:val="none" w:sz="0" w:space="0" w:color="auto"/>
        <w:bottom w:val="none" w:sz="0" w:space="0" w:color="auto"/>
        <w:right w:val="none" w:sz="0" w:space="0" w:color="auto"/>
      </w:divBdr>
    </w:div>
    <w:div w:id="908804173">
      <w:marLeft w:val="480"/>
      <w:marRight w:val="0"/>
      <w:marTop w:val="0"/>
      <w:marBottom w:val="0"/>
      <w:divBdr>
        <w:top w:val="none" w:sz="0" w:space="0" w:color="auto"/>
        <w:left w:val="none" w:sz="0" w:space="0" w:color="auto"/>
        <w:bottom w:val="none" w:sz="0" w:space="0" w:color="auto"/>
        <w:right w:val="none" w:sz="0" w:space="0" w:color="auto"/>
      </w:divBdr>
    </w:div>
    <w:div w:id="910819847">
      <w:marLeft w:val="480"/>
      <w:marRight w:val="0"/>
      <w:marTop w:val="0"/>
      <w:marBottom w:val="0"/>
      <w:divBdr>
        <w:top w:val="none" w:sz="0" w:space="0" w:color="auto"/>
        <w:left w:val="none" w:sz="0" w:space="0" w:color="auto"/>
        <w:bottom w:val="none" w:sz="0" w:space="0" w:color="auto"/>
        <w:right w:val="none" w:sz="0" w:space="0" w:color="auto"/>
      </w:divBdr>
    </w:div>
    <w:div w:id="911696988">
      <w:marLeft w:val="480"/>
      <w:marRight w:val="0"/>
      <w:marTop w:val="0"/>
      <w:marBottom w:val="0"/>
      <w:divBdr>
        <w:top w:val="none" w:sz="0" w:space="0" w:color="auto"/>
        <w:left w:val="none" w:sz="0" w:space="0" w:color="auto"/>
        <w:bottom w:val="none" w:sz="0" w:space="0" w:color="auto"/>
        <w:right w:val="none" w:sz="0" w:space="0" w:color="auto"/>
      </w:divBdr>
    </w:div>
    <w:div w:id="913512867">
      <w:marLeft w:val="480"/>
      <w:marRight w:val="0"/>
      <w:marTop w:val="0"/>
      <w:marBottom w:val="0"/>
      <w:divBdr>
        <w:top w:val="none" w:sz="0" w:space="0" w:color="auto"/>
        <w:left w:val="none" w:sz="0" w:space="0" w:color="auto"/>
        <w:bottom w:val="none" w:sz="0" w:space="0" w:color="auto"/>
        <w:right w:val="none" w:sz="0" w:space="0" w:color="auto"/>
      </w:divBdr>
    </w:div>
    <w:div w:id="914244983">
      <w:marLeft w:val="480"/>
      <w:marRight w:val="0"/>
      <w:marTop w:val="0"/>
      <w:marBottom w:val="0"/>
      <w:divBdr>
        <w:top w:val="none" w:sz="0" w:space="0" w:color="auto"/>
        <w:left w:val="none" w:sz="0" w:space="0" w:color="auto"/>
        <w:bottom w:val="none" w:sz="0" w:space="0" w:color="auto"/>
        <w:right w:val="none" w:sz="0" w:space="0" w:color="auto"/>
      </w:divBdr>
    </w:div>
    <w:div w:id="915171891">
      <w:marLeft w:val="480"/>
      <w:marRight w:val="0"/>
      <w:marTop w:val="0"/>
      <w:marBottom w:val="0"/>
      <w:divBdr>
        <w:top w:val="none" w:sz="0" w:space="0" w:color="auto"/>
        <w:left w:val="none" w:sz="0" w:space="0" w:color="auto"/>
        <w:bottom w:val="none" w:sz="0" w:space="0" w:color="auto"/>
        <w:right w:val="none" w:sz="0" w:space="0" w:color="auto"/>
      </w:divBdr>
    </w:div>
    <w:div w:id="917640558">
      <w:marLeft w:val="480"/>
      <w:marRight w:val="0"/>
      <w:marTop w:val="0"/>
      <w:marBottom w:val="0"/>
      <w:divBdr>
        <w:top w:val="none" w:sz="0" w:space="0" w:color="auto"/>
        <w:left w:val="none" w:sz="0" w:space="0" w:color="auto"/>
        <w:bottom w:val="none" w:sz="0" w:space="0" w:color="auto"/>
        <w:right w:val="none" w:sz="0" w:space="0" w:color="auto"/>
      </w:divBdr>
    </w:div>
    <w:div w:id="918636831">
      <w:marLeft w:val="480"/>
      <w:marRight w:val="0"/>
      <w:marTop w:val="0"/>
      <w:marBottom w:val="0"/>
      <w:divBdr>
        <w:top w:val="none" w:sz="0" w:space="0" w:color="auto"/>
        <w:left w:val="none" w:sz="0" w:space="0" w:color="auto"/>
        <w:bottom w:val="none" w:sz="0" w:space="0" w:color="auto"/>
        <w:right w:val="none" w:sz="0" w:space="0" w:color="auto"/>
      </w:divBdr>
    </w:div>
    <w:div w:id="918902692">
      <w:marLeft w:val="480"/>
      <w:marRight w:val="0"/>
      <w:marTop w:val="0"/>
      <w:marBottom w:val="0"/>
      <w:divBdr>
        <w:top w:val="none" w:sz="0" w:space="0" w:color="auto"/>
        <w:left w:val="none" w:sz="0" w:space="0" w:color="auto"/>
        <w:bottom w:val="none" w:sz="0" w:space="0" w:color="auto"/>
        <w:right w:val="none" w:sz="0" w:space="0" w:color="auto"/>
      </w:divBdr>
    </w:div>
    <w:div w:id="921378100">
      <w:marLeft w:val="480"/>
      <w:marRight w:val="0"/>
      <w:marTop w:val="0"/>
      <w:marBottom w:val="0"/>
      <w:divBdr>
        <w:top w:val="none" w:sz="0" w:space="0" w:color="auto"/>
        <w:left w:val="none" w:sz="0" w:space="0" w:color="auto"/>
        <w:bottom w:val="none" w:sz="0" w:space="0" w:color="auto"/>
        <w:right w:val="none" w:sz="0" w:space="0" w:color="auto"/>
      </w:divBdr>
    </w:div>
    <w:div w:id="927924320">
      <w:marLeft w:val="480"/>
      <w:marRight w:val="0"/>
      <w:marTop w:val="0"/>
      <w:marBottom w:val="0"/>
      <w:divBdr>
        <w:top w:val="none" w:sz="0" w:space="0" w:color="auto"/>
        <w:left w:val="none" w:sz="0" w:space="0" w:color="auto"/>
        <w:bottom w:val="none" w:sz="0" w:space="0" w:color="auto"/>
        <w:right w:val="none" w:sz="0" w:space="0" w:color="auto"/>
      </w:divBdr>
    </w:div>
    <w:div w:id="931862844">
      <w:marLeft w:val="480"/>
      <w:marRight w:val="0"/>
      <w:marTop w:val="0"/>
      <w:marBottom w:val="0"/>
      <w:divBdr>
        <w:top w:val="none" w:sz="0" w:space="0" w:color="auto"/>
        <w:left w:val="none" w:sz="0" w:space="0" w:color="auto"/>
        <w:bottom w:val="none" w:sz="0" w:space="0" w:color="auto"/>
        <w:right w:val="none" w:sz="0" w:space="0" w:color="auto"/>
      </w:divBdr>
    </w:div>
    <w:div w:id="932126842">
      <w:marLeft w:val="480"/>
      <w:marRight w:val="0"/>
      <w:marTop w:val="0"/>
      <w:marBottom w:val="0"/>
      <w:divBdr>
        <w:top w:val="none" w:sz="0" w:space="0" w:color="auto"/>
        <w:left w:val="none" w:sz="0" w:space="0" w:color="auto"/>
        <w:bottom w:val="none" w:sz="0" w:space="0" w:color="auto"/>
        <w:right w:val="none" w:sz="0" w:space="0" w:color="auto"/>
      </w:divBdr>
    </w:div>
    <w:div w:id="932319843">
      <w:marLeft w:val="480"/>
      <w:marRight w:val="0"/>
      <w:marTop w:val="0"/>
      <w:marBottom w:val="0"/>
      <w:divBdr>
        <w:top w:val="none" w:sz="0" w:space="0" w:color="auto"/>
        <w:left w:val="none" w:sz="0" w:space="0" w:color="auto"/>
        <w:bottom w:val="none" w:sz="0" w:space="0" w:color="auto"/>
        <w:right w:val="none" w:sz="0" w:space="0" w:color="auto"/>
      </w:divBdr>
    </w:div>
    <w:div w:id="936255737">
      <w:marLeft w:val="480"/>
      <w:marRight w:val="0"/>
      <w:marTop w:val="0"/>
      <w:marBottom w:val="0"/>
      <w:divBdr>
        <w:top w:val="none" w:sz="0" w:space="0" w:color="auto"/>
        <w:left w:val="none" w:sz="0" w:space="0" w:color="auto"/>
        <w:bottom w:val="none" w:sz="0" w:space="0" w:color="auto"/>
        <w:right w:val="none" w:sz="0" w:space="0" w:color="auto"/>
      </w:divBdr>
    </w:div>
    <w:div w:id="938413409">
      <w:marLeft w:val="480"/>
      <w:marRight w:val="0"/>
      <w:marTop w:val="0"/>
      <w:marBottom w:val="0"/>
      <w:divBdr>
        <w:top w:val="none" w:sz="0" w:space="0" w:color="auto"/>
        <w:left w:val="none" w:sz="0" w:space="0" w:color="auto"/>
        <w:bottom w:val="none" w:sz="0" w:space="0" w:color="auto"/>
        <w:right w:val="none" w:sz="0" w:space="0" w:color="auto"/>
      </w:divBdr>
    </w:div>
    <w:div w:id="941499525">
      <w:marLeft w:val="480"/>
      <w:marRight w:val="0"/>
      <w:marTop w:val="0"/>
      <w:marBottom w:val="0"/>
      <w:divBdr>
        <w:top w:val="none" w:sz="0" w:space="0" w:color="auto"/>
        <w:left w:val="none" w:sz="0" w:space="0" w:color="auto"/>
        <w:bottom w:val="none" w:sz="0" w:space="0" w:color="auto"/>
        <w:right w:val="none" w:sz="0" w:space="0" w:color="auto"/>
      </w:divBdr>
    </w:div>
    <w:div w:id="941719476">
      <w:marLeft w:val="480"/>
      <w:marRight w:val="0"/>
      <w:marTop w:val="0"/>
      <w:marBottom w:val="0"/>
      <w:divBdr>
        <w:top w:val="none" w:sz="0" w:space="0" w:color="auto"/>
        <w:left w:val="none" w:sz="0" w:space="0" w:color="auto"/>
        <w:bottom w:val="none" w:sz="0" w:space="0" w:color="auto"/>
        <w:right w:val="none" w:sz="0" w:space="0" w:color="auto"/>
      </w:divBdr>
    </w:div>
    <w:div w:id="941884698">
      <w:marLeft w:val="480"/>
      <w:marRight w:val="0"/>
      <w:marTop w:val="0"/>
      <w:marBottom w:val="0"/>
      <w:divBdr>
        <w:top w:val="none" w:sz="0" w:space="0" w:color="auto"/>
        <w:left w:val="none" w:sz="0" w:space="0" w:color="auto"/>
        <w:bottom w:val="none" w:sz="0" w:space="0" w:color="auto"/>
        <w:right w:val="none" w:sz="0" w:space="0" w:color="auto"/>
      </w:divBdr>
    </w:div>
    <w:div w:id="942221918">
      <w:marLeft w:val="480"/>
      <w:marRight w:val="0"/>
      <w:marTop w:val="0"/>
      <w:marBottom w:val="0"/>
      <w:divBdr>
        <w:top w:val="none" w:sz="0" w:space="0" w:color="auto"/>
        <w:left w:val="none" w:sz="0" w:space="0" w:color="auto"/>
        <w:bottom w:val="none" w:sz="0" w:space="0" w:color="auto"/>
        <w:right w:val="none" w:sz="0" w:space="0" w:color="auto"/>
      </w:divBdr>
    </w:div>
    <w:div w:id="943223070">
      <w:marLeft w:val="480"/>
      <w:marRight w:val="0"/>
      <w:marTop w:val="0"/>
      <w:marBottom w:val="0"/>
      <w:divBdr>
        <w:top w:val="none" w:sz="0" w:space="0" w:color="auto"/>
        <w:left w:val="none" w:sz="0" w:space="0" w:color="auto"/>
        <w:bottom w:val="none" w:sz="0" w:space="0" w:color="auto"/>
        <w:right w:val="none" w:sz="0" w:space="0" w:color="auto"/>
      </w:divBdr>
    </w:div>
    <w:div w:id="944843920">
      <w:marLeft w:val="480"/>
      <w:marRight w:val="0"/>
      <w:marTop w:val="0"/>
      <w:marBottom w:val="0"/>
      <w:divBdr>
        <w:top w:val="none" w:sz="0" w:space="0" w:color="auto"/>
        <w:left w:val="none" w:sz="0" w:space="0" w:color="auto"/>
        <w:bottom w:val="none" w:sz="0" w:space="0" w:color="auto"/>
        <w:right w:val="none" w:sz="0" w:space="0" w:color="auto"/>
      </w:divBdr>
    </w:div>
    <w:div w:id="945117545">
      <w:marLeft w:val="480"/>
      <w:marRight w:val="0"/>
      <w:marTop w:val="0"/>
      <w:marBottom w:val="0"/>
      <w:divBdr>
        <w:top w:val="none" w:sz="0" w:space="0" w:color="auto"/>
        <w:left w:val="none" w:sz="0" w:space="0" w:color="auto"/>
        <w:bottom w:val="none" w:sz="0" w:space="0" w:color="auto"/>
        <w:right w:val="none" w:sz="0" w:space="0" w:color="auto"/>
      </w:divBdr>
    </w:div>
    <w:div w:id="945964666">
      <w:marLeft w:val="480"/>
      <w:marRight w:val="0"/>
      <w:marTop w:val="0"/>
      <w:marBottom w:val="0"/>
      <w:divBdr>
        <w:top w:val="none" w:sz="0" w:space="0" w:color="auto"/>
        <w:left w:val="none" w:sz="0" w:space="0" w:color="auto"/>
        <w:bottom w:val="none" w:sz="0" w:space="0" w:color="auto"/>
        <w:right w:val="none" w:sz="0" w:space="0" w:color="auto"/>
      </w:divBdr>
    </w:div>
    <w:div w:id="946693713">
      <w:marLeft w:val="480"/>
      <w:marRight w:val="0"/>
      <w:marTop w:val="0"/>
      <w:marBottom w:val="0"/>
      <w:divBdr>
        <w:top w:val="none" w:sz="0" w:space="0" w:color="auto"/>
        <w:left w:val="none" w:sz="0" w:space="0" w:color="auto"/>
        <w:bottom w:val="none" w:sz="0" w:space="0" w:color="auto"/>
        <w:right w:val="none" w:sz="0" w:space="0" w:color="auto"/>
      </w:divBdr>
    </w:div>
    <w:div w:id="950940191">
      <w:marLeft w:val="480"/>
      <w:marRight w:val="0"/>
      <w:marTop w:val="0"/>
      <w:marBottom w:val="0"/>
      <w:divBdr>
        <w:top w:val="none" w:sz="0" w:space="0" w:color="auto"/>
        <w:left w:val="none" w:sz="0" w:space="0" w:color="auto"/>
        <w:bottom w:val="none" w:sz="0" w:space="0" w:color="auto"/>
        <w:right w:val="none" w:sz="0" w:space="0" w:color="auto"/>
      </w:divBdr>
    </w:div>
    <w:div w:id="952786645">
      <w:marLeft w:val="480"/>
      <w:marRight w:val="0"/>
      <w:marTop w:val="0"/>
      <w:marBottom w:val="0"/>
      <w:divBdr>
        <w:top w:val="none" w:sz="0" w:space="0" w:color="auto"/>
        <w:left w:val="none" w:sz="0" w:space="0" w:color="auto"/>
        <w:bottom w:val="none" w:sz="0" w:space="0" w:color="auto"/>
        <w:right w:val="none" w:sz="0" w:space="0" w:color="auto"/>
      </w:divBdr>
    </w:div>
    <w:div w:id="954599225">
      <w:marLeft w:val="480"/>
      <w:marRight w:val="0"/>
      <w:marTop w:val="0"/>
      <w:marBottom w:val="0"/>
      <w:divBdr>
        <w:top w:val="none" w:sz="0" w:space="0" w:color="auto"/>
        <w:left w:val="none" w:sz="0" w:space="0" w:color="auto"/>
        <w:bottom w:val="none" w:sz="0" w:space="0" w:color="auto"/>
        <w:right w:val="none" w:sz="0" w:space="0" w:color="auto"/>
      </w:divBdr>
    </w:div>
    <w:div w:id="958486464">
      <w:marLeft w:val="480"/>
      <w:marRight w:val="0"/>
      <w:marTop w:val="0"/>
      <w:marBottom w:val="0"/>
      <w:divBdr>
        <w:top w:val="none" w:sz="0" w:space="0" w:color="auto"/>
        <w:left w:val="none" w:sz="0" w:space="0" w:color="auto"/>
        <w:bottom w:val="none" w:sz="0" w:space="0" w:color="auto"/>
        <w:right w:val="none" w:sz="0" w:space="0" w:color="auto"/>
      </w:divBdr>
    </w:div>
    <w:div w:id="960185561">
      <w:marLeft w:val="480"/>
      <w:marRight w:val="0"/>
      <w:marTop w:val="0"/>
      <w:marBottom w:val="0"/>
      <w:divBdr>
        <w:top w:val="none" w:sz="0" w:space="0" w:color="auto"/>
        <w:left w:val="none" w:sz="0" w:space="0" w:color="auto"/>
        <w:bottom w:val="none" w:sz="0" w:space="0" w:color="auto"/>
        <w:right w:val="none" w:sz="0" w:space="0" w:color="auto"/>
      </w:divBdr>
    </w:div>
    <w:div w:id="961031420">
      <w:marLeft w:val="480"/>
      <w:marRight w:val="0"/>
      <w:marTop w:val="0"/>
      <w:marBottom w:val="0"/>
      <w:divBdr>
        <w:top w:val="none" w:sz="0" w:space="0" w:color="auto"/>
        <w:left w:val="none" w:sz="0" w:space="0" w:color="auto"/>
        <w:bottom w:val="none" w:sz="0" w:space="0" w:color="auto"/>
        <w:right w:val="none" w:sz="0" w:space="0" w:color="auto"/>
      </w:divBdr>
    </w:div>
    <w:div w:id="961352080">
      <w:marLeft w:val="480"/>
      <w:marRight w:val="0"/>
      <w:marTop w:val="0"/>
      <w:marBottom w:val="0"/>
      <w:divBdr>
        <w:top w:val="none" w:sz="0" w:space="0" w:color="auto"/>
        <w:left w:val="none" w:sz="0" w:space="0" w:color="auto"/>
        <w:bottom w:val="none" w:sz="0" w:space="0" w:color="auto"/>
        <w:right w:val="none" w:sz="0" w:space="0" w:color="auto"/>
      </w:divBdr>
    </w:div>
    <w:div w:id="962232027">
      <w:marLeft w:val="480"/>
      <w:marRight w:val="0"/>
      <w:marTop w:val="0"/>
      <w:marBottom w:val="0"/>
      <w:divBdr>
        <w:top w:val="none" w:sz="0" w:space="0" w:color="auto"/>
        <w:left w:val="none" w:sz="0" w:space="0" w:color="auto"/>
        <w:bottom w:val="none" w:sz="0" w:space="0" w:color="auto"/>
        <w:right w:val="none" w:sz="0" w:space="0" w:color="auto"/>
      </w:divBdr>
    </w:div>
    <w:div w:id="963774075">
      <w:marLeft w:val="480"/>
      <w:marRight w:val="0"/>
      <w:marTop w:val="0"/>
      <w:marBottom w:val="0"/>
      <w:divBdr>
        <w:top w:val="none" w:sz="0" w:space="0" w:color="auto"/>
        <w:left w:val="none" w:sz="0" w:space="0" w:color="auto"/>
        <w:bottom w:val="none" w:sz="0" w:space="0" w:color="auto"/>
        <w:right w:val="none" w:sz="0" w:space="0" w:color="auto"/>
      </w:divBdr>
    </w:div>
    <w:div w:id="966007333">
      <w:marLeft w:val="480"/>
      <w:marRight w:val="0"/>
      <w:marTop w:val="0"/>
      <w:marBottom w:val="0"/>
      <w:divBdr>
        <w:top w:val="none" w:sz="0" w:space="0" w:color="auto"/>
        <w:left w:val="none" w:sz="0" w:space="0" w:color="auto"/>
        <w:bottom w:val="none" w:sz="0" w:space="0" w:color="auto"/>
        <w:right w:val="none" w:sz="0" w:space="0" w:color="auto"/>
      </w:divBdr>
    </w:div>
    <w:div w:id="966935727">
      <w:marLeft w:val="480"/>
      <w:marRight w:val="0"/>
      <w:marTop w:val="0"/>
      <w:marBottom w:val="0"/>
      <w:divBdr>
        <w:top w:val="none" w:sz="0" w:space="0" w:color="auto"/>
        <w:left w:val="none" w:sz="0" w:space="0" w:color="auto"/>
        <w:bottom w:val="none" w:sz="0" w:space="0" w:color="auto"/>
        <w:right w:val="none" w:sz="0" w:space="0" w:color="auto"/>
      </w:divBdr>
    </w:div>
    <w:div w:id="967975056">
      <w:marLeft w:val="480"/>
      <w:marRight w:val="0"/>
      <w:marTop w:val="0"/>
      <w:marBottom w:val="0"/>
      <w:divBdr>
        <w:top w:val="none" w:sz="0" w:space="0" w:color="auto"/>
        <w:left w:val="none" w:sz="0" w:space="0" w:color="auto"/>
        <w:bottom w:val="none" w:sz="0" w:space="0" w:color="auto"/>
        <w:right w:val="none" w:sz="0" w:space="0" w:color="auto"/>
      </w:divBdr>
    </w:div>
    <w:div w:id="968364368">
      <w:marLeft w:val="480"/>
      <w:marRight w:val="0"/>
      <w:marTop w:val="0"/>
      <w:marBottom w:val="0"/>
      <w:divBdr>
        <w:top w:val="none" w:sz="0" w:space="0" w:color="auto"/>
        <w:left w:val="none" w:sz="0" w:space="0" w:color="auto"/>
        <w:bottom w:val="none" w:sz="0" w:space="0" w:color="auto"/>
        <w:right w:val="none" w:sz="0" w:space="0" w:color="auto"/>
      </w:divBdr>
    </w:div>
    <w:div w:id="968708002">
      <w:marLeft w:val="480"/>
      <w:marRight w:val="0"/>
      <w:marTop w:val="0"/>
      <w:marBottom w:val="0"/>
      <w:divBdr>
        <w:top w:val="none" w:sz="0" w:space="0" w:color="auto"/>
        <w:left w:val="none" w:sz="0" w:space="0" w:color="auto"/>
        <w:bottom w:val="none" w:sz="0" w:space="0" w:color="auto"/>
        <w:right w:val="none" w:sz="0" w:space="0" w:color="auto"/>
      </w:divBdr>
    </w:div>
    <w:div w:id="970283472">
      <w:marLeft w:val="480"/>
      <w:marRight w:val="0"/>
      <w:marTop w:val="0"/>
      <w:marBottom w:val="0"/>
      <w:divBdr>
        <w:top w:val="none" w:sz="0" w:space="0" w:color="auto"/>
        <w:left w:val="none" w:sz="0" w:space="0" w:color="auto"/>
        <w:bottom w:val="none" w:sz="0" w:space="0" w:color="auto"/>
        <w:right w:val="none" w:sz="0" w:space="0" w:color="auto"/>
      </w:divBdr>
    </w:div>
    <w:div w:id="970670106">
      <w:marLeft w:val="480"/>
      <w:marRight w:val="0"/>
      <w:marTop w:val="0"/>
      <w:marBottom w:val="0"/>
      <w:divBdr>
        <w:top w:val="none" w:sz="0" w:space="0" w:color="auto"/>
        <w:left w:val="none" w:sz="0" w:space="0" w:color="auto"/>
        <w:bottom w:val="none" w:sz="0" w:space="0" w:color="auto"/>
        <w:right w:val="none" w:sz="0" w:space="0" w:color="auto"/>
      </w:divBdr>
    </w:div>
    <w:div w:id="971600122">
      <w:marLeft w:val="480"/>
      <w:marRight w:val="0"/>
      <w:marTop w:val="0"/>
      <w:marBottom w:val="0"/>
      <w:divBdr>
        <w:top w:val="none" w:sz="0" w:space="0" w:color="auto"/>
        <w:left w:val="none" w:sz="0" w:space="0" w:color="auto"/>
        <w:bottom w:val="none" w:sz="0" w:space="0" w:color="auto"/>
        <w:right w:val="none" w:sz="0" w:space="0" w:color="auto"/>
      </w:divBdr>
    </w:div>
    <w:div w:id="973945642">
      <w:marLeft w:val="480"/>
      <w:marRight w:val="0"/>
      <w:marTop w:val="0"/>
      <w:marBottom w:val="0"/>
      <w:divBdr>
        <w:top w:val="none" w:sz="0" w:space="0" w:color="auto"/>
        <w:left w:val="none" w:sz="0" w:space="0" w:color="auto"/>
        <w:bottom w:val="none" w:sz="0" w:space="0" w:color="auto"/>
        <w:right w:val="none" w:sz="0" w:space="0" w:color="auto"/>
      </w:divBdr>
    </w:div>
    <w:div w:id="974069282">
      <w:marLeft w:val="480"/>
      <w:marRight w:val="0"/>
      <w:marTop w:val="0"/>
      <w:marBottom w:val="0"/>
      <w:divBdr>
        <w:top w:val="none" w:sz="0" w:space="0" w:color="auto"/>
        <w:left w:val="none" w:sz="0" w:space="0" w:color="auto"/>
        <w:bottom w:val="none" w:sz="0" w:space="0" w:color="auto"/>
        <w:right w:val="none" w:sz="0" w:space="0" w:color="auto"/>
      </w:divBdr>
    </w:div>
    <w:div w:id="974524359">
      <w:marLeft w:val="480"/>
      <w:marRight w:val="0"/>
      <w:marTop w:val="0"/>
      <w:marBottom w:val="0"/>
      <w:divBdr>
        <w:top w:val="none" w:sz="0" w:space="0" w:color="auto"/>
        <w:left w:val="none" w:sz="0" w:space="0" w:color="auto"/>
        <w:bottom w:val="none" w:sz="0" w:space="0" w:color="auto"/>
        <w:right w:val="none" w:sz="0" w:space="0" w:color="auto"/>
      </w:divBdr>
    </w:div>
    <w:div w:id="975836707">
      <w:marLeft w:val="480"/>
      <w:marRight w:val="0"/>
      <w:marTop w:val="0"/>
      <w:marBottom w:val="0"/>
      <w:divBdr>
        <w:top w:val="none" w:sz="0" w:space="0" w:color="auto"/>
        <w:left w:val="none" w:sz="0" w:space="0" w:color="auto"/>
        <w:bottom w:val="none" w:sz="0" w:space="0" w:color="auto"/>
        <w:right w:val="none" w:sz="0" w:space="0" w:color="auto"/>
      </w:divBdr>
    </w:div>
    <w:div w:id="975914437">
      <w:marLeft w:val="480"/>
      <w:marRight w:val="0"/>
      <w:marTop w:val="0"/>
      <w:marBottom w:val="0"/>
      <w:divBdr>
        <w:top w:val="none" w:sz="0" w:space="0" w:color="auto"/>
        <w:left w:val="none" w:sz="0" w:space="0" w:color="auto"/>
        <w:bottom w:val="none" w:sz="0" w:space="0" w:color="auto"/>
        <w:right w:val="none" w:sz="0" w:space="0" w:color="auto"/>
      </w:divBdr>
    </w:div>
    <w:div w:id="977731687">
      <w:marLeft w:val="480"/>
      <w:marRight w:val="0"/>
      <w:marTop w:val="0"/>
      <w:marBottom w:val="0"/>
      <w:divBdr>
        <w:top w:val="none" w:sz="0" w:space="0" w:color="auto"/>
        <w:left w:val="none" w:sz="0" w:space="0" w:color="auto"/>
        <w:bottom w:val="none" w:sz="0" w:space="0" w:color="auto"/>
        <w:right w:val="none" w:sz="0" w:space="0" w:color="auto"/>
      </w:divBdr>
    </w:div>
    <w:div w:id="979260683">
      <w:marLeft w:val="480"/>
      <w:marRight w:val="0"/>
      <w:marTop w:val="0"/>
      <w:marBottom w:val="0"/>
      <w:divBdr>
        <w:top w:val="none" w:sz="0" w:space="0" w:color="auto"/>
        <w:left w:val="none" w:sz="0" w:space="0" w:color="auto"/>
        <w:bottom w:val="none" w:sz="0" w:space="0" w:color="auto"/>
        <w:right w:val="none" w:sz="0" w:space="0" w:color="auto"/>
      </w:divBdr>
    </w:div>
    <w:div w:id="979502310">
      <w:marLeft w:val="480"/>
      <w:marRight w:val="0"/>
      <w:marTop w:val="0"/>
      <w:marBottom w:val="0"/>
      <w:divBdr>
        <w:top w:val="none" w:sz="0" w:space="0" w:color="auto"/>
        <w:left w:val="none" w:sz="0" w:space="0" w:color="auto"/>
        <w:bottom w:val="none" w:sz="0" w:space="0" w:color="auto"/>
        <w:right w:val="none" w:sz="0" w:space="0" w:color="auto"/>
      </w:divBdr>
    </w:div>
    <w:div w:id="983317207">
      <w:marLeft w:val="480"/>
      <w:marRight w:val="0"/>
      <w:marTop w:val="0"/>
      <w:marBottom w:val="0"/>
      <w:divBdr>
        <w:top w:val="none" w:sz="0" w:space="0" w:color="auto"/>
        <w:left w:val="none" w:sz="0" w:space="0" w:color="auto"/>
        <w:bottom w:val="none" w:sz="0" w:space="0" w:color="auto"/>
        <w:right w:val="none" w:sz="0" w:space="0" w:color="auto"/>
      </w:divBdr>
    </w:div>
    <w:div w:id="984041300">
      <w:marLeft w:val="480"/>
      <w:marRight w:val="0"/>
      <w:marTop w:val="0"/>
      <w:marBottom w:val="0"/>
      <w:divBdr>
        <w:top w:val="none" w:sz="0" w:space="0" w:color="auto"/>
        <w:left w:val="none" w:sz="0" w:space="0" w:color="auto"/>
        <w:bottom w:val="none" w:sz="0" w:space="0" w:color="auto"/>
        <w:right w:val="none" w:sz="0" w:space="0" w:color="auto"/>
      </w:divBdr>
    </w:div>
    <w:div w:id="985821208">
      <w:marLeft w:val="480"/>
      <w:marRight w:val="0"/>
      <w:marTop w:val="0"/>
      <w:marBottom w:val="0"/>
      <w:divBdr>
        <w:top w:val="none" w:sz="0" w:space="0" w:color="auto"/>
        <w:left w:val="none" w:sz="0" w:space="0" w:color="auto"/>
        <w:bottom w:val="none" w:sz="0" w:space="0" w:color="auto"/>
        <w:right w:val="none" w:sz="0" w:space="0" w:color="auto"/>
      </w:divBdr>
    </w:div>
    <w:div w:id="989939319">
      <w:marLeft w:val="480"/>
      <w:marRight w:val="0"/>
      <w:marTop w:val="0"/>
      <w:marBottom w:val="0"/>
      <w:divBdr>
        <w:top w:val="none" w:sz="0" w:space="0" w:color="auto"/>
        <w:left w:val="none" w:sz="0" w:space="0" w:color="auto"/>
        <w:bottom w:val="none" w:sz="0" w:space="0" w:color="auto"/>
        <w:right w:val="none" w:sz="0" w:space="0" w:color="auto"/>
      </w:divBdr>
    </w:div>
    <w:div w:id="991711043">
      <w:marLeft w:val="480"/>
      <w:marRight w:val="0"/>
      <w:marTop w:val="0"/>
      <w:marBottom w:val="0"/>
      <w:divBdr>
        <w:top w:val="none" w:sz="0" w:space="0" w:color="auto"/>
        <w:left w:val="none" w:sz="0" w:space="0" w:color="auto"/>
        <w:bottom w:val="none" w:sz="0" w:space="0" w:color="auto"/>
        <w:right w:val="none" w:sz="0" w:space="0" w:color="auto"/>
      </w:divBdr>
    </w:div>
    <w:div w:id="993410672">
      <w:marLeft w:val="480"/>
      <w:marRight w:val="0"/>
      <w:marTop w:val="0"/>
      <w:marBottom w:val="0"/>
      <w:divBdr>
        <w:top w:val="none" w:sz="0" w:space="0" w:color="auto"/>
        <w:left w:val="none" w:sz="0" w:space="0" w:color="auto"/>
        <w:bottom w:val="none" w:sz="0" w:space="0" w:color="auto"/>
        <w:right w:val="none" w:sz="0" w:space="0" w:color="auto"/>
      </w:divBdr>
    </w:div>
    <w:div w:id="994265778">
      <w:marLeft w:val="480"/>
      <w:marRight w:val="0"/>
      <w:marTop w:val="0"/>
      <w:marBottom w:val="0"/>
      <w:divBdr>
        <w:top w:val="none" w:sz="0" w:space="0" w:color="auto"/>
        <w:left w:val="none" w:sz="0" w:space="0" w:color="auto"/>
        <w:bottom w:val="none" w:sz="0" w:space="0" w:color="auto"/>
        <w:right w:val="none" w:sz="0" w:space="0" w:color="auto"/>
      </w:divBdr>
    </w:div>
    <w:div w:id="996685640">
      <w:marLeft w:val="480"/>
      <w:marRight w:val="0"/>
      <w:marTop w:val="0"/>
      <w:marBottom w:val="0"/>
      <w:divBdr>
        <w:top w:val="none" w:sz="0" w:space="0" w:color="auto"/>
        <w:left w:val="none" w:sz="0" w:space="0" w:color="auto"/>
        <w:bottom w:val="none" w:sz="0" w:space="0" w:color="auto"/>
        <w:right w:val="none" w:sz="0" w:space="0" w:color="auto"/>
      </w:divBdr>
    </w:div>
    <w:div w:id="997999576">
      <w:marLeft w:val="480"/>
      <w:marRight w:val="0"/>
      <w:marTop w:val="0"/>
      <w:marBottom w:val="0"/>
      <w:divBdr>
        <w:top w:val="none" w:sz="0" w:space="0" w:color="auto"/>
        <w:left w:val="none" w:sz="0" w:space="0" w:color="auto"/>
        <w:bottom w:val="none" w:sz="0" w:space="0" w:color="auto"/>
        <w:right w:val="none" w:sz="0" w:space="0" w:color="auto"/>
      </w:divBdr>
    </w:div>
    <w:div w:id="998000476">
      <w:marLeft w:val="480"/>
      <w:marRight w:val="0"/>
      <w:marTop w:val="0"/>
      <w:marBottom w:val="0"/>
      <w:divBdr>
        <w:top w:val="none" w:sz="0" w:space="0" w:color="auto"/>
        <w:left w:val="none" w:sz="0" w:space="0" w:color="auto"/>
        <w:bottom w:val="none" w:sz="0" w:space="0" w:color="auto"/>
        <w:right w:val="none" w:sz="0" w:space="0" w:color="auto"/>
      </w:divBdr>
    </w:div>
    <w:div w:id="998271795">
      <w:marLeft w:val="480"/>
      <w:marRight w:val="0"/>
      <w:marTop w:val="0"/>
      <w:marBottom w:val="0"/>
      <w:divBdr>
        <w:top w:val="none" w:sz="0" w:space="0" w:color="auto"/>
        <w:left w:val="none" w:sz="0" w:space="0" w:color="auto"/>
        <w:bottom w:val="none" w:sz="0" w:space="0" w:color="auto"/>
        <w:right w:val="none" w:sz="0" w:space="0" w:color="auto"/>
      </w:divBdr>
    </w:div>
    <w:div w:id="1001591272">
      <w:marLeft w:val="480"/>
      <w:marRight w:val="0"/>
      <w:marTop w:val="0"/>
      <w:marBottom w:val="0"/>
      <w:divBdr>
        <w:top w:val="none" w:sz="0" w:space="0" w:color="auto"/>
        <w:left w:val="none" w:sz="0" w:space="0" w:color="auto"/>
        <w:bottom w:val="none" w:sz="0" w:space="0" w:color="auto"/>
        <w:right w:val="none" w:sz="0" w:space="0" w:color="auto"/>
      </w:divBdr>
    </w:div>
    <w:div w:id="1001662467">
      <w:marLeft w:val="480"/>
      <w:marRight w:val="0"/>
      <w:marTop w:val="0"/>
      <w:marBottom w:val="0"/>
      <w:divBdr>
        <w:top w:val="none" w:sz="0" w:space="0" w:color="auto"/>
        <w:left w:val="none" w:sz="0" w:space="0" w:color="auto"/>
        <w:bottom w:val="none" w:sz="0" w:space="0" w:color="auto"/>
        <w:right w:val="none" w:sz="0" w:space="0" w:color="auto"/>
      </w:divBdr>
    </w:div>
    <w:div w:id="1005666919">
      <w:marLeft w:val="480"/>
      <w:marRight w:val="0"/>
      <w:marTop w:val="0"/>
      <w:marBottom w:val="0"/>
      <w:divBdr>
        <w:top w:val="none" w:sz="0" w:space="0" w:color="auto"/>
        <w:left w:val="none" w:sz="0" w:space="0" w:color="auto"/>
        <w:bottom w:val="none" w:sz="0" w:space="0" w:color="auto"/>
        <w:right w:val="none" w:sz="0" w:space="0" w:color="auto"/>
      </w:divBdr>
    </w:div>
    <w:div w:id="1007825004">
      <w:marLeft w:val="480"/>
      <w:marRight w:val="0"/>
      <w:marTop w:val="0"/>
      <w:marBottom w:val="0"/>
      <w:divBdr>
        <w:top w:val="none" w:sz="0" w:space="0" w:color="auto"/>
        <w:left w:val="none" w:sz="0" w:space="0" w:color="auto"/>
        <w:bottom w:val="none" w:sz="0" w:space="0" w:color="auto"/>
        <w:right w:val="none" w:sz="0" w:space="0" w:color="auto"/>
      </w:divBdr>
    </w:div>
    <w:div w:id="1008601330">
      <w:marLeft w:val="480"/>
      <w:marRight w:val="0"/>
      <w:marTop w:val="0"/>
      <w:marBottom w:val="0"/>
      <w:divBdr>
        <w:top w:val="none" w:sz="0" w:space="0" w:color="auto"/>
        <w:left w:val="none" w:sz="0" w:space="0" w:color="auto"/>
        <w:bottom w:val="none" w:sz="0" w:space="0" w:color="auto"/>
        <w:right w:val="none" w:sz="0" w:space="0" w:color="auto"/>
      </w:divBdr>
    </w:div>
    <w:div w:id="1009260511">
      <w:marLeft w:val="480"/>
      <w:marRight w:val="0"/>
      <w:marTop w:val="0"/>
      <w:marBottom w:val="0"/>
      <w:divBdr>
        <w:top w:val="none" w:sz="0" w:space="0" w:color="auto"/>
        <w:left w:val="none" w:sz="0" w:space="0" w:color="auto"/>
        <w:bottom w:val="none" w:sz="0" w:space="0" w:color="auto"/>
        <w:right w:val="none" w:sz="0" w:space="0" w:color="auto"/>
      </w:divBdr>
    </w:div>
    <w:div w:id="1009412285">
      <w:marLeft w:val="480"/>
      <w:marRight w:val="0"/>
      <w:marTop w:val="0"/>
      <w:marBottom w:val="0"/>
      <w:divBdr>
        <w:top w:val="none" w:sz="0" w:space="0" w:color="auto"/>
        <w:left w:val="none" w:sz="0" w:space="0" w:color="auto"/>
        <w:bottom w:val="none" w:sz="0" w:space="0" w:color="auto"/>
        <w:right w:val="none" w:sz="0" w:space="0" w:color="auto"/>
      </w:divBdr>
    </w:div>
    <w:div w:id="1009481967">
      <w:marLeft w:val="480"/>
      <w:marRight w:val="0"/>
      <w:marTop w:val="0"/>
      <w:marBottom w:val="0"/>
      <w:divBdr>
        <w:top w:val="none" w:sz="0" w:space="0" w:color="auto"/>
        <w:left w:val="none" w:sz="0" w:space="0" w:color="auto"/>
        <w:bottom w:val="none" w:sz="0" w:space="0" w:color="auto"/>
        <w:right w:val="none" w:sz="0" w:space="0" w:color="auto"/>
      </w:divBdr>
    </w:div>
    <w:div w:id="1010982607">
      <w:marLeft w:val="480"/>
      <w:marRight w:val="0"/>
      <w:marTop w:val="0"/>
      <w:marBottom w:val="0"/>
      <w:divBdr>
        <w:top w:val="none" w:sz="0" w:space="0" w:color="auto"/>
        <w:left w:val="none" w:sz="0" w:space="0" w:color="auto"/>
        <w:bottom w:val="none" w:sz="0" w:space="0" w:color="auto"/>
        <w:right w:val="none" w:sz="0" w:space="0" w:color="auto"/>
      </w:divBdr>
    </w:div>
    <w:div w:id="1013579879">
      <w:marLeft w:val="480"/>
      <w:marRight w:val="0"/>
      <w:marTop w:val="0"/>
      <w:marBottom w:val="0"/>
      <w:divBdr>
        <w:top w:val="none" w:sz="0" w:space="0" w:color="auto"/>
        <w:left w:val="none" w:sz="0" w:space="0" w:color="auto"/>
        <w:bottom w:val="none" w:sz="0" w:space="0" w:color="auto"/>
        <w:right w:val="none" w:sz="0" w:space="0" w:color="auto"/>
      </w:divBdr>
    </w:div>
    <w:div w:id="1013845813">
      <w:marLeft w:val="480"/>
      <w:marRight w:val="0"/>
      <w:marTop w:val="0"/>
      <w:marBottom w:val="0"/>
      <w:divBdr>
        <w:top w:val="none" w:sz="0" w:space="0" w:color="auto"/>
        <w:left w:val="none" w:sz="0" w:space="0" w:color="auto"/>
        <w:bottom w:val="none" w:sz="0" w:space="0" w:color="auto"/>
        <w:right w:val="none" w:sz="0" w:space="0" w:color="auto"/>
      </w:divBdr>
    </w:div>
    <w:div w:id="1013999223">
      <w:marLeft w:val="480"/>
      <w:marRight w:val="0"/>
      <w:marTop w:val="0"/>
      <w:marBottom w:val="0"/>
      <w:divBdr>
        <w:top w:val="none" w:sz="0" w:space="0" w:color="auto"/>
        <w:left w:val="none" w:sz="0" w:space="0" w:color="auto"/>
        <w:bottom w:val="none" w:sz="0" w:space="0" w:color="auto"/>
        <w:right w:val="none" w:sz="0" w:space="0" w:color="auto"/>
      </w:divBdr>
    </w:div>
    <w:div w:id="1014263378">
      <w:marLeft w:val="480"/>
      <w:marRight w:val="0"/>
      <w:marTop w:val="0"/>
      <w:marBottom w:val="0"/>
      <w:divBdr>
        <w:top w:val="none" w:sz="0" w:space="0" w:color="auto"/>
        <w:left w:val="none" w:sz="0" w:space="0" w:color="auto"/>
        <w:bottom w:val="none" w:sz="0" w:space="0" w:color="auto"/>
        <w:right w:val="none" w:sz="0" w:space="0" w:color="auto"/>
      </w:divBdr>
    </w:div>
    <w:div w:id="1015695985">
      <w:marLeft w:val="480"/>
      <w:marRight w:val="0"/>
      <w:marTop w:val="0"/>
      <w:marBottom w:val="0"/>
      <w:divBdr>
        <w:top w:val="none" w:sz="0" w:space="0" w:color="auto"/>
        <w:left w:val="none" w:sz="0" w:space="0" w:color="auto"/>
        <w:bottom w:val="none" w:sz="0" w:space="0" w:color="auto"/>
        <w:right w:val="none" w:sz="0" w:space="0" w:color="auto"/>
      </w:divBdr>
    </w:div>
    <w:div w:id="1018310294">
      <w:marLeft w:val="480"/>
      <w:marRight w:val="0"/>
      <w:marTop w:val="0"/>
      <w:marBottom w:val="0"/>
      <w:divBdr>
        <w:top w:val="none" w:sz="0" w:space="0" w:color="auto"/>
        <w:left w:val="none" w:sz="0" w:space="0" w:color="auto"/>
        <w:bottom w:val="none" w:sz="0" w:space="0" w:color="auto"/>
        <w:right w:val="none" w:sz="0" w:space="0" w:color="auto"/>
      </w:divBdr>
    </w:div>
    <w:div w:id="1020661051">
      <w:marLeft w:val="480"/>
      <w:marRight w:val="0"/>
      <w:marTop w:val="0"/>
      <w:marBottom w:val="0"/>
      <w:divBdr>
        <w:top w:val="none" w:sz="0" w:space="0" w:color="auto"/>
        <w:left w:val="none" w:sz="0" w:space="0" w:color="auto"/>
        <w:bottom w:val="none" w:sz="0" w:space="0" w:color="auto"/>
        <w:right w:val="none" w:sz="0" w:space="0" w:color="auto"/>
      </w:divBdr>
    </w:div>
    <w:div w:id="1020934812">
      <w:marLeft w:val="480"/>
      <w:marRight w:val="0"/>
      <w:marTop w:val="0"/>
      <w:marBottom w:val="0"/>
      <w:divBdr>
        <w:top w:val="none" w:sz="0" w:space="0" w:color="auto"/>
        <w:left w:val="none" w:sz="0" w:space="0" w:color="auto"/>
        <w:bottom w:val="none" w:sz="0" w:space="0" w:color="auto"/>
        <w:right w:val="none" w:sz="0" w:space="0" w:color="auto"/>
      </w:divBdr>
    </w:div>
    <w:div w:id="1021203623">
      <w:marLeft w:val="480"/>
      <w:marRight w:val="0"/>
      <w:marTop w:val="0"/>
      <w:marBottom w:val="0"/>
      <w:divBdr>
        <w:top w:val="none" w:sz="0" w:space="0" w:color="auto"/>
        <w:left w:val="none" w:sz="0" w:space="0" w:color="auto"/>
        <w:bottom w:val="none" w:sz="0" w:space="0" w:color="auto"/>
        <w:right w:val="none" w:sz="0" w:space="0" w:color="auto"/>
      </w:divBdr>
    </w:div>
    <w:div w:id="1024359037">
      <w:marLeft w:val="480"/>
      <w:marRight w:val="0"/>
      <w:marTop w:val="0"/>
      <w:marBottom w:val="0"/>
      <w:divBdr>
        <w:top w:val="none" w:sz="0" w:space="0" w:color="auto"/>
        <w:left w:val="none" w:sz="0" w:space="0" w:color="auto"/>
        <w:bottom w:val="none" w:sz="0" w:space="0" w:color="auto"/>
        <w:right w:val="none" w:sz="0" w:space="0" w:color="auto"/>
      </w:divBdr>
    </w:div>
    <w:div w:id="1040057642">
      <w:marLeft w:val="480"/>
      <w:marRight w:val="0"/>
      <w:marTop w:val="0"/>
      <w:marBottom w:val="0"/>
      <w:divBdr>
        <w:top w:val="none" w:sz="0" w:space="0" w:color="auto"/>
        <w:left w:val="none" w:sz="0" w:space="0" w:color="auto"/>
        <w:bottom w:val="none" w:sz="0" w:space="0" w:color="auto"/>
        <w:right w:val="none" w:sz="0" w:space="0" w:color="auto"/>
      </w:divBdr>
    </w:div>
    <w:div w:id="1041829001">
      <w:marLeft w:val="480"/>
      <w:marRight w:val="0"/>
      <w:marTop w:val="0"/>
      <w:marBottom w:val="0"/>
      <w:divBdr>
        <w:top w:val="none" w:sz="0" w:space="0" w:color="auto"/>
        <w:left w:val="none" w:sz="0" w:space="0" w:color="auto"/>
        <w:bottom w:val="none" w:sz="0" w:space="0" w:color="auto"/>
        <w:right w:val="none" w:sz="0" w:space="0" w:color="auto"/>
      </w:divBdr>
    </w:div>
    <w:div w:id="1041978398">
      <w:marLeft w:val="480"/>
      <w:marRight w:val="0"/>
      <w:marTop w:val="0"/>
      <w:marBottom w:val="0"/>
      <w:divBdr>
        <w:top w:val="none" w:sz="0" w:space="0" w:color="auto"/>
        <w:left w:val="none" w:sz="0" w:space="0" w:color="auto"/>
        <w:bottom w:val="none" w:sz="0" w:space="0" w:color="auto"/>
        <w:right w:val="none" w:sz="0" w:space="0" w:color="auto"/>
      </w:divBdr>
    </w:div>
    <w:div w:id="1044600762">
      <w:marLeft w:val="480"/>
      <w:marRight w:val="0"/>
      <w:marTop w:val="0"/>
      <w:marBottom w:val="0"/>
      <w:divBdr>
        <w:top w:val="none" w:sz="0" w:space="0" w:color="auto"/>
        <w:left w:val="none" w:sz="0" w:space="0" w:color="auto"/>
        <w:bottom w:val="none" w:sz="0" w:space="0" w:color="auto"/>
        <w:right w:val="none" w:sz="0" w:space="0" w:color="auto"/>
      </w:divBdr>
    </w:div>
    <w:div w:id="1045986676">
      <w:marLeft w:val="480"/>
      <w:marRight w:val="0"/>
      <w:marTop w:val="0"/>
      <w:marBottom w:val="0"/>
      <w:divBdr>
        <w:top w:val="none" w:sz="0" w:space="0" w:color="auto"/>
        <w:left w:val="none" w:sz="0" w:space="0" w:color="auto"/>
        <w:bottom w:val="none" w:sz="0" w:space="0" w:color="auto"/>
        <w:right w:val="none" w:sz="0" w:space="0" w:color="auto"/>
      </w:divBdr>
    </w:div>
    <w:div w:id="1047028045">
      <w:marLeft w:val="480"/>
      <w:marRight w:val="0"/>
      <w:marTop w:val="0"/>
      <w:marBottom w:val="0"/>
      <w:divBdr>
        <w:top w:val="none" w:sz="0" w:space="0" w:color="auto"/>
        <w:left w:val="none" w:sz="0" w:space="0" w:color="auto"/>
        <w:bottom w:val="none" w:sz="0" w:space="0" w:color="auto"/>
        <w:right w:val="none" w:sz="0" w:space="0" w:color="auto"/>
      </w:divBdr>
    </w:div>
    <w:div w:id="1047097326">
      <w:marLeft w:val="480"/>
      <w:marRight w:val="0"/>
      <w:marTop w:val="0"/>
      <w:marBottom w:val="0"/>
      <w:divBdr>
        <w:top w:val="none" w:sz="0" w:space="0" w:color="auto"/>
        <w:left w:val="none" w:sz="0" w:space="0" w:color="auto"/>
        <w:bottom w:val="none" w:sz="0" w:space="0" w:color="auto"/>
        <w:right w:val="none" w:sz="0" w:space="0" w:color="auto"/>
      </w:divBdr>
    </w:div>
    <w:div w:id="1047800859">
      <w:marLeft w:val="480"/>
      <w:marRight w:val="0"/>
      <w:marTop w:val="0"/>
      <w:marBottom w:val="0"/>
      <w:divBdr>
        <w:top w:val="none" w:sz="0" w:space="0" w:color="auto"/>
        <w:left w:val="none" w:sz="0" w:space="0" w:color="auto"/>
        <w:bottom w:val="none" w:sz="0" w:space="0" w:color="auto"/>
        <w:right w:val="none" w:sz="0" w:space="0" w:color="auto"/>
      </w:divBdr>
    </w:div>
    <w:div w:id="1048844063">
      <w:marLeft w:val="480"/>
      <w:marRight w:val="0"/>
      <w:marTop w:val="0"/>
      <w:marBottom w:val="0"/>
      <w:divBdr>
        <w:top w:val="none" w:sz="0" w:space="0" w:color="auto"/>
        <w:left w:val="none" w:sz="0" w:space="0" w:color="auto"/>
        <w:bottom w:val="none" w:sz="0" w:space="0" w:color="auto"/>
        <w:right w:val="none" w:sz="0" w:space="0" w:color="auto"/>
      </w:divBdr>
    </w:div>
    <w:div w:id="1049112102">
      <w:marLeft w:val="480"/>
      <w:marRight w:val="0"/>
      <w:marTop w:val="0"/>
      <w:marBottom w:val="0"/>
      <w:divBdr>
        <w:top w:val="none" w:sz="0" w:space="0" w:color="auto"/>
        <w:left w:val="none" w:sz="0" w:space="0" w:color="auto"/>
        <w:bottom w:val="none" w:sz="0" w:space="0" w:color="auto"/>
        <w:right w:val="none" w:sz="0" w:space="0" w:color="auto"/>
      </w:divBdr>
    </w:div>
    <w:div w:id="1049299085">
      <w:marLeft w:val="480"/>
      <w:marRight w:val="0"/>
      <w:marTop w:val="0"/>
      <w:marBottom w:val="0"/>
      <w:divBdr>
        <w:top w:val="none" w:sz="0" w:space="0" w:color="auto"/>
        <w:left w:val="none" w:sz="0" w:space="0" w:color="auto"/>
        <w:bottom w:val="none" w:sz="0" w:space="0" w:color="auto"/>
        <w:right w:val="none" w:sz="0" w:space="0" w:color="auto"/>
      </w:divBdr>
    </w:div>
    <w:div w:id="1050496865">
      <w:marLeft w:val="480"/>
      <w:marRight w:val="0"/>
      <w:marTop w:val="0"/>
      <w:marBottom w:val="0"/>
      <w:divBdr>
        <w:top w:val="none" w:sz="0" w:space="0" w:color="auto"/>
        <w:left w:val="none" w:sz="0" w:space="0" w:color="auto"/>
        <w:bottom w:val="none" w:sz="0" w:space="0" w:color="auto"/>
        <w:right w:val="none" w:sz="0" w:space="0" w:color="auto"/>
      </w:divBdr>
    </w:div>
    <w:div w:id="1054238714">
      <w:marLeft w:val="480"/>
      <w:marRight w:val="0"/>
      <w:marTop w:val="0"/>
      <w:marBottom w:val="0"/>
      <w:divBdr>
        <w:top w:val="none" w:sz="0" w:space="0" w:color="auto"/>
        <w:left w:val="none" w:sz="0" w:space="0" w:color="auto"/>
        <w:bottom w:val="none" w:sz="0" w:space="0" w:color="auto"/>
        <w:right w:val="none" w:sz="0" w:space="0" w:color="auto"/>
      </w:divBdr>
    </w:div>
    <w:div w:id="1055156564">
      <w:marLeft w:val="480"/>
      <w:marRight w:val="0"/>
      <w:marTop w:val="0"/>
      <w:marBottom w:val="0"/>
      <w:divBdr>
        <w:top w:val="none" w:sz="0" w:space="0" w:color="auto"/>
        <w:left w:val="none" w:sz="0" w:space="0" w:color="auto"/>
        <w:bottom w:val="none" w:sz="0" w:space="0" w:color="auto"/>
        <w:right w:val="none" w:sz="0" w:space="0" w:color="auto"/>
      </w:divBdr>
    </w:div>
    <w:div w:id="1055660875">
      <w:marLeft w:val="480"/>
      <w:marRight w:val="0"/>
      <w:marTop w:val="0"/>
      <w:marBottom w:val="0"/>
      <w:divBdr>
        <w:top w:val="none" w:sz="0" w:space="0" w:color="auto"/>
        <w:left w:val="none" w:sz="0" w:space="0" w:color="auto"/>
        <w:bottom w:val="none" w:sz="0" w:space="0" w:color="auto"/>
        <w:right w:val="none" w:sz="0" w:space="0" w:color="auto"/>
      </w:divBdr>
    </w:div>
    <w:div w:id="1055742595">
      <w:marLeft w:val="480"/>
      <w:marRight w:val="0"/>
      <w:marTop w:val="0"/>
      <w:marBottom w:val="0"/>
      <w:divBdr>
        <w:top w:val="none" w:sz="0" w:space="0" w:color="auto"/>
        <w:left w:val="none" w:sz="0" w:space="0" w:color="auto"/>
        <w:bottom w:val="none" w:sz="0" w:space="0" w:color="auto"/>
        <w:right w:val="none" w:sz="0" w:space="0" w:color="auto"/>
      </w:divBdr>
    </w:div>
    <w:div w:id="1061557872">
      <w:marLeft w:val="480"/>
      <w:marRight w:val="0"/>
      <w:marTop w:val="0"/>
      <w:marBottom w:val="0"/>
      <w:divBdr>
        <w:top w:val="none" w:sz="0" w:space="0" w:color="auto"/>
        <w:left w:val="none" w:sz="0" w:space="0" w:color="auto"/>
        <w:bottom w:val="none" w:sz="0" w:space="0" w:color="auto"/>
        <w:right w:val="none" w:sz="0" w:space="0" w:color="auto"/>
      </w:divBdr>
    </w:div>
    <w:div w:id="1062022513">
      <w:marLeft w:val="480"/>
      <w:marRight w:val="0"/>
      <w:marTop w:val="0"/>
      <w:marBottom w:val="0"/>
      <w:divBdr>
        <w:top w:val="none" w:sz="0" w:space="0" w:color="auto"/>
        <w:left w:val="none" w:sz="0" w:space="0" w:color="auto"/>
        <w:bottom w:val="none" w:sz="0" w:space="0" w:color="auto"/>
        <w:right w:val="none" w:sz="0" w:space="0" w:color="auto"/>
      </w:divBdr>
    </w:div>
    <w:div w:id="1068303096">
      <w:marLeft w:val="480"/>
      <w:marRight w:val="0"/>
      <w:marTop w:val="0"/>
      <w:marBottom w:val="0"/>
      <w:divBdr>
        <w:top w:val="none" w:sz="0" w:space="0" w:color="auto"/>
        <w:left w:val="none" w:sz="0" w:space="0" w:color="auto"/>
        <w:bottom w:val="none" w:sz="0" w:space="0" w:color="auto"/>
        <w:right w:val="none" w:sz="0" w:space="0" w:color="auto"/>
      </w:divBdr>
    </w:div>
    <w:div w:id="1068653617">
      <w:marLeft w:val="480"/>
      <w:marRight w:val="0"/>
      <w:marTop w:val="0"/>
      <w:marBottom w:val="0"/>
      <w:divBdr>
        <w:top w:val="none" w:sz="0" w:space="0" w:color="auto"/>
        <w:left w:val="none" w:sz="0" w:space="0" w:color="auto"/>
        <w:bottom w:val="none" w:sz="0" w:space="0" w:color="auto"/>
        <w:right w:val="none" w:sz="0" w:space="0" w:color="auto"/>
      </w:divBdr>
    </w:div>
    <w:div w:id="1069156088">
      <w:marLeft w:val="480"/>
      <w:marRight w:val="0"/>
      <w:marTop w:val="0"/>
      <w:marBottom w:val="0"/>
      <w:divBdr>
        <w:top w:val="none" w:sz="0" w:space="0" w:color="auto"/>
        <w:left w:val="none" w:sz="0" w:space="0" w:color="auto"/>
        <w:bottom w:val="none" w:sz="0" w:space="0" w:color="auto"/>
        <w:right w:val="none" w:sz="0" w:space="0" w:color="auto"/>
      </w:divBdr>
    </w:div>
    <w:div w:id="1071192187">
      <w:marLeft w:val="480"/>
      <w:marRight w:val="0"/>
      <w:marTop w:val="0"/>
      <w:marBottom w:val="0"/>
      <w:divBdr>
        <w:top w:val="none" w:sz="0" w:space="0" w:color="auto"/>
        <w:left w:val="none" w:sz="0" w:space="0" w:color="auto"/>
        <w:bottom w:val="none" w:sz="0" w:space="0" w:color="auto"/>
        <w:right w:val="none" w:sz="0" w:space="0" w:color="auto"/>
      </w:divBdr>
    </w:div>
    <w:div w:id="1073232841">
      <w:marLeft w:val="480"/>
      <w:marRight w:val="0"/>
      <w:marTop w:val="0"/>
      <w:marBottom w:val="0"/>
      <w:divBdr>
        <w:top w:val="none" w:sz="0" w:space="0" w:color="auto"/>
        <w:left w:val="none" w:sz="0" w:space="0" w:color="auto"/>
        <w:bottom w:val="none" w:sz="0" w:space="0" w:color="auto"/>
        <w:right w:val="none" w:sz="0" w:space="0" w:color="auto"/>
      </w:divBdr>
    </w:div>
    <w:div w:id="1074232691">
      <w:marLeft w:val="480"/>
      <w:marRight w:val="0"/>
      <w:marTop w:val="0"/>
      <w:marBottom w:val="0"/>
      <w:divBdr>
        <w:top w:val="none" w:sz="0" w:space="0" w:color="auto"/>
        <w:left w:val="none" w:sz="0" w:space="0" w:color="auto"/>
        <w:bottom w:val="none" w:sz="0" w:space="0" w:color="auto"/>
        <w:right w:val="none" w:sz="0" w:space="0" w:color="auto"/>
      </w:divBdr>
    </w:div>
    <w:div w:id="1074544264">
      <w:marLeft w:val="480"/>
      <w:marRight w:val="0"/>
      <w:marTop w:val="0"/>
      <w:marBottom w:val="0"/>
      <w:divBdr>
        <w:top w:val="none" w:sz="0" w:space="0" w:color="auto"/>
        <w:left w:val="none" w:sz="0" w:space="0" w:color="auto"/>
        <w:bottom w:val="none" w:sz="0" w:space="0" w:color="auto"/>
        <w:right w:val="none" w:sz="0" w:space="0" w:color="auto"/>
      </w:divBdr>
    </w:div>
    <w:div w:id="1076198570">
      <w:marLeft w:val="480"/>
      <w:marRight w:val="0"/>
      <w:marTop w:val="0"/>
      <w:marBottom w:val="0"/>
      <w:divBdr>
        <w:top w:val="none" w:sz="0" w:space="0" w:color="auto"/>
        <w:left w:val="none" w:sz="0" w:space="0" w:color="auto"/>
        <w:bottom w:val="none" w:sz="0" w:space="0" w:color="auto"/>
        <w:right w:val="none" w:sz="0" w:space="0" w:color="auto"/>
      </w:divBdr>
    </w:div>
    <w:div w:id="1076586379">
      <w:marLeft w:val="480"/>
      <w:marRight w:val="0"/>
      <w:marTop w:val="0"/>
      <w:marBottom w:val="0"/>
      <w:divBdr>
        <w:top w:val="none" w:sz="0" w:space="0" w:color="auto"/>
        <w:left w:val="none" w:sz="0" w:space="0" w:color="auto"/>
        <w:bottom w:val="none" w:sz="0" w:space="0" w:color="auto"/>
        <w:right w:val="none" w:sz="0" w:space="0" w:color="auto"/>
      </w:divBdr>
    </w:div>
    <w:div w:id="1077090746">
      <w:marLeft w:val="480"/>
      <w:marRight w:val="0"/>
      <w:marTop w:val="0"/>
      <w:marBottom w:val="0"/>
      <w:divBdr>
        <w:top w:val="none" w:sz="0" w:space="0" w:color="auto"/>
        <w:left w:val="none" w:sz="0" w:space="0" w:color="auto"/>
        <w:bottom w:val="none" w:sz="0" w:space="0" w:color="auto"/>
        <w:right w:val="none" w:sz="0" w:space="0" w:color="auto"/>
      </w:divBdr>
    </w:div>
    <w:div w:id="1078407036">
      <w:marLeft w:val="480"/>
      <w:marRight w:val="0"/>
      <w:marTop w:val="0"/>
      <w:marBottom w:val="0"/>
      <w:divBdr>
        <w:top w:val="none" w:sz="0" w:space="0" w:color="auto"/>
        <w:left w:val="none" w:sz="0" w:space="0" w:color="auto"/>
        <w:bottom w:val="none" w:sz="0" w:space="0" w:color="auto"/>
        <w:right w:val="none" w:sz="0" w:space="0" w:color="auto"/>
      </w:divBdr>
    </w:div>
    <w:div w:id="1080443517">
      <w:marLeft w:val="480"/>
      <w:marRight w:val="0"/>
      <w:marTop w:val="0"/>
      <w:marBottom w:val="0"/>
      <w:divBdr>
        <w:top w:val="none" w:sz="0" w:space="0" w:color="auto"/>
        <w:left w:val="none" w:sz="0" w:space="0" w:color="auto"/>
        <w:bottom w:val="none" w:sz="0" w:space="0" w:color="auto"/>
        <w:right w:val="none" w:sz="0" w:space="0" w:color="auto"/>
      </w:divBdr>
    </w:div>
    <w:div w:id="1082333640">
      <w:marLeft w:val="480"/>
      <w:marRight w:val="0"/>
      <w:marTop w:val="0"/>
      <w:marBottom w:val="0"/>
      <w:divBdr>
        <w:top w:val="none" w:sz="0" w:space="0" w:color="auto"/>
        <w:left w:val="none" w:sz="0" w:space="0" w:color="auto"/>
        <w:bottom w:val="none" w:sz="0" w:space="0" w:color="auto"/>
        <w:right w:val="none" w:sz="0" w:space="0" w:color="auto"/>
      </w:divBdr>
    </w:div>
    <w:div w:id="1086226395">
      <w:marLeft w:val="480"/>
      <w:marRight w:val="0"/>
      <w:marTop w:val="0"/>
      <w:marBottom w:val="0"/>
      <w:divBdr>
        <w:top w:val="none" w:sz="0" w:space="0" w:color="auto"/>
        <w:left w:val="none" w:sz="0" w:space="0" w:color="auto"/>
        <w:bottom w:val="none" w:sz="0" w:space="0" w:color="auto"/>
        <w:right w:val="none" w:sz="0" w:space="0" w:color="auto"/>
      </w:divBdr>
    </w:div>
    <w:div w:id="1088772844">
      <w:marLeft w:val="480"/>
      <w:marRight w:val="0"/>
      <w:marTop w:val="0"/>
      <w:marBottom w:val="0"/>
      <w:divBdr>
        <w:top w:val="none" w:sz="0" w:space="0" w:color="auto"/>
        <w:left w:val="none" w:sz="0" w:space="0" w:color="auto"/>
        <w:bottom w:val="none" w:sz="0" w:space="0" w:color="auto"/>
        <w:right w:val="none" w:sz="0" w:space="0" w:color="auto"/>
      </w:divBdr>
    </w:div>
    <w:div w:id="1089157512">
      <w:bodyDiv w:val="1"/>
      <w:marLeft w:val="0"/>
      <w:marRight w:val="0"/>
      <w:marTop w:val="0"/>
      <w:marBottom w:val="0"/>
      <w:divBdr>
        <w:top w:val="none" w:sz="0" w:space="0" w:color="auto"/>
        <w:left w:val="none" w:sz="0" w:space="0" w:color="auto"/>
        <w:bottom w:val="none" w:sz="0" w:space="0" w:color="auto"/>
        <w:right w:val="none" w:sz="0" w:space="0" w:color="auto"/>
      </w:divBdr>
    </w:div>
    <w:div w:id="1089884483">
      <w:marLeft w:val="480"/>
      <w:marRight w:val="0"/>
      <w:marTop w:val="0"/>
      <w:marBottom w:val="0"/>
      <w:divBdr>
        <w:top w:val="none" w:sz="0" w:space="0" w:color="auto"/>
        <w:left w:val="none" w:sz="0" w:space="0" w:color="auto"/>
        <w:bottom w:val="none" w:sz="0" w:space="0" w:color="auto"/>
        <w:right w:val="none" w:sz="0" w:space="0" w:color="auto"/>
      </w:divBdr>
    </w:div>
    <w:div w:id="1091392263">
      <w:marLeft w:val="480"/>
      <w:marRight w:val="0"/>
      <w:marTop w:val="0"/>
      <w:marBottom w:val="0"/>
      <w:divBdr>
        <w:top w:val="none" w:sz="0" w:space="0" w:color="auto"/>
        <w:left w:val="none" w:sz="0" w:space="0" w:color="auto"/>
        <w:bottom w:val="none" w:sz="0" w:space="0" w:color="auto"/>
        <w:right w:val="none" w:sz="0" w:space="0" w:color="auto"/>
      </w:divBdr>
    </w:div>
    <w:div w:id="1092508896">
      <w:marLeft w:val="480"/>
      <w:marRight w:val="0"/>
      <w:marTop w:val="0"/>
      <w:marBottom w:val="0"/>
      <w:divBdr>
        <w:top w:val="none" w:sz="0" w:space="0" w:color="auto"/>
        <w:left w:val="none" w:sz="0" w:space="0" w:color="auto"/>
        <w:bottom w:val="none" w:sz="0" w:space="0" w:color="auto"/>
        <w:right w:val="none" w:sz="0" w:space="0" w:color="auto"/>
      </w:divBdr>
    </w:div>
    <w:div w:id="1095007457">
      <w:marLeft w:val="480"/>
      <w:marRight w:val="0"/>
      <w:marTop w:val="0"/>
      <w:marBottom w:val="0"/>
      <w:divBdr>
        <w:top w:val="none" w:sz="0" w:space="0" w:color="auto"/>
        <w:left w:val="none" w:sz="0" w:space="0" w:color="auto"/>
        <w:bottom w:val="none" w:sz="0" w:space="0" w:color="auto"/>
        <w:right w:val="none" w:sz="0" w:space="0" w:color="auto"/>
      </w:divBdr>
    </w:div>
    <w:div w:id="1097410798">
      <w:marLeft w:val="480"/>
      <w:marRight w:val="0"/>
      <w:marTop w:val="0"/>
      <w:marBottom w:val="0"/>
      <w:divBdr>
        <w:top w:val="none" w:sz="0" w:space="0" w:color="auto"/>
        <w:left w:val="none" w:sz="0" w:space="0" w:color="auto"/>
        <w:bottom w:val="none" w:sz="0" w:space="0" w:color="auto"/>
        <w:right w:val="none" w:sz="0" w:space="0" w:color="auto"/>
      </w:divBdr>
    </w:div>
    <w:div w:id="1097672921">
      <w:marLeft w:val="480"/>
      <w:marRight w:val="0"/>
      <w:marTop w:val="0"/>
      <w:marBottom w:val="0"/>
      <w:divBdr>
        <w:top w:val="none" w:sz="0" w:space="0" w:color="auto"/>
        <w:left w:val="none" w:sz="0" w:space="0" w:color="auto"/>
        <w:bottom w:val="none" w:sz="0" w:space="0" w:color="auto"/>
        <w:right w:val="none" w:sz="0" w:space="0" w:color="auto"/>
      </w:divBdr>
    </w:div>
    <w:div w:id="1100371307">
      <w:marLeft w:val="480"/>
      <w:marRight w:val="0"/>
      <w:marTop w:val="0"/>
      <w:marBottom w:val="0"/>
      <w:divBdr>
        <w:top w:val="none" w:sz="0" w:space="0" w:color="auto"/>
        <w:left w:val="none" w:sz="0" w:space="0" w:color="auto"/>
        <w:bottom w:val="none" w:sz="0" w:space="0" w:color="auto"/>
        <w:right w:val="none" w:sz="0" w:space="0" w:color="auto"/>
      </w:divBdr>
    </w:div>
    <w:div w:id="1102919484">
      <w:marLeft w:val="480"/>
      <w:marRight w:val="0"/>
      <w:marTop w:val="0"/>
      <w:marBottom w:val="0"/>
      <w:divBdr>
        <w:top w:val="none" w:sz="0" w:space="0" w:color="auto"/>
        <w:left w:val="none" w:sz="0" w:space="0" w:color="auto"/>
        <w:bottom w:val="none" w:sz="0" w:space="0" w:color="auto"/>
        <w:right w:val="none" w:sz="0" w:space="0" w:color="auto"/>
      </w:divBdr>
    </w:div>
    <w:div w:id="1103234149">
      <w:marLeft w:val="480"/>
      <w:marRight w:val="0"/>
      <w:marTop w:val="0"/>
      <w:marBottom w:val="0"/>
      <w:divBdr>
        <w:top w:val="none" w:sz="0" w:space="0" w:color="auto"/>
        <w:left w:val="none" w:sz="0" w:space="0" w:color="auto"/>
        <w:bottom w:val="none" w:sz="0" w:space="0" w:color="auto"/>
        <w:right w:val="none" w:sz="0" w:space="0" w:color="auto"/>
      </w:divBdr>
    </w:div>
    <w:div w:id="1107390551">
      <w:marLeft w:val="480"/>
      <w:marRight w:val="0"/>
      <w:marTop w:val="0"/>
      <w:marBottom w:val="0"/>
      <w:divBdr>
        <w:top w:val="none" w:sz="0" w:space="0" w:color="auto"/>
        <w:left w:val="none" w:sz="0" w:space="0" w:color="auto"/>
        <w:bottom w:val="none" w:sz="0" w:space="0" w:color="auto"/>
        <w:right w:val="none" w:sz="0" w:space="0" w:color="auto"/>
      </w:divBdr>
    </w:div>
    <w:div w:id="1108233447">
      <w:marLeft w:val="480"/>
      <w:marRight w:val="0"/>
      <w:marTop w:val="0"/>
      <w:marBottom w:val="0"/>
      <w:divBdr>
        <w:top w:val="none" w:sz="0" w:space="0" w:color="auto"/>
        <w:left w:val="none" w:sz="0" w:space="0" w:color="auto"/>
        <w:bottom w:val="none" w:sz="0" w:space="0" w:color="auto"/>
        <w:right w:val="none" w:sz="0" w:space="0" w:color="auto"/>
      </w:divBdr>
    </w:div>
    <w:div w:id="1108699048">
      <w:marLeft w:val="480"/>
      <w:marRight w:val="0"/>
      <w:marTop w:val="0"/>
      <w:marBottom w:val="0"/>
      <w:divBdr>
        <w:top w:val="none" w:sz="0" w:space="0" w:color="auto"/>
        <w:left w:val="none" w:sz="0" w:space="0" w:color="auto"/>
        <w:bottom w:val="none" w:sz="0" w:space="0" w:color="auto"/>
        <w:right w:val="none" w:sz="0" w:space="0" w:color="auto"/>
      </w:divBdr>
    </w:div>
    <w:div w:id="1109663060">
      <w:marLeft w:val="480"/>
      <w:marRight w:val="0"/>
      <w:marTop w:val="0"/>
      <w:marBottom w:val="0"/>
      <w:divBdr>
        <w:top w:val="none" w:sz="0" w:space="0" w:color="auto"/>
        <w:left w:val="none" w:sz="0" w:space="0" w:color="auto"/>
        <w:bottom w:val="none" w:sz="0" w:space="0" w:color="auto"/>
        <w:right w:val="none" w:sz="0" w:space="0" w:color="auto"/>
      </w:divBdr>
    </w:div>
    <w:div w:id="1110931133">
      <w:marLeft w:val="480"/>
      <w:marRight w:val="0"/>
      <w:marTop w:val="0"/>
      <w:marBottom w:val="0"/>
      <w:divBdr>
        <w:top w:val="none" w:sz="0" w:space="0" w:color="auto"/>
        <w:left w:val="none" w:sz="0" w:space="0" w:color="auto"/>
        <w:bottom w:val="none" w:sz="0" w:space="0" w:color="auto"/>
        <w:right w:val="none" w:sz="0" w:space="0" w:color="auto"/>
      </w:divBdr>
    </w:div>
    <w:div w:id="1116169676">
      <w:marLeft w:val="480"/>
      <w:marRight w:val="0"/>
      <w:marTop w:val="0"/>
      <w:marBottom w:val="0"/>
      <w:divBdr>
        <w:top w:val="none" w:sz="0" w:space="0" w:color="auto"/>
        <w:left w:val="none" w:sz="0" w:space="0" w:color="auto"/>
        <w:bottom w:val="none" w:sz="0" w:space="0" w:color="auto"/>
        <w:right w:val="none" w:sz="0" w:space="0" w:color="auto"/>
      </w:divBdr>
    </w:div>
    <w:div w:id="1120300859">
      <w:marLeft w:val="480"/>
      <w:marRight w:val="0"/>
      <w:marTop w:val="0"/>
      <w:marBottom w:val="0"/>
      <w:divBdr>
        <w:top w:val="none" w:sz="0" w:space="0" w:color="auto"/>
        <w:left w:val="none" w:sz="0" w:space="0" w:color="auto"/>
        <w:bottom w:val="none" w:sz="0" w:space="0" w:color="auto"/>
        <w:right w:val="none" w:sz="0" w:space="0" w:color="auto"/>
      </w:divBdr>
    </w:div>
    <w:div w:id="1121729586">
      <w:marLeft w:val="480"/>
      <w:marRight w:val="0"/>
      <w:marTop w:val="0"/>
      <w:marBottom w:val="0"/>
      <w:divBdr>
        <w:top w:val="none" w:sz="0" w:space="0" w:color="auto"/>
        <w:left w:val="none" w:sz="0" w:space="0" w:color="auto"/>
        <w:bottom w:val="none" w:sz="0" w:space="0" w:color="auto"/>
        <w:right w:val="none" w:sz="0" w:space="0" w:color="auto"/>
      </w:divBdr>
    </w:div>
    <w:div w:id="1122190193">
      <w:marLeft w:val="480"/>
      <w:marRight w:val="0"/>
      <w:marTop w:val="0"/>
      <w:marBottom w:val="0"/>
      <w:divBdr>
        <w:top w:val="none" w:sz="0" w:space="0" w:color="auto"/>
        <w:left w:val="none" w:sz="0" w:space="0" w:color="auto"/>
        <w:bottom w:val="none" w:sz="0" w:space="0" w:color="auto"/>
        <w:right w:val="none" w:sz="0" w:space="0" w:color="auto"/>
      </w:divBdr>
    </w:div>
    <w:div w:id="1122650778">
      <w:marLeft w:val="480"/>
      <w:marRight w:val="0"/>
      <w:marTop w:val="0"/>
      <w:marBottom w:val="0"/>
      <w:divBdr>
        <w:top w:val="none" w:sz="0" w:space="0" w:color="auto"/>
        <w:left w:val="none" w:sz="0" w:space="0" w:color="auto"/>
        <w:bottom w:val="none" w:sz="0" w:space="0" w:color="auto"/>
        <w:right w:val="none" w:sz="0" w:space="0" w:color="auto"/>
      </w:divBdr>
    </w:div>
    <w:div w:id="1124621038">
      <w:marLeft w:val="480"/>
      <w:marRight w:val="0"/>
      <w:marTop w:val="0"/>
      <w:marBottom w:val="0"/>
      <w:divBdr>
        <w:top w:val="none" w:sz="0" w:space="0" w:color="auto"/>
        <w:left w:val="none" w:sz="0" w:space="0" w:color="auto"/>
        <w:bottom w:val="none" w:sz="0" w:space="0" w:color="auto"/>
        <w:right w:val="none" w:sz="0" w:space="0" w:color="auto"/>
      </w:divBdr>
    </w:div>
    <w:div w:id="1125002547">
      <w:marLeft w:val="480"/>
      <w:marRight w:val="0"/>
      <w:marTop w:val="0"/>
      <w:marBottom w:val="0"/>
      <w:divBdr>
        <w:top w:val="none" w:sz="0" w:space="0" w:color="auto"/>
        <w:left w:val="none" w:sz="0" w:space="0" w:color="auto"/>
        <w:bottom w:val="none" w:sz="0" w:space="0" w:color="auto"/>
        <w:right w:val="none" w:sz="0" w:space="0" w:color="auto"/>
      </w:divBdr>
    </w:div>
    <w:div w:id="1125737127">
      <w:marLeft w:val="480"/>
      <w:marRight w:val="0"/>
      <w:marTop w:val="0"/>
      <w:marBottom w:val="0"/>
      <w:divBdr>
        <w:top w:val="none" w:sz="0" w:space="0" w:color="auto"/>
        <w:left w:val="none" w:sz="0" w:space="0" w:color="auto"/>
        <w:bottom w:val="none" w:sz="0" w:space="0" w:color="auto"/>
        <w:right w:val="none" w:sz="0" w:space="0" w:color="auto"/>
      </w:divBdr>
    </w:div>
    <w:div w:id="1126971051">
      <w:marLeft w:val="480"/>
      <w:marRight w:val="0"/>
      <w:marTop w:val="0"/>
      <w:marBottom w:val="0"/>
      <w:divBdr>
        <w:top w:val="none" w:sz="0" w:space="0" w:color="auto"/>
        <w:left w:val="none" w:sz="0" w:space="0" w:color="auto"/>
        <w:bottom w:val="none" w:sz="0" w:space="0" w:color="auto"/>
        <w:right w:val="none" w:sz="0" w:space="0" w:color="auto"/>
      </w:divBdr>
    </w:div>
    <w:div w:id="1127049100">
      <w:marLeft w:val="480"/>
      <w:marRight w:val="0"/>
      <w:marTop w:val="0"/>
      <w:marBottom w:val="0"/>
      <w:divBdr>
        <w:top w:val="none" w:sz="0" w:space="0" w:color="auto"/>
        <w:left w:val="none" w:sz="0" w:space="0" w:color="auto"/>
        <w:bottom w:val="none" w:sz="0" w:space="0" w:color="auto"/>
        <w:right w:val="none" w:sz="0" w:space="0" w:color="auto"/>
      </w:divBdr>
    </w:div>
    <w:div w:id="1131703155">
      <w:marLeft w:val="480"/>
      <w:marRight w:val="0"/>
      <w:marTop w:val="0"/>
      <w:marBottom w:val="0"/>
      <w:divBdr>
        <w:top w:val="none" w:sz="0" w:space="0" w:color="auto"/>
        <w:left w:val="none" w:sz="0" w:space="0" w:color="auto"/>
        <w:bottom w:val="none" w:sz="0" w:space="0" w:color="auto"/>
        <w:right w:val="none" w:sz="0" w:space="0" w:color="auto"/>
      </w:divBdr>
    </w:div>
    <w:div w:id="1131749207">
      <w:marLeft w:val="480"/>
      <w:marRight w:val="0"/>
      <w:marTop w:val="0"/>
      <w:marBottom w:val="0"/>
      <w:divBdr>
        <w:top w:val="none" w:sz="0" w:space="0" w:color="auto"/>
        <w:left w:val="none" w:sz="0" w:space="0" w:color="auto"/>
        <w:bottom w:val="none" w:sz="0" w:space="0" w:color="auto"/>
        <w:right w:val="none" w:sz="0" w:space="0" w:color="auto"/>
      </w:divBdr>
    </w:div>
    <w:div w:id="1133065182">
      <w:marLeft w:val="480"/>
      <w:marRight w:val="0"/>
      <w:marTop w:val="0"/>
      <w:marBottom w:val="0"/>
      <w:divBdr>
        <w:top w:val="none" w:sz="0" w:space="0" w:color="auto"/>
        <w:left w:val="none" w:sz="0" w:space="0" w:color="auto"/>
        <w:bottom w:val="none" w:sz="0" w:space="0" w:color="auto"/>
        <w:right w:val="none" w:sz="0" w:space="0" w:color="auto"/>
      </w:divBdr>
    </w:div>
    <w:div w:id="1136337517">
      <w:marLeft w:val="480"/>
      <w:marRight w:val="0"/>
      <w:marTop w:val="0"/>
      <w:marBottom w:val="0"/>
      <w:divBdr>
        <w:top w:val="none" w:sz="0" w:space="0" w:color="auto"/>
        <w:left w:val="none" w:sz="0" w:space="0" w:color="auto"/>
        <w:bottom w:val="none" w:sz="0" w:space="0" w:color="auto"/>
        <w:right w:val="none" w:sz="0" w:space="0" w:color="auto"/>
      </w:divBdr>
    </w:div>
    <w:div w:id="1137147647">
      <w:marLeft w:val="480"/>
      <w:marRight w:val="0"/>
      <w:marTop w:val="0"/>
      <w:marBottom w:val="0"/>
      <w:divBdr>
        <w:top w:val="none" w:sz="0" w:space="0" w:color="auto"/>
        <w:left w:val="none" w:sz="0" w:space="0" w:color="auto"/>
        <w:bottom w:val="none" w:sz="0" w:space="0" w:color="auto"/>
        <w:right w:val="none" w:sz="0" w:space="0" w:color="auto"/>
      </w:divBdr>
    </w:div>
    <w:div w:id="1138062549">
      <w:marLeft w:val="480"/>
      <w:marRight w:val="0"/>
      <w:marTop w:val="0"/>
      <w:marBottom w:val="0"/>
      <w:divBdr>
        <w:top w:val="none" w:sz="0" w:space="0" w:color="auto"/>
        <w:left w:val="none" w:sz="0" w:space="0" w:color="auto"/>
        <w:bottom w:val="none" w:sz="0" w:space="0" w:color="auto"/>
        <w:right w:val="none" w:sz="0" w:space="0" w:color="auto"/>
      </w:divBdr>
    </w:div>
    <w:div w:id="1138571010">
      <w:marLeft w:val="480"/>
      <w:marRight w:val="0"/>
      <w:marTop w:val="0"/>
      <w:marBottom w:val="0"/>
      <w:divBdr>
        <w:top w:val="none" w:sz="0" w:space="0" w:color="auto"/>
        <w:left w:val="none" w:sz="0" w:space="0" w:color="auto"/>
        <w:bottom w:val="none" w:sz="0" w:space="0" w:color="auto"/>
        <w:right w:val="none" w:sz="0" w:space="0" w:color="auto"/>
      </w:divBdr>
    </w:div>
    <w:div w:id="1141387209">
      <w:marLeft w:val="480"/>
      <w:marRight w:val="0"/>
      <w:marTop w:val="0"/>
      <w:marBottom w:val="0"/>
      <w:divBdr>
        <w:top w:val="none" w:sz="0" w:space="0" w:color="auto"/>
        <w:left w:val="none" w:sz="0" w:space="0" w:color="auto"/>
        <w:bottom w:val="none" w:sz="0" w:space="0" w:color="auto"/>
        <w:right w:val="none" w:sz="0" w:space="0" w:color="auto"/>
      </w:divBdr>
    </w:div>
    <w:div w:id="1145507869">
      <w:marLeft w:val="480"/>
      <w:marRight w:val="0"/>
      <w:marTop w:val="0"/>
      <w:marBottom w:val="0"/>
      <w:divBdr>
        <w:top w:val="none" w:sz="0" w:space="0" w:color="auto"/>
        <w:left w:val="none" w:sz="0" w:space="0" w:color="auto"/>
        <w:bottom w:val="none" w:sz="0" w:space="0" w:color="auto"/>
        <w:right w:val="none" w:sz="0" w:space="0" w:color="auto"/>
      </w:divBdr>
    </w:div>
    <w:div w:id="1145971398">
      <w:marLeft w:val="480"/>
      <w:marRight w:val="0"/>
      <w:marTop w:val="0"/>
      <w:marBottom w:val="0"/>
      <w:divBdr>
        <w:top w:val="none" w:sz="0" w:space="0" w:color="auto"/>
        <w:left w:val="none" w:sz="0" w:space="0" w:color="auto"/>
        <w:bottom w:val="none" w:sz="0" w:space="0" w:color="auto"/>
        <w:right w:val="none" w:sz="0" w:space="0" w:color="auto"/>
      </w:divBdr>
    </w:div>
    <w:div w:id="1146704002">
      <w:marLeft w:val="480"/>
      <w:marRight w:val="0"/>
      <w:marTop w:val="0"/>
      <w:marBottom w:val="0"/>
      <w:divBdr>
        <w:top w:val="none" w:sz="0" w:space="0" w:color="auto"/>
        <w:left w:val="none" w:sz="0" w:space="0" w:color="auto"/>
        <w:bottom w:val="none" w:sz="0" w:space="0" w:color="auto"/>
        <w:right w:val="none" w:sz="0" w:space="0" w:color="auto"/>
      </w:divBdr>
    </w:div>
    <w:div w:id="1148210331">
      <w:marLeft w:val="480"/>
      <w:marRight w:val="0"/>
      <w:marTop w:val="0"/>
      <w:marBottom w:val="0"/>
      <w:divBdr>
        <w:top w:val="none" w:sz="0" w:space="0" w:color="auto"/>
        <w:left w:val="none" w:sz="0" w:space="0" w:color="auto"/>
        <w:bottom w:val="none" w:sz="0" w:space="0" w:color="auto"/>
        <w:right w:val="none" w:sz="0" w:space="0" w:color="auto"/>
      </w:divBdr>
    </w:div>
    <w:div w:id="1148786256">
      <w:marLeft w:val="480"/>
      <w:marRight w:val="0"/>
      <w:marTop w:val="0"/>
      <w:marBottom w:val="0"/>
      <w:divBdr>
        <w:top w:val="none" w:sz="0" w:space="0" w:color="auto"/>
        <w:left w:val="none" w:sz="0" w:space="0" w:color="auto"/>
        <w:bottom w:val="none" w:sz="0" w:space="0" w:color="auto"/>
        <w:right w:val="none" w:sz="0" w:space="0" w:color="auto"/>
      </w:divBdr>
    </w:div>
    <w:div w:id="1152017926">
      <w:marLeft w:val="480"/>
      <w:marRight w:val="0"/>
      <w:marTop w:val="0"/>
      <w:marBottom w:val="0"/>
      <w:divBdr>
        <w:top w:val="none" w:sz="0" w:space="0" w:color="auto"/>
        <w:left w:val="none" w:sz="0" w:space="0" w:color="auto"/>
        <w:bottom w:val="none" w:sz="0" w:space="0" w:color="auto"/>
        <w:right w:val="none" w:sz="0" w:space="0" w:color="auto"/>
      </w:divBdr>
    </w:div>
    <w:div w:id="1152410727">
      <w:marLeft w:val="480"/>
      <w:marRight w:val="0"/>
      <w:marTop w:val="0"/>
      <w:marBottom w:val="0"/>
      <w:divBdr>
        <w:top w:val="none" w:sz="0" w:space="0" w:color="auto"/>
        <w:left w:val="none" w:sz="0" w:space="0" w:color="auto"/>
        <w:bottom w:val="none" w:sz="0" w:space="0" w:color="auto"/>
        <w:right w:val="none" w:sz="0" w:space="0" w:color="auto"/>
      </w:divBdr>
    </w:div>
    <w:div w:id="1155216934">
      <w:marLeft w:val="480"/>
      <w:marRight w:val="0"/>
      <w:marTop w:val="0"/>
      <w:marBottom w:val="0"/>
      <w:divBdr>
        <w:top w:val="none" w:sz="0" w:space="0" w:color="auto"/>
        <w:left w:val="none" w:sz="0" w:space="0" w:color="auto"/>
        <w:bottom w:val="none" w:sz="0" w:space="0" w:color="auto"/>
        <w:right w:val="none" w:sz="0" w:space="0" w:color="auto"/>
      </w:divBdr>
    </w:div>
    <w:div w:id="1155488824">
      <w:marLeft w:val="480"/>
      <w:marRight w:val="0"/>
      <w:marTop w:val="0"/>
      <w:marBottom w:val="0"/>
      <w:divBdr>
        <w:top w:val="none" w:sz="0" w:space="0" w:color="auto"/>
        <w:left w:val="none" w:sz="0" w:space="0" w:color="auto"/>
        <w:bottom w:val="none" w:sz="0" w:space="0" w:color="auto"/>
        <w:right w:val="none" w:sz="0" w:space="0" w:color="auto"/>
      </w:divBdr>
    </w:div>
    <w:div w:id="1157575525">
      <w:marLeft w:val="480"/>
      <w:marRight w:val="0"/>
      <w:marTop w:val="0"/>
      <w:marBottom w:val="0"/>
      <w:divBdr>
        <w:top w:val="none" w:sz="0" w:space="0" w:color="auto"/>
        <w:left w:val="none" w:sz="0" w:space="0" w:color="auto"/>
        <w:bottom w:val="none" w:sz="0" w:space="0" w:color="auto"/>
        <w:right w:val="none" w:sz="0" w:space="0" w:color="auto"/>
      </w:divBdr>
    </w:div>
    <w:div w:id="1159271514">
      <w:marLeft w:val="480"/>
      <w:marRight w:val="0"/>
      <w:marTop w:val="0"/>
      <w:marBottom w:val="0"/>
      <w:divBdr>
        <w:top w:val="none" w:sz="0" w:space="0" w:color="auto"/>
        <w:left w:val="none" w:sz="0" w:space="0" w:color="auto"/>
        <w:bottom w:val="none" w:sz="0" w:space="0" w:color="auto"/>
        <w:right w:val="none" w:sz="0" w:space="0" w:color="auto"/>
      </w:divBdr>
    </w:div>
    <w:div w:id="1159617010">
      <w:marLeft w:val="480"/>
      <w:marRight w:val="0"/>
      <w:marTop w:val="0"/>
      <w:marBottom w:val="0"/>
      <w:divBdr>
        <w:top w:val="none" w:sz="0" w:space="0" w:color="auto"/>
        <w:left w:val="none" w:sz="0" w:space="0" w:color="auto"/>
        <w:bottom w:val="none" w:sz="0" w:space="0" w:color="auto"/>
        <w:right w:val="none" w:sz="0" w:space="0" w:color="auto"/>
      </w:divBdr>
    </w:div>
    <w:div w:id="1160778682">
      <w:marLeft w:val="480"/>
      <w:marRight w:val="0"/>
      <w:marTop w:val="0"/>
      <w:marBottom w:val="0"/>
      <w:divBdr>
        <w:top w:val="none" w:sz="0" w:space="0" w:color="auto"/>
        <w:left w:val="none" w:sz="0" w:space="0" w:color="auto"/>
        <w:bottom w:val="none" w:sz="0" w:space="0" w:color="auto"/>
        <w:right w:val="none" w:sz="0" w:space="0" w:color="auto"/>
      </w:divBdr>
    </w:div>
    <w:div w:id="1161432777">
      <w:marLeft w:val="480"/>
      <w:marRight w:val="0"/>
      <w:marTop w:val="0"/>
      <w:marBottom w:val="0"/>
      <w:divBdr>
        <w:top w:val="none" w:sz="0" w:space="0" w:color="auto"/>
        <w:left w:val="none" w:sz="0" w:space="0" w:color="auto"/>
        <w:bottom w:val="none" w:sz="0" w:space="0" w:color="auto"/>
        <w:right w:val="none" w:sz="0" w:space="0" w:color="auto"/>
      </w:divBdr>
    </w:div>
    <w:div w:id="1163819949">
      <w:marLeft w:val="480"/>
      <w:marRight w:val="0"/>
      <w:marTop w:val="0"/>
      <w:marBottom w:val="0"/>
      <w:divBdr>
        <w:top w:val="none" w:sz="0" w:space="0" w:color="auto"/>
        <w:left w:val="none" w:sz="0" w:space="0" w:color="auto"/>
        <w:bottom w:val="none" w:sz="0" w:space="0" w:color="auto"/>
        <w:right w:val="none" w:sz="0" w:space="0" w:color="auto"/>
      </w:divBdr>
    </w:div>
    <w:div w:id="1164008336">
      <w:marLeft w:val="480"/>
      <w:marRight w:val="0"/>
      <w:marTop w:val="0"/>
      <w:marBottom w:val="0"/>
      <w:divBdr>
        <w:top w:val="none" w:sz="0" w:space="0" w:color="auto"/>
        <w:left w:val="none" w:sz="0" w:space="0" w:color="auto"/>
        <w:bottom w:val="none" w:sz="0" w:space="0" w:color="auto"/>
        <w:right w:val="none" w:sz="0" w:space="0" w:color="auto"/>
      </w:divBdr>
    </w:div>
    <w:div w:id="1164053786">
      <w:marLeft w:val="480"/>
      <w:marRight w:val="0"/>
      <w:marTop w:val="0"/>
      <w:marBottom w:val="0"/>
      <w:divBdr>
        <w:top w:val="none" w:sz="0" w:space="0" w:color="auto"/>
        <w:left w:val="none" w:sz="0" w:space="0" w:color="auto"/>
        <w:bottom w:val="none" w:sz="0" w:space="0" w:color="auto"/>
        <w:right w:val="none" w:sz="0" w:space="0" w:color="auto"/>
      </w:divBdr>
    </w:div>
    <w:div w:id="1165246542">
      <w:marLeft w:val="480"/>
      <w:marRight w:val="0"/>
      <w:marTop w:val="0"/>
      <w:marBottom w:val="0"/>
      <w:divBdr>
        <w:top w:val="none" w:sz="0" w:space="0" w:color="auto"/>
        <w:left w:val="none" w:sz="0" w:space="0" w:color="auto"/>
        <w:bottom w:val="none" w:sz="0" w:space="0" w:color="auto"/>
        <w:right w:val="none" w:sz="0" w:space="0" w:color="auto"/>
      </w:divBdr>
    </w:div>
    <w:div w:id="1167016237">
      <w:marLeft w:val="480"/>
      <w:marRight w:val="0"/>
      <w:marTop w:val="0"/>
      <w:marBottom w:val="0"/>
      <w:divBdr>
        <w:top w:val="none" w:sz="0" w:space="0" w:color="auto"/>
        <w:left w:val="none" w:sz="0" w:space="0" w:color="auto"/>
        <w:bottom w:val="none" w:sz="0" w:space="0" w:color="auto"/>
        <w:right w:val="none" w:sz="0" w:space="0" w:color="auto"/>
      </w:divBdr>
    </w:div>
    <w:div w:id="1168791819">
      <w:marLeft w:val="480"/>
      <w:marRight w:val="0"/>
      <w:marTop w:val="0"/>
      <w:marBottom w:val="0"/>
      <w:divBdr>
        <w:top w:val="none" w:sz="0" w:space="0" w:color="auto"/>
        <w:left w:val="none" w:sz="0" w:space="0" w:color="auto"/>
        <w:bottom w:val="none" w:sz="0" w:space="0" w:color="auto"/>
        <w:right w:val="none" w:sz="0" w:space="0" w:color="auto"/>
      </w:divBdr>
    </w:div>
    <w:div w:id="1170218087">
      <w:marLeft w:val="480"/>
      <w:marRight w:val="0"/>
      <w:marTop w:val="0"/>
      <w:marBottom w:val="0"/>
      <w:divBdr>
        <w:top w:val="none" w:sz="0" w:space="0" w:color="auto"/>
        <w:left w:val="none" w:sz="0" w:space="0" w:color="auto"/>
        <w:bottom w:val="none" w:sz="0" w:space="0" w:color="auto"/>
        <w:right w:val="none" w:sz="0" w:space="0" w:color="auto"/>
      </w:divBdr>
    </w:div>
    <w:div w:id="1171990822">
      <w:marLeft w:val="480"/>
      <w:marRight w:val="0"/>
      <w:marTop w:val="0"/>
      <w:marBottom w:val="0"/>
      <w:divBdr>
        <w:top w:val="none" w:sz="0" w:space="0" w:color="auto"/>
        <w:left w:val="none" w:sz="0" w:space="0" w:color="auto"/>
        <w:bottom w:val="none" w:sz="0" w:space="0" w:color="auto"/>
        <w:right w:val="none" w:sz="0" w:space="0" w:color="auto"/>
      </w:divBdr>
    </w:div>
    <w:div w:id="1172143215">
      <w:marLeft w:val="480"/>
      <w:marRight w:val="0"/>
      <w:marTop w:val="0"/>
      <w:marBottom w:val="0"/>
      <w:divBdr>
        <w:top w:val="none" w:sz="0" w:space="0" w:color="auto"/>
        <w:left w:val="none" w:sz="0" w:space="0" w:color="auto"/>
        <w:bottom w:val="none" w:sz="0" w:space="0" w:color="auto"/>
        <w:right w:val="none" w:sz="0" w:space="0" w:color="auto"/>
      </w:divBdr>
    </w:div>
    <w:div w:id="1174032874">
      <w:marLeft w:val="480"/>
      <w:marRight w:val="0"/>
      <w:marTop w:val="0"/>
      <w:marBottom w:val="0"/>
      <w:divBdr>
        <w:top w:val="none" w:sz="0" w:space="0" w:color="auto"/>
        <w:left w:val="none" w:sz="0" w:space="0" w:color="auto"/>
        <w:bottom w:val="none" w:sz="0" w:space="0" w:color="auto"/>
        <w:right w:val="none" w:sz="0" w:space="0" w:color="auto"/>
      </w:divBdr>
    </w:div>
    <w:div w:id="1174296079">
      <w:marLeft w:val="480"/>
      <w:marRight w:val="0"/>
      <w:marTop w:val="0"/>
      <w:marBottom w:val="0"/>
      <w:divBdr>
        <w:top w:val="none" w:sz="0" w:space="0" w:color="auto"/>
        <w:left w:val="none" w:sz="0" w:space="0" w:color="auto"/>
        <w:bottom w:val="none" w:sz="0" w:space="0" w:color="auto"/>
        <w:right w:val="none" w:sz="0" w:space="0" w:color="auto"/>
      </w:divBdr>
    </w:div>
    <w:div w:id="1176309832">
      <w:marLeft w:val="480"/>
      <w:marRight w:val="0"/>
      <w:marTop w:val="0"/>
      <w:marBottom w:val="0"/>
      <w:divBdr>
        <w:top w:val="none" w:sz="0" w:space="0" w:color="auto"/>
        <w:left w:val="none" w:sz="0" w:space="0" w:color="auto"/>
        <w:bottom w:val="none" w:sz="0" w:space="0" w:color="auto"/>
        <w:right w:val="none" w:sz="0" w:space="0" w:color="auto"/>
      </w:divBdr>
    </w:div>
    <w:div w:id="1178622019">
      <w:marLeft w:val="480"/>
      <w:marRight w:val="0"/>
      <w:marTop w:val="0"/>
      <w:marBottom w:val="0"/>
      <w:divBdr>
        <w:top w:val="none" w:sz="0" w:space="0" w:color="auto"/>
        <w:left w:val="none" w:sz="0" w:space="0" w:color="auto"/>
        <w:bottom w:val="none" w:sz="0" w:space="0" w:color="auto"/>
        <w:right w:val="none" w:sz="0" w:space="0" w:color="auto"/>
      </w:divBdr>
    </w:div>
    <w:div w:id="1182859474">
      <w:marLeft w:val="480"/>
      <w:marRight w:val="0"/>
      <w:marTop w:val="0"/>
      <w:marBottom w:val="0"/>
      <w:divBdr>
        <w:top w:val="none" w:sz="0" w:space="0" w:color="auto"/>
        <w:left w:val="none" w:sz="0" w:space="0" w:color="auto"/>
        <w:bottom w:val="none" w:sz="0" w:space="0" w:color="auto"/>
        <w:right w:val="none" w:sz="0" w:space="0" w:color="auto"/>
      </w:divBdr>
    </w:div>
    <w:div w:id="1183084974">
      <w:marLeft w:val="480"/>
      <w:marRight w:val="0"/>
      <w:marTop w:val="0"/>
      <w:marBottom w:val="0"/>
      <w:divBdr>
        <w:top w:val="none" w:sz="0" w:space="0" w:color="auto"/>
        <w:left w:val="none" w:sz="0" w:space="0" w:color="auto"/>
        <w:bottom w:val="none" w:sz="0" w:space="0" w:color="auto"/>
        <w:right w:val="none" w:sz="0" w:space="0" w:color="auto"/>
      </w:divBdr>
    </w:div>
    <w:div w:id="1183398891">
      <w:marLeft w:val="480"/>
      <w:marRight w:val="0"/>
      <w:marTop w:val="0"/>
      <w:marBottom w:val="0"/>
      <w:divBdr>
        <w:top w:val="none" w:sz="0" w:space="0" w:color="auto"/>
        <w:left w:val="none" w:sz="0" w:space="0" w:color="auto"/>
        <w:bottom w:val="none" w:sz="0" w:space="0" w:color="auto"/>
        <w:right w:val="none" w:sz="0" w:space="0" w:color="auto"/>
      </w:divBdr>
    </w:div>
    <w:div w:id="1185628036">
      <w:marLeft w:val="480"/>
      <w:marRight w:val="0"/>
      <w:marTop w:val="0"/>
      <w:marBottom w:val="0"/>
      <w:divBdr>
        <w:top w:val="none" w:sz="0" w:space="0" w:color="auto"/>
        <w:left w:val="none" w:sz="0" w:space="0" w:color="auto"/>
        <w:bottom w:val="none" w:sz="0" w:space="0" w:color="auto"/>
        <w:right w:val="none" w:sz="0" w:space="0" w:color="auto"/>
      </w:divBdr>
    </w:div>
    <w:div w:id="1187670285">
      <w:marLeft w:val="480"/>
      <w:marRight w:val="0"/>
      <w:marTop w:val="0"/>
      <w:marBottom w:val="0"/>
      <w:divBdr>
        <w:top w:val="none" w:sz="0" w:space="0" w:color="auto"/>
        <w:left w:val="none" w:sz="0" w:space="0" w:color="auto"/>
        <w:bottom w:val="none" w:sz="0" w:space="0" w:color="auto"/>
        <w:right w:val="none" w:sz="0" w:space="0" w:color="auto"/>
      </w:divBdr>
    </w:div>
    <w:div w:id="1188524802">
      <w:marLeft w:val="480"/>
      <w:marRight w:val="0"/>
      <w:marTop w:val="0"/>
      <w:marBottom w:val="0"/>
      <w:divBdr>
        <w:top w:val="none" w:sz="0" w:space="0" w:color="auto"/>
        <w:left w:val="none" w:sz="0" w:space="0" w:color="auto"/>
        <w:bottom w:val="none" w:sz="0" w:space="0" w:color="auto"/>
        <w:right w:val="none" w:sz="0" w:space="0" w:color="auto"/>
      </w:divBdr>
    </w:div>
    <w:div w:id="1188837426">
      <w:marLeft w:val="480"/>
      <w:marRight w:val="0"/>
      <w:marTop w:val="0"/>
      <w:marBottom w:val="0"/>
      <w:divBdr>
        <w:top w:val="none" w:sz="0" w:space="0" w:color="auto"/>
        <w:left w:val="none" w:sz="0" w:space="0" w:color="auto"/>
        <w:bottom w:val="none" w:sz="0" w:space="0" w:color="auto"/>
        <w:right w:val="none" w:sz="0" w:space="0" w:color="auto"/>
      </w:divBdr>
    </w:div>
    <w:div w:id="1189106986">
      <w:marLeft w:val="480"/>
      <w:marRight w:val="0"/>
      <w:marTop w:val="0"/>
      <w:marBottom w:val="0"/>
      <w:divBdr>
        <w:top w:val="none" w:sz="0" w:space="0" w:color="auto"/>
        <w:left w:val="none" w:sz="0" w:space="0" w:color="auto"/>
        <w:bottom w:val="none" w:sz="0" w:space="0" w:color="auto"/>
        <w:right w:val="none" w:sz="0" w:space="0" w:color="auto"/>
      </w:divBdr>
    </w:div>
    <w:div w:id="1190219188">
      <w:marLeft w:val="480"/>
      <w:marRight w:val="0"/>
      <w:marTop w:val="0"/>
      <w:marBottom w:val="0"/>
      <w:divBdr>
        <w:top w:val="none" w:sz="0" w:space="0" w:color="auto"/>
        <w:left w:val="none" w:sz="0" w:space="0" w:color="auto"/>
        <w:bottom w:val="none" w:sz="0" w:space="0" w:color="auto"/>
        <w:right w:val="none" w:sz="0" w:space="0" w:color="auto"/>
      </w:divBdr>
    </w:div>
    <w:div w:id="1192449891">
      <w:marLeft w:val="480"/>
      <w:marRight w:val="0"/>
      <w:marTop w:val="0"/>
      <w:marBottom w:val="0"/>
      <w:divBdr>
        <w:top w:val="none" w:sz="0" w:space="0" w:color="auto"/>
        <w:left w:val="none" w:sz="0" w:space="0" w:color="auto"/>
        <w:bottom w:val="none" w:sz="0" w:space="0" w:color="auto"/>
        <w:right w:val="none" w:sz="0" w:space="0" w:color="auto"/>
      </w:divBdr>
    </w:div>
    <w:div w:id="1195537800">
      <w:marLeft w:val="480"/>
      <w:marRight w:val="0"/>
      <w:marTop w:val="0"/>
      <w:marBottom w:val="0"/>
      <w:divBdr>
        <w:top w:val="none" w:sz="0" w:space="0" w:color="auto"/>
        <w:left w:val="none" w:sz="0" w:space="0" w:color="auto"/>
        <w:bottom w:val="none" w:sz="0" w:space="0" w:color="auto"/>
        <w:right w:val="none" w:sz="0" w:space="0" w:color="auto"/>
      </w:divBdr>
    </w:div>
    <w:div w:id="1195658157">
      <w:marLeft w:val="480"/>
      <w:marRight w:val="0"/>
      <w:marTop w:val="0"/>
      <w:marBottom w:val="0"/>
      <w:divBdr>
        <w:top w:val="none" w:sz="0" w:space="0" w:color="auto"/>
        <w:left w:val="none" w:sz="0" w:space="0" w:color="auto"/>
        <w:bottom w:val="none" w:sz="0" w:space="0" w:color="auto"/>
        <w:right w:val="none" w:sz="0" w:space="0" w:color="auto"/>
      </w:divBdr>
    </w:div>
    <w:div w:id="1195848181">
      <w:marLeft w:val="480"/>
      <w:marRight w:val="0"/>
      <w:marTop w:val="0"/>
      <w:marBottom w:val="0"/>
      <w:divBdr>
        <w:top w:val="none" w:sz="0" w:space="0" w:color="auto"/>
        <w:left w:val="none" w:sz="0" w:space="0" w:color="auto"/>
        <w:bottom w:val="none" w:sz="0" w:space="0" w:color="auto"/>
        <w:right w:val="none" w:sz="0" w:space="0" w:color="auto"/>
      </w:divBdr>
    </w:div>
    <w:div w:id="1197045639">
      <w:marLeft w:val="480"/>
      <w:marRight w:val="0"/>
      <w:marTop w:val="0"/>
      <w:marBottom w:val="0"/>
      <w:divBdr>
        <w:top w:val="none" w:sz="0" w:space="0" w:color="auto"/>
        <w:left w:val="none" w:sz="0" w:space="0" w:color="auto"/>
        <w:bottom w:val="none" w:sz="0" w:space="0" w:color="auto"/>
        <w:right w:val="none" w:sz="0" w:space="0" w:color="auto"/>
      </w:divBdr>
    </w:div>
    <w:div w:id="1201089009">
      <w:marLeft w:val="480"/>
      <w:marRight w:val="0"/>
      <w:marTop w:val="0"/>
      <w:marBottom w:val="0"/>
      <w:divBdr>
        <w:top w:val="none" w:sz="0" w:space="0" w:color="auto"/>
        <w:left w:val="none" w:sz="0" w:space="0" w:color="auto"/>
        <w:bottom w:val="none" w:sz="0" w:space="0" w:color="auto"/>
        <w:right w:val="none" w:sz="0" w:space="0" w:color="auto"/>
      </w:divBdr>
    </w:div>
    <w:div w:id="1203206336">
      <w:marLeft w:val="480"/>
      <w:marRight w:val="0"/>
      <w:marTop w:val="0"/>
      <w:marBottom w:val="0"/>
      <w:divBdr>
        <w:top w:val="none" w:sz="0" w:space="0" w:color="auto"/>
        <w:left w:val="none" w:sz="0" w:space="0" w:color="auto"/>
        <w:bottom w:val="none" w:sz="0" w:space="0" w:color="auto"/>
        <w:right w:val="none" w:sz="0" w:space="0" w:color="auto"/>
      </w:divBdr>
    </w:div>
    <w:div w:id="1203860093">
      <w:marLeft w:val="480"/>
      <w:marRight w:val="0"/>
      <w:marTop w:val="0"/>
      <w:marBottom w:val="0"/>
      <w:divBdr>
        <w:top w:val="none" w:sz="0" w:space="0" w:color="auto"/>
        <w:left w:val="none" w:sz="0" w:space="0" w:color="auto"/>
        <w:bottom w:val="none" w:sz="0" w:space="0" w:color="auto"/>
        <w:right w:val="none" w:sz="0" w:space="0" w:color="auto"/>
      </w:divBdr>
    </w:div>
    <w:div w:id="1204098582">
      <w:marLeft w:val="480"/>
      <w:marRight w:val="0"/>
      <w:marTop w:val="0"/>
      <w:marBottom w:val="0"/>
      <w:divBdr>
        <w:top w:val="none" w:sz="0" w:space="0" w:color="auto"/>
        <w:left w:val="none" w:sz="0" w:space="0" w:color="auto"/>
        <w:bottom w:val="none" w:sz="0" w:space="0" w:color="auto"/>
        <w:right w:val="none" w:sz="0" w:space="0" w:color="auto"/>
      </w:divBdr>
    </w:div>
    <w:div w:id="1205173957">
      <w:marLeft w:val="480"/>
      <w:marRight w:val="0"/>
      <w:marTop w:val="0"/>
      <w:marBottom w:val="0"/>
      <w:divBdr>
        <w:top w:val="none" w:sz="0" w:space="0" w:color="auto"/>
        <w:left w:val="none" w:sz="0" w:space="0" w:color="auto"/>
        <w:bottom w:val="none" w:sz="0" w:space="0" w:color="auto"/>
        <w:right w:val="none" w:sz="0" w:space="0" w:color="auto"/>
      </w:divBdr>
    </w:div>
    <w:div w:id="1206604691">
      <w:marLeft w:val="480"/>
      <w:marRight w:val="0"/>
      <w:marTop w:val="0"/>
      <w:marBottom w:val="0"/>
      <w:divBdr>
        <w:top w:val="none" w:sz="0" w:space="0" w:color="auto"/>
        <w:left w:val="none" w:sz="0" w:space="0" w:color="auto"/>
        <w:bottom w:val="none" w:sz="0" w:space="0" w:color="auto"/>
        <w:right w:val="none" w:sz="0" w:space="0" w:color="auto"/>
      </w:divBdr>
    </w:div>
    <w:div w:id="1207449293">
      <w:marLeft w:val="480"/>
      <w:marRight w:val="0"/>
      <w:marTop w:val="0"/>
      <w:marBottom w:val="0"/>
      <w:divBdr>
        <w:top w:val="none" w:sz="0" w:space="0" w:color="auto"/>
        <w:left w:val="none" w:sz="0" w:space="0" w:color="auto"/>
        <w:bottom w:val="none" w:sz="0" w:space="0" w:color="auto"/>
        <w:right w:val="none" w:sz="0" w:space="0" w:color="auto"/>
      </w:divBdr>
    </w:div>
    <w:div w:id="1207992040">
      <w:marLeft w:val="480"/>
      <w:marRight w:val="0"/>
      <w:marTop w:val="0"/>
      <w:marBottom w:val="0"/>
      <w:divBdr>
        <w:top w:val="none" w:sz="0" w:space="0" w:color="auto"/>
        <w:left w:val="none" w:sz="0" w:space="0" w:color="auto"/>
        <w:bottom w:val="none" w:sz="0" w:space="0" w:color="auto"/>
        <w:right w:val="none" w:sz="0" w:space="0" w:color="auto"/>
      </w:divBdr>
    </w:div>
    <w:div w:id="1210069006">
      <w:marLeft w:val="480"/>
      <w:marRight w:val="0"/>
      <w:marTop w:val="0"/>
      <w:marBottom w:val="0"/>
      <w:divBdr>
        <w:top w:val="none" w:sz="0" w:space="0" w:color="auto"/>
        <w:left w:val="none" w:sz="0" w:space="0" w:color="auto"/>
        <w:bottom w:val="none" w:sz="0" w:space="0" w:color="auto"/>
        <w:right w:val="none" w:sz="0" w:space="0" w:color="auto"/>
      </w:divBdr>
    </w:div>
    <w:div w:id="1210914742">
      <w:marLeft w:val="480"/>
      <w:marRight w:val="0"/>
      <w:marTop w:val="0"/>
      <w:marBottom w:val="0"/>
      <w:divBdr>
        <w:top w:val="none" w:sz="0" w:space="0" w:color="auto"/>
        <w:left w:val="none" w:sz="0" w:space="0" w:color="auto"/>
        <w:bottom w:val="none" w:sz="0" w:space="0" w:color="auto"/>
        <w:right w:val="none" w:sz="0" w:space="0" w:color="auto"/>
      </w:divBdr>
    </w:div>
    <w:div w:id="1212113172">
      <w:marLeft w:val="480"/>
      <w:marRight w:val="0"/>
      <w:marTop w:val="0"/>
      <w:marBottom w:val="0"/>
      <w:divBdr>
        <w:top w:val="none" w:sz="0" w:space="0" w:color="auto"/>
        <w:left w:val="none" w:sz="0" w:space="0" w:color="auto"/>
        <w:bottom w:val="none" w:sz="0" w:space="0" w:color="auto"/>
        <w:right w:val="none" w:sz="0" w:space="0" w:color="auto"/>
      </w:divBdr>
    </w:div>
    <w:div w:id="1213227743">
      <w:marLeft w:val="480"/>
      <w:marRight w:val="0"/>
      <w:marTop w:val="0"/>
      <w:marBottom w:val="0"/>
      <w:divBdr>
        <w:top w:val="none" w:sz="0" w:space="0" w:color="auto"/>
        <w:left w:val="none" w:sz="0" w:space="0" w:color="auto"/>
        <w:bottom w:val="none" w:sz="0" w:space="0" w:color="auto"/>
        <w:right w:val="none" w:sz="0" w:space="0" w:color="auto"/>
      </w:divBdr>
    </w:div>
    <w:div w:id="1216965926">
      <w:marLeft w:val="480"/>
      <w:marRight w:val="0"/>
      <w:marTop w:val="0"/>
      <w:marBottom w:val="0"/>
      <w:divBdr>
        <w:top w:val="none" w:sz="0" w:space="0" w:color="auto"/>
        <w:left w:val="none" w:sz="0" w:space="0" w:color="auto"/>
        <w:bottom w:val="none" w:sz="0" w:space="0" w:color="auto"/>
        <w:right w:val="none" w:sz="0" w:space="0" w:color="auto"/>
      </w:divBdr>
    </w:div>
    <w:div w:id="1217006023">
      <w:marLeft w:val="480"/>
      <w:marRight w:val="0"/>
      <w:marTop w:val="0"/>
      <w:marBottom w:val="0"/>
      <w:divBdr>
        <w:top w:val="none" w:sz="0" w:space="0" w:color="auto"/>
        <w:left w:val="none" w:sz="0" w:space="0" w:color="auto"/>
        <w:bottom w:val="none" w:sz="0" w:space="0" w:color="auto"/>
        <w:right w:val="none" w:sz="0" w:space="0" w:color="auto"/>
      </w:divBdr>
    </w:div>
    <w:div w:id="1219052960">
      <w:marLeft w:val="480"/>
      <w:marRight w:val="0"/>
      <w:marTop w:val="0"/>
      <w:marBottom w:val="0"/>
      <w:divBdr>
        <w:top w:val="none" w:sz="0" w:space="0" w:color="auto"/>
        <w:left w:val="none" w:sz="0" w:space="0" w:color="auto"/>
        <w:bottom w:val="none" w:sz="0" w:space="0" w:color="auto"/>
        <w:right w:val="none" w:sz="0" w:space="0" w:color="auto"/>
      </w:divBdr>
    </w:div>
    <w:div w:id="1219435968">
      <w:marLeft w:val="480"/>
      <w:marRight w:val="0"/>
      <w:marTop w:val="0"/>
      <w:marBottom w:val="0"/>
      <w:divBdr>
        <w:top w:val="none" w:sz="0" w:space="0" w:color="auto"/>
        <w:left w:val="none" w:sz="0" w:space="0" w:color="auto"/>
        <w:bottom w:val="none" w:sz="0" w:space="0" w:color="auto"/>
        <w:right w:val="none" w:sz="0" w:space="0" w:color="auto"/>
      </w:divBdr>
    </w:div>
    <w:div w:id="1219514908">
      <w:marLeft w:val="480"/>
      <w:marRight w:val="0"/>
      <w:marTop w:val="0"/>
      <w:marBottom w:val="0"/>
      <w:divBdr>
        <w:top w:val="none" w:sz="0" w:space="0" w:color="auto"/>
        <w:left w:val="none" w:sz="0" w:space="0" w:color="auto"/>
        <w:bottom w:val="none" w:sz="0" w:space="0" w:color="auto"/>
        <w:right w:val="none" w:sz="0" w:space="0" w:color="auto"/>
      </w:divBdr>
    </w:div>
    <w:div w:id="1221595593">
      <w:marLeft w:val="480"/>
      <w:marRight w:val="0"/>
      <w:marTop w:val="0"/>
      <w:marBottom w:val="0"/>
      <w:divBdr>
        <w:top w:val="none" w:sz="0" w:space="0" w:color="auto"/>
        <w:left w:val="none" w:sz="0" w:space="0" w:color="auto"/>
        <w:bottom w:val="none" w:sz="0" w:space="0" w:color="auto"/>
        <w:right w:val="none" w:sz="0" w:space="0" w:color="auto"/>
      </w:divBdr>
    </w:div>
    <w:div w:id="1222016068">
      <w:marLeft w:val="480"/>
      <w:marRight w:val="0"/>
      <w:marTop w:val="0"/>
      <w:marBottom w:val="0"/>
      <w:divBdr>
        <w:top w:val="none" w:sz="0" w:space="0" w:color="auto"/>
        <w:left w:val="none" w:sz="0" w:space="0" w:color="auto"/>
        <w:bottom w:val="none" w:sz="0" w:space="0" w:color="auto"/>
        <w:right w:val="none" w:sz="0" w:space="0" w:color="auto"/>
      </w:divBdr>
    </w:div>
    <w:div w:id="1223295370">
      <w:marLeft w:val="480"/>
      <w:marRight w:val="0"/>
      <w:marTop w:val="0"/>
      <w:marBottom w:val="0"/>
      <w:divBdr>
        <w:top w:val="none" w:sz="0" w:space="0" w:color="auto"/>
        <w:left w:val="none" w:sz="0" w:space="0" w:color="auto"/>
        <w:bottom w:val="none" w:sz="0" w:space="0" w:color="auto"/>
        <w:right w:val="none" w:sz="0" w:space="0" w:color="auto"/>
      </w:divBdr>
    </w:div>
    <w:div w:id="1223442706">
      <w:marLeft w:val="480"/>
      <w:marRight w:val="0"/>
      <w:marTop w:val="0"/>
      <w:marBottom w:val="0"/>
      <w:divBdr>
        <w:top w:val="none" w:sz="0" w:space="0" w:color="auto"/>
        <w:left w:val="none" w:sz="0" w:space="0" w:color="auto"/>
        <w:bottom w:val="none" w:sz="0" w:space="0" w:color="auto"/>
        <w:right w:val="none" w:sz="0" w:space="0" w:color="auto"/>
      </w:divBdr>
    </w:div>
    <w:div w:id="1225599486">
      <w:marLeft w:val="480"/>
      <w:marRight w:val="0"/>
      <w:marTop w:val="0"/>
      <w:marBottom w:val="0"/>
      <w:divBdr>
        <w:top w:val="none" w:sz="0" w:space="0" w:color="auto"/>
        <w:left w:val="none" w:sz="0" w:space="0" w:color="auto"/>
        <w:bottom w:val="none" w:sz="0" w:space="0" w:color="auto"/>
        <w:right w:val="none" w:sz="0" w:space="0" w:color="auto"/>
      </w:divBdr>
    </w:div>
    <w:div w:id="1228227031">
      <w:marLeft w:val="480"/>
      <w:marRight w:val="0"/>
      <w:marTop w:val="0"/>
      <w:marBottom w:val="0"/>
      <w:divBdr>
        <w:top w:val="none" w:sz="0" w:space="0" w:color="auto"/>
        <w:left w:val="none" w:sz="0" w:space="0" w:color="auto"/>
        <w:bottom w:val="none" w:sz="0" w:space="0" w:color="auto"/>
        <w:right w:val="none" w:sz="0" w:space="0" w:color="auto"/>
      </w:divBdr>
    </w:div>
    <w:div w:id="1231960224">
      <w:marLeft w:val="480"/>
      <w:marRight w:val="0"/>
      <w:marTop w:val="0"/>
      <w:marBottom w:val="0"/>
      <w:divBdr>
        <w:top w:val="none" w:sz="0" w:space="0" w:color="auto"/>
        <w:left w:val="none" w:sz="0" w:space="0" w:color="auto"/>
        <w:bottom w:val="none" w:sz="0" w:space="0" w:color="auto"/>
        <w:right w:val="none" w:sz="0" w:space="0" w:color="auto"/>
      </w:divBdr>
    </w:div>
    <w:div w:id="1233656489">
      <w:marLeft w:val="480"/>
      <w:marRight w:val="0"/>
      <w:marTop w:val="0"/>
      <w:marBottom w:val="0"/>
      <w:divBdr>
        <w:top w:val="none" w:sz="0" w:space="0" w:color="auto"/>
        <w:left w:val="none" w:sz="0" w:space="0" w:color="auto"/>
        <w:bottom w:val="none" w:sz="0" w:space="0" w:color="auto"/>
        <w:right w:val="none" w:sz="0" w:space="0" w:color="auto"/>
      </w:divBdr>
    </w:div>
    <w:div w:id="1233735228">
      <w:marLeft w:val="480"/>
      <w:marRight w:val="0"/>
      <w:marTop w:val="0"/>
      <w:marBottom w:val="0"/>
      <w:divBdr>
        <w:top w:val="none" w:sz="0" w:space="0" w:color="auto"/>
        <w:left w:val="none" w:sz="0" w:space="0" w:color="auto"/>
        <w:bottom w:val="none" w:sz="0" w:space="0" w:color="auto"/>
        <w:right w:val="none" w:sz="0" w:space="0" w:color="auto"/>
      </w:divBdr>
    </w:div>
    <w:div w:id="1234664403">
      <w:marLeft w:val="480"/>
      <w:marRight w:val="0"/>
      <w:marTop w:val="0"/>
      <w:marBottom w:val="0"/>
      <w:divBdr>
        <w:top w:val="none" w:sz="0" w:space="0" w:color="auto"/>
        <w:left w:val="none" w:sz="0" w:space="0" w:color="auto"/>
        <w:bottom w:val="none" w:sz="0" w:space="0" w:color="auto"/>
        <w:right w:val="none" w:sz="0" w:space="0" w:color="auto"/>
      </w:divBdr>
    </w:div>
    <w:div w:id="1236625399">
      <w:marLeft w:val="480"/>
      <w:marRight w:val="0"/>
      <w:marTop w:val="0"/>
      <w:marBottom w:val="0"/>
      <w:divBdr>
        <w:top w:val="none" w:sz="0" w:space="0" w:color="auto"/>
        <w:left w:val="none" w:sz="0" w:space="0" w:color="auto"/>
        <w:bottom w:val="none" w:sz="0" w:space="0" w:color="auto"/>
        <w:right w:val="none" w:sz="0" w:space="0" w:color="auto"/>
      </w:divBdr>
    </w:div>
    <w:div w:id="1237594820">
      <w:marLeft w:val="480"/>
      <w:marRight w:val="0"/>
      <w:marTop w:val="0"/>
      <w:marBottom w:val="0"/>
      <w:divBdr>
        <w:top w:val="none" w:sz="0" w:space="0" w:color="auto"/>
        <w:left w:val="none" w:sz="0" w:space="0" w:color="auto"/>
        <w:bottom w:val="none" w:sz="0" w:space="0" w:color="auto"/>
        <w:right w:val="none" w:sz="0" w:space="0" w:color="auto"/>
      </w:divBdr>
    </w:div>
    <w:div w:id="1238369217">
      <w:marLeft w:val="480"/>
      <w:marRight w:val="0"/>
      <w:marTop w:val="0"/>
      <w:marBottom w:val="0"/>
      <w:divBdr>
        <w:top w:val="none" w:sz="0" w:space="0" w:color="auto"/>
        <w:left w:val="none" w:sz="0" w:space="0" w:color="auto"/>
        <w:bottom w:val="none" w:sz="0" w:space="0" w:color="auto"/>
        <w:right w:val="none" w:sz="0" w:space="0" w:color="auto"/>
      </w:divBdr>
    </w:div>
    <w:div w:id="1238980816">
      <w:marLeft w:val="480"/>
      <w:marRight w:val="0"/>
      <w:marTop w:val="0"/>
      <w:marBottom w:val="0"/>
      <w:divBdr>
        <w:top w:val="none" w:sz="0" w:space="0" w:color="auto"/>
        <w:left w:val="none" w:sz="0" w:space="0" w:color="auto"/>
        <w:bottom w:val="none" w:sz="0" w:space="0" w:color="auto"/>
        <w:right w:val="none" w:sz="0" w:space="0" w:color="auto"/>
      </w:divBdr>
    </w:div>
    <w:div w:id="1239943530">
      <w:marLeft w:val="480"/>
      <w:marRight w:val="0"/>
      <w:marTop w:val="0"/>
      <w:marBottom w:val="0"/>
      <w:divBdr>
        <w:top w:val="none" w:sz="0" w:space="0" w:color="auto"/>
        <w:left w:val="none" w:sz="0" w:space="0" w:color="auto"/>
        <w:bottom w:val="none" w:sz="0" w:space="0" w:color="auto"/>
        <w:right w:val="none" w:sz="0" w:space="0" w:color="auto"/>
      </w:divBdr>
    </w:div>
    <w:div w:id="1242570173">
      <w:marLeft w:val="480"/>
      <w:marRight w:val="0"/>
      <w:marTop w:val="0"/>
      <w:marBottom w:val="0"/>
      <w:divBdr>
        <w:top w:val="none" w:sz="0" w:space="0" w:color="auto"/>
        <w:left w:val="none" w:sz="0" w:space="0" w:color="auto"/>
        <w:bottom w:val="none" w:sz="0" w:space="0" w:color="auto"/>
        <w:right w:val="none" w:sz="0" w:space="0" w:color="auto"/>
      </w:divBdr>
    </w:div>
    <w:div w:id="1248728403">
      <w:marLeft w:val="480"/>
      <w:marRight w:val="0"/>
      <w:marTop w:val="0"/>
      <w:marBottom w:val="0"/>
      <w:divBdr>
        <w:top w:val="none" w:sz="0" w:space="0" w:color="auto"/>
        <w:left w:val="none" w:sz="0" w:space="0" w:color="auto"/>
        <w:bottom w:val="none" w:sz="0" w:space="0" w:color="auto"/>
        <w:right w:val="none" w:sz="0" w:space="0" w:color="auto"/>
      </w:divBdr>
    </w:div>
    <w:div w:id="1248886391">
      <w:marLeft w:val="480"/>
      <w:marRight w:val="0"/>
      <w:marTop w:val="0"/>
      <w:marBottom w:val="0"/>
      <w:divBdr>
        <w:top w:val="none" w:sz="0" w:space="0" w:color="auto"/>
        <w:left w:val="none" w:sz="0" w:space="0" w:color="auto"/>
        <w:bottom w:val="none" w:sz="0" w:space="0" w:color="auto"/>
        <w:right w:val="none" w:sz="0" w:space="0" w:color="auto"/>
      </w:divBdr>
    </w:div>
    <w:div w:id="1251239549">
      <w:marLeft w:val="480"/>
      <w:marRight w:val="0"/>
      <w:marTop w:val="0"/>
      <w:marBottom w:val="0"/>
      <w:divBdr>
        <w:top w:val="none" w:sz="0" w:space="0" w:color="auto"/>
        <w:left w:val="none" w:sz="0" w:space="0" w:color="auto"/>
        <w:bottom w:val="none" w:sz="0" w:space="0" w:color="auto"/>
        <w:right w:val="none" w:sz="0" w:space="0" w:color="auto"/>
      </w:divBdr>
    </w:div>
    <w:div w:id="1259561335">
      <w:marLeft w:val="480"/>
      <w:marRight w:val="0"/>
      <w:marTop w:val="0"/>
      <w:marBottom w:val="0"/>
      <w:divBdr>
        <w:top w:val="none" w:sz="0" w:space="0" w:color="auto"/>
        <w:left w:val="none" w:sz="0" w:space="0" w:color="auto"/>
        <w:bottom w:val="none" w:sz="0" w:space="0" w:color="auto"/>
        <w:right w:val="none" w:sz="0" w:space="0" w:color="auto"/>
      </w:divBdr>
    </w:div>
    <w:div w:id="1259681756">
      <w:marLeft w:val="480"/>
      <w:marRight w:val="0"/>
      <w:marTop w:val="0"/>
      <w:marBottom w:val="0"/>
      <w:divBdr>
        <w:top w:val="none" w:sz="0" w:space="0" w:color="auto"/>
        <w:left w:val="none" w:sz="0" w:space="0" w:color="auto"/>
        <w:bottom w:val="none" w:sz="0" w:space="0" w:color="auto"/>
        <w:right w:val="none" w:sz="0" w:space="0" w:color="auto"/>
      </w:divBdr>
    </w:div>
    <w:div w:id="1263220681">
      <w:marLeft w:val="480"/>
      <w:marRight w:val="0"/>
      <w:marTop w:val="0"/>
      <w:marBottom w:val="0"/>
      <w:divBdr>
        <w:top w:val="none" w:sz="0" w:space="0" w:color="auto"/>
        <w:left w:val="none" w:sz="0" w:space="0" w:color="auto"/>
        <w:bottom w:val="none" w:sz="0" w:space="0" w:color="auto"/>
        <w:right w:val="none" w:sz="0" w:space="0" w:color="auto"/>
      </w:divBdr>
    </w:div>
    <w:div w:id="1264848191">
      <w:marLeft w:val="480"/>
      <w:marRight w:val="0"/>
      <w:marTop w:val="0"/>
      <w:marBottom w:val="0"/>
      <w:divBdr>
        <w:top w:val="none" w:sz="0" w:space="0" w:color="auto"/>
        <w:left w:val="none" w:sz="0" w:space="0" w:color="auto"/>
        <w:bottom w:val="none" w:sz="0" w:space="0" w:color="auto"/>
        <w:right w:val="none" w:sz="0" w:space="0" w:color="auto"/>
      </w:divBdr>
    </w:div>
    <w:div w:id="1266309755">
      <w:marLeft w:val="480"/>
      <w:marRight w:val="0"/>
      <w:marTop w:val="0"/>
      <w:marBottom w:val="0"/>
      <w:divBdr>
        <w:top w:val="none" w:sz="0" w:space="0" w:color="auto"/>
        <w:left w:val="none" w:sz="0" w:space="0" w:color="auto"/>
        <w:bottom w:val="none" w:sz="0" w:space="0" w:color="auto"/>
        <w:right w:val="none" w:sz="0" w:space="0" w:color="auto"/>
      </w:divBdr>
    </w:div>
    <w:div w:id="1267616337">
      <w:marLeft w:val="480"/>
      <w:marRight w:val="0"/>
      <w:marTop w:val="0"/>
      <w:marBottom w:val="0"/>
      <w:divBdr>
        <w:top w:val="none" w:sz="0" w:space="0" w:color="auto"/>
        <w:left w:val="none" w:sz="0" w:space="0" w:color="auto"/>
        <w:bottom w:val="none" w:sz="0" w:space="0" w:color="auto"/>
        <w:right w:val="none" w:sz="0" w:space="0" w:color="auto"/>
      </w:divBdr>
    </w:div>
    <w:div w:id="1269898193">
      <w:marLeft w:val="480"/>
      <w:marRight w:val="0"/>
      <w:marTop w:val="0"/>
      <w:marBottom w:val="0"/>
      <w:divBdr>
        <w:top w:val="none" w:sz="0" w:space="0" w:color="auto"/>
        <w:left w:val="none" w:sz="0" w:space="0" w:color="auto"/>
        <w:bottom w:val="none" w:sz="0" w:space="0" w:color="auto"/>
        <w:right w:val="none" w:sz="0" w:space="0" w:color="auto"/>
      </w:divBdr>
    </w:div>
    <w:div w:id="1272472631">
      <w:marLeft w:val="480"/>
      <w:marRight w:val="0"/>
      <w:marTop w:val="0"/>
      <w:marBottom w:val="0"/>
      <w:divBdr>
        <w:top w:val="none" w:sz="0" w:space="0" w:color="auto"/>
        <w:left w:val="none" w:sz="0" w:space="0" w:color="auto"/>
        <w:bottom w:val="none" w:sz="0" w:space="0" w:color="auto"/>
        <w:right w:val="none" w:sz="0" w:space="0" w:color="auto"/>
      </w:divBdr>
    </w:div>
    <w:div w:id="1273980916">
      <w:marLeft w:val="480"/>
      <w:marRight w:val="0"/>
      <w:marTop w:val="0"/>
      <w:marBottom w:val="0"/>
      <w:divBdr>
        <w:top w:val="none" w:sz="0" w:space="0" w:color="auto"/>
        <w:left w:val="none" w:sz="0" w:space="0" w:color="auto"/>
        <w:bottom w:val="none" w:sz="0" w:space="0" w:color="auto"/>
        <w:right w:val="none" w:sz="0" w:space="0" w:color="auto"/>
      </w:divBdr>
    </w:div>
    <w:div w:id="1275400509">
      <w:marLeft w:val="480"/>
      <w:marRight w:val="0"/>
      <w:marTop w:val="0"/>
      <w:marBottom w:val="0"/>
      <w:divBdr>
        <w:top w:val="none" w:sz="0" w:space="0" w:color="auto"/>
        <w:left w:val="none" w:sz="0" w:space="0" w:color="auto"/>
        <w:bottom w:val="none" w:sz="0" w:space="0" w:color="auto"/>
        <w:right w:val="none" w:sz="0" w:space="0" w:color="auto"/>
      </w:divBdr>
    </w:div>
    <w:div w:id="1275869933">
      <w:marLeft w:val="480"/>
      <w:marRight w:val="0"/>
      <w:marTop w:val="0"/>
      <w:marBottom w:val="0"/>
      <w:divBdr>
        <w:top w:val="none" w:sz="0" w:space="0" w:color="auto"/>
        <w:left w:val="none" w:sz="0" w:space="0" w:color="auto"/>
        <w:bottom w:val="none" w:sz="0" w:space="0" w:color="auto"/>
        <w:right w:val="none" w:sz="0" w:space="0" w:color="auto"/>
      </w:divBdr>
    </w:div>
    <w:div w:id="1276327047">
      <w:marLeft w:val="480"/>
      <w:marRight w:val="0"/>
      <w:marTop w:val="0"/>
      <w:marBottom w:val="0"/>
      <w:divBdr>
        <w:top w:val="none" w:sz="0" w:space="0" w:color="auto"/>
        <w:left w:val="none" w:sz="0" w:space="0" w:color="auto"/>
        <w:bottom w:val="none" w:sz="0" w:space="0" w:color="auto"/>
        <w:right w:val="none" w:sz="0" w:space="0" w:color="auto"/>
      </w:divBdr>
    </w:div>
    <w:div w:id="1277757677">
      <w:marLeft w:val="480"/>
      <w:marRight w:val="0"/>
      <w:marTop w:val="0"/>
      <w:marBottom w:val="0"/>
      <w:divBdr>
        <w:top w:val="none" w:sz="0" w:space="0" w:color="auto"/>
        <w:left w:val="none" w:sz="0" w:space="0" w:color="auto"/>
        <w:bottom w:val="none" w:sz="0" w:space="0" w:color="auto"/>
        <w:right w:val="none" w:sz="0" w:space="0" w:color="auto"/>
      </w:divBdr>
    </w:div>
    <w:div w:id="1278100630">
      <w:marLeft w:val="480"/>
      <w:marRight w:val="0"/>
      <w:marTop w:val="0"/>
      <w:marBottom w:val="0"/>
      <w:divBdr>
        <w:top w:val="none" w:sz="0" w:space="0" w:color="auto"/>
        <w:left w:val="none" w:sz="0" w:space="0" w:color="auto"/>
        <w:bottom w:val="none" w:sz="0" w:space="0" w:color="auto"/>
        <w:right w:val="none" w:sz="0" w:space="0" w:color="auto"/>
      </w:divBdr>
    </w:div>
    <w:div w:id="1280720448">
      <w:marLeft w:val="480"/>
      <w:marRight w:val="0"/>
      <w:marTop w:val="0"/>
      <w:marBottom w:val="0"/>
      <w:divBdr>
        <w:top w:val="none" w:sz="0" w:space="0" w:color="auto"/>
        <w:left w:val="none" w:sz="0" w:space="0" w:color="auto"/>
        <w:bottom w:val="none" w:sz="0" w:space="0" w:color="auto"/>
        <w:right w:val="none" w:sz="0" w:space="0" w:color="auto"/>
      </w:divBdr>
    </w:div>
    <w:div w:id="1281258981">
      <w:marLeft w:val="480"/>
      <w:marRight w:val="0"/>
      <w:marTop w:val="0"/>
      <w:marBottom w:val="0"/>
      <w:divBdr>
        <w:top w:val="none" w:sz="0" w:space="0" w:color="auto"/>
        <w:left w:val="none" w:sz="0" w:space="0" w:color="auto"/>
        <w:bottom w:val="none" w:sz="0" w:space="0" w:color="auto"/>
        <w:right w:val="none" w:sz="0" w:space="0" w:color="auto"/>
      </w:divBdr>
    </w:div>
    <w:div w:id="1283852186">
      <w:marLeft w:val="480"/>
      <w:marRight w:val="0"/>
      <w:marTop w:val="0"/>
      <w:marBottom w:val="0"/>
      <w:divBdr>
        <w:top w:val="none" w:sz="0" w:space="0" w:color="auto"/>
        <w:left w:val="none" w:sz="0" w:space="0" w:color="auto"/>
        <w:bottom w:val="none" w:sz="0" w:space="0" w:color="auto"/>
        <w:right w:val="none" w:sz="0" w:space="0" w:color="auto"/>
      </w:divBdr>
    </w:div>
    <w:div w:id="1285113030">
      <w:marLeft w:val="480"/>
      <w:marRight w:val="0"/>
      <w:marTop w:val="0"/>
      <w:marBottom w:val="0"/>
      <w:divBdr>
        <w:top w:val="none" w:sz="0" w:space="0" w:color="auto"/>
        <w:left w:val="none" w:sz="0" w:space="0" w:color="auto"/>
        <w:bottom w:val="none" w:sz="0" w:space="0" w:color="auto"/>
        <w:right w:val="none" w:sz="0" w:space="0" w:color="auto"/>
      </w:divBdr>
    </w:div>
    <w:div w:id="1286083455">
      <w:marLeft w:val="480"/>
      <w:marRight w:val="0"/>
      <w:marTop w:val="0"/>
      <w:marBottom w:val="0"/>
      <w:divBdr>
        <w:top w:val="none" w:sz="0" w:space="0" w:color="auto"/>
        <w:left w:val="none" w:sz="0" w:space="0" w:color="auto"/>
        <w:bottom w:val="none" w:sz="0" w:space="0" w:color="auto"/>
        <w:right w:val="none" w:sz="0" w:space="0" w:color="auto"/>
      </w:divBdr>
    </w:div>
    <w:div w:id="1286427101">
      <w:marLeft w:val="480"/>
      <w:marRight w:val="0"/>
      <w:marTop w:val="0"/>
      <w:marBottom w:val="0"/>
      <w:divBdr>
        <w:top w:val="none" w:sz="0" w:space="0" w:color="auto"/>
        <w:left w:val="none" w:sz="0" w:space="0" w:color="auto"/>
        <w:bottom w:val="none" w:sz="0" w:space="0" w:color="auto"/>
        <w:right w:val="none" w:sz="0" w:space="0" w:color="auto"/>
      </w:divBdr>
    </w:div>
    <w:div w:id="1289506988">
      <w:marLeft w:val="480"/>
      <w:marRight w:val="0"/>
      <w:marTop w:val="0"/>
      <w:marBottom w:val="0"/>
      <w:divBdr>
        <w:top w:val="none" w:sz="0" w:space="0" w:color="auto"/>
        <w:left w:val="none" w:sz="0" w:space="0" w:color="auto"/>
        <w:bottom w:val="none" w:sz="0" w:space="0" w:color="auto"/>
        <w:right w:val="none" w:sz="0" w:space="0" w:color="auto"/>
      </w:divBdr>
    </w:div>
    <w:div w:id="1289892769">
      <w:marLeft w:val="480"/>
      <w:marRight w:val="0"/>
      <w:marTop w:val="0"/>
      <w:marBottom w:val="0"/>
      <w:divBdr>
        <w:top w:val="none" w:sz="0" w:space="0" w:color="auto"/>
        <w:left w:val="none" w:sz="0" w:space="0" w:color="auto"/>
        <w:bottom w:val="none" w:sz="0" w:space="0" w:color="auto"/>
        <w:right w:val="none" w:sz="0" w:space="0" w:color="auto"/>
      </w:divBdr>
    </w:div>
    <w:div w:id="1290942329">
      <w:marLeft w:val="480"/>
      <w:marRight w:val="0"/>
      <w:marTop w:val="0"/>
      <w:marBottom w:val="0"/>
      <w:divBdr>
        <w:top w:val="none" w:sz="0" w:space="0" w:color="auto"/>
        <w:left w:val="none" w:sz="0" w:space="0" w:color="auto"/>
        <w:bottom w:val="none" w:sz="0" w:space="0" w:color="auto"/>
        <w:right w:val="none" w:sz="0" w:space="0" w:color="auto"/>
      </w:divBdr>
    </w:div>
    <w:div w:id="1295988748">
      <w:marLeft w:val="480"/>
      <w:marRight w:val="0"/>
      <w:marTop w:val="0"/>
      <w:marBottom w:val="0"/>
      <w:divBdr>
        <w:top w:val="none" w:sz="0" w:space="0" w:color="auto"/>
        <w:left w:val="none" w:sz="0" w:space="0" w:color="auto"/>
        <w:bottom w:val="none" w:sz="0" w:space="0" w:color="auto"/>
        <w:right w:val="none" w:sz="0" w:space="0" w:color="auto"/>
      </w:divBdr>
    </w:div>
    <w:div w:id="1296567729">
      <w:marLeft w:val="480"/>
      <w:marRight w:val="0"/>
      <w:marTop w:val="0"/>
      <w:marBottom w:val="0"/>
      <w:divBdr>
        <w:top w:val="none" w:sz="0" w:space="0" w:color="auto"/>
        <w:left w:val="none" w:sz="0" w:space="0" w:color="auto"/>
        <w:bottom w:val="none" w:sz="0" w:space="0" w:color="auto"/>
        <w:right w:val="none" w:sz="0" w:space="0" w:color="auto"/>
      </w:divBdr>
    </w:div>
    <w:div w:id="1296833584">
      <w:marLeft w:val="480"/>
      <w:marRight w:val="0"/>
      <w:marTop w:val="0"/>
      <w:marBottom w:val="0"/>
      <w:divBdr>
        <w:top w:val="none" w:sz="0" w:space="0" w:color="auto"/>
        <w:left w:val="none" w:sz="0" w:space="0" w:color="auto"/>
        <w:bottom w:val="none" w:sz="0" w:space="0" w:color="auto"/>
        <w:right w:val="none" w:sz="0" w:space="0" w:color="auto"/>
      </w:divBdr>
    </w:div>
    <w:div w:id="1296907176">
      <w:marLeft w:val="480"/>
      <w:marRight w:val="0"/>
      <w:marTop w:val="0"/>
      <w:marBottom w:val="0"/>
      <w:divBdr>
        <w:top w:val="none" w:sz="0" w:space="0" w:color="auto"/>
        <w:left w:val="none" w:sz="0" w:space="0" w:color="auto"/>
        <w:bottom w:val="none" w:sz="0" w:space="0" w:color="auto"/>
        <w:right w:val="none" w:sz="0" w:space="0" w:color="auto"/>
      </w:divBdr>
    </w:div>
    <w:div w:id="1302686231">
      <w:marLeft w:val="480"/>
      <w:marRight w:val="0"/>
      <w:marTop w:val="0"/>
      <w:marBottom w:val="0"/>
      <w:divBdr>
        <w:top w:val="none" w:sz="0" w:space="0" w:color="auto"/>
        <w:left w:val="none" w:sz="0" w:space="0" w:color="auto"/>
        <w:bottom w:val="none" w:sz="0" w:space="0" w:color="auto"/>
        <w:right w:val="none" w:sz="0" w:space="0" w:color="auto"/>
      </w:divBdr>
    </w:div>
    <w:div w:id="1303922586">
      <w:marLeft w:val="480"/>
      <w:marRight w:val="0"/>
      <w:marTop w:val="0"/>
      <w:marBottom w:val="0"/>
      <w:divBdr>
        <w:top w:val="none" w:sz="0" w:space="0" w:color="auto"/>
        <w:left w:val="none" w:sz="0" w:space="0" w:color="auto"/>
        <w:bottom w:val="none" w:sz="0" w:space="0" w:color="auto"/>
        <w:right w:val="none" w:sz="0" w:space="0" w:color="auto"/>
      </w:divBdr>
    </w:div>
    <w:div w:id="1304389819">
      <w:marLeft w:val="480"/>
      <w:marRight w:val="0"/>
      <w:marTop w:val="0"/>
      <w:marBottom w:val="0"/>
      <w:divBdr>
        <w:top w:val="none" w:sz="0" w:space="0" w:color="auto"/>
        <w:left w:val="none" w:sz="0" w:space="0" w:color="auto"/>
        <w:bottom w:val="none" w:sz="0" w:space="0" w:color="auto"/>
        <w:right w:val="none" w:sz="0" w:space="0" w:color="auto"/>
      </w:divBdr>
    </w:div>
    <w:div w:id="1305964047">
      <w:marLeft w:val="480"/>
      <w:marRight w:val="0"/>
      <w:marTop w:val="0"/>
      <w:marBottom w:val="0"/>
      <w:divBdr>
        <w:top w:val="none" w:sz="0" w:space="0" w:color="auto"/>
        <w:left w:val="none" w:sz="0" w:space="0" w:color="auto"/>
        <w:bottom w:val="none" w:sz="0" w:space="0" w:color="auto"/>
        <w:right w:val="none" w:sz="0" w:space="0" w:color="auto"/>
      </w:divBdr>
    </w:div>
    <w:div w:id="1306396853">
      <w:marLeft w:val="480"/>
      <w:marRight w:val="0"/>
      <w:marTop w:val="0"/>
      <w:marBottom w:val="0"/>
      <w:divBdr>
        <w:top w:val="none" w:sz="0" w:space="0" w:color="auto"/>
        <w:left w:val="none" w:sz="0" w:space="0" w:color="auto"/>
        <w:bottom w:val="none" w:sz="0" w:space="0" w:color="auto"/>
        <w:right w:val="none" w:sz="0" w:space="0" w:color="auto"/>
      </w:divBdr>
    </w:div>
    <w:div w:id="1306621461">
      <w:marLeft w:val="480"/>
      <w:marRight w:val="0"/>
      <w:marTop w:val="0"/>
      <w:marBottom w:val="0"/>
      <w:divBdr>
        <w:top w:val="none" w:sz="0" w:space="0" w:color="auto"/>
        <w:left w:val="none" w:sz="0" w:space="0" w:color="auto"/>
        <w:bottom w:val="none" w:sz="0" w:space="0" w:color="auto"/>
        <w:right w:val="none" w:sz="0" w:space="0" w:color="auto"/>
      </w:divBdr>
    </w:div>
    <w:div w:id="1309479202">
      <w:marLeft w:val="480"/>
      <w:marRight w:val="0"/>
      <w:marTop w:val="0"/>
      <w:marBottom w:val="0"/>
      <w:divBdr>
        <w:top w:val="none" w:sz="0" w:space="0" w:color="auto"/>
        <w:left w:val="none" w:sz="0" w:space="0" w:color="auto"/>
        <w:bottom w:val="none" w:sz="0" w:space="0" w:color="auto"/>
        <w:right w:val="none" w:sz="0" w:space="0" w:color="auto"/>
      </w:divBdr>
    </w:div>
    <w:div w:id="1309936169">
      <w:marLeft w:val="480"/>
      <w:marRight w:val="0"/>
      <w:marTop w:val="0"/>
      <w:marBottom w:val="0"/>
      <w:divBdr>
        <w:top w:val="none" w:sz="0" w:space="0" w:color="auto"/>
        <w:left w:val="none" w:sz="0" w:space="0" w:color="auto"/>
        <w:bottom w:val="none" w:sz="0" w:space="0" w:color="auto"/>
        <w:right w:val="none" w:sz="0" w:space="0" w:color="auto"/>
      </w:divBdr>
    </w:div>
    <w:div w:id="1310283151">
      <w:marLeft w:val="480"/>
      <w:marRight w:val="0"/>
      <w:marTop w:val="0"/>
      <w:marBottom w:val="0"/>
      <w:divBdr>
        <w:top w:val="none" w:sz="0" w:space="0" w:color="auto"/>
        <w:left w:val="none" w:sz="0" w:space="0" w:color="auto"/>
        <w:bottom w:val="none" w:sz="0" w:space="0" w:color="auto"/>
        <w:right w:val="none" w:sz="0" w:space="0" w:color="auto"/>
      </w:divBdr>
    </w:div>
    <w:div w:id="1310474118">
      <w:marLeft w:val="480"/>
      <w:marRight w:val="0"/>
      <w:marTop w:val="0"/>
      <w:marBottom w:val="0"/>
      <w:divBdr>
        <w:top w:val="none" w:sz="0" w:space="0" w:color="auto"/>
        <w:left w:val="none" w:sz="0" w:space="0" w:color="auto"/>
        <w:bottom w:val="none" w:sz="0" w:space="0" w:color="auto"/>
        <w:right w:val="none" w:sz="0" w:space="0" w:color="auto"/>
      </w:divBdr>
    </w:div>
    <w:div w:id="1312952045">
      <w:marLeft w:val="480"/>
      <w:marRight w:val="0"/>
      <w:marTop w:val="0"/>
      <w:marBottom w:val="0"/>
      <w:divBdr>
        <w:top w:val="none" w:sz="0" w:space="0" w:color="auto"/>
        <w:left w:val="none" w:sz="0" w:space="0" w:color="auto"/>
        <w:bottom w:val="none" w:sz="0" w:space="0" w:color="auto"/>
        <w:right w:val="none" w:sz="0" w:space="0" w:color="auto"/>
      </w:divBdr>
    </w:div>
    <w:div w:id="1313221542">
      <w:marLeft w:val="480"/>
      <w:marRight w:val="0"/>
      <w:marTop w:val="0"/>
      <w:marBottom w:val="0"/>
      <w:divBdr>
        <w:top w:val="none" w:sz="0" w:space="0" w:color="auto"/>
        <w:left w:val="none" w:sz="0" w:space="0" w:color="auto"/>
        <w:bottom w:val="none" w:sz="0" w:space="0" w:color="auto"/>
        <w:right w:val="none" w:sz="0" w:space="0" w:color="auto"/>
      </w:divBdr>
    </w:div>
    <w:div w:id="1314288882">
      <w:marLeft w:val="480"/>
      <w:marRight w:val="0"/>
      <w:marTop w:val="0"/>
      <w:marBottom w:val="0"/>
      <w:divBdr>
        <w:top w:val="none" w:sz="0" w:space="0" w:color="auto"/>
        <w:left w:val="none" w:sz="0" w:space="0" w:color="auto"/>
        <w:bottom w:val="none" w:sz="0" w:space="0" w:color="auto"/>
        <w:right w:val="none" w:sz="0" w:space="0" w:color="auto"/>
      </w:divBdr>
    </w:div>
    <w:div w:id="1314410555">
      <w:marLeft w:val="480"/>
      <w:marRight w:val="0"/>
      <w:marTop w:val="0"/>
      <w:marBottom w:val="0"/>
      <w:divBdr>
        <w:top w:val="none" w:sz="0" w:space="0" w:color="auto"/>
        <w:left w:val="none" w:sz="0" w:space="0" w:color="auto"/>
        <w:bottom w:val="none" w:sz="0" w:space="0" w:color="auto"/>
        <w:right w:val="none" w:sz="0" w:space="0" w:color="auto"/>
      </w:divBdr>
    </w:div>
    <w:div w:id="1316451377">
      <w:marLeft w:val="480"/>
      <w:marRight w:val="0"/>
      <w:marTop w:val="0"/>
      <w:marBottom w:val="0"/>
      <w:divBdr>
        <w:top w:val="none" w:sz="0" w:space="0" w:color="auto"/>
        <w:left w:val="none" w:sz="0" w:space="0" w:color="auto"/>
        <w:bottom w:val="none" w:sz="0" w:space="0" w:color="auto"/>
        <w:right w:val="none" w:sz="0" w:space="0" w:color="auto"/>
      </w:divBdr>
    </w:div>
    <w:div w:id="1318806116">
      <w:marLeft w:val="480"/>
      <w:marRight w:val="0"/>
      <w:marTop w:val="0"/>
      <w:marBottom w:val="0"/>
      <w:divBdr>
        <w:top w:val="none" w:sz="0" w:space="0" w:color="auto"/>
        <w:left w:val="none" w:sz="0" w:space="0" w:color="auto"/>
        <w:bottom w:val="none" w:sz="0" w:space="0" w:color="auto"/>
        <w:right w:val="none" w:sz="0" w:space="0" w:color="auto"/>
      </w:divBdr>
    </w:div>
    <w:div w:id="1319650604">
      <w:marLeft w:val="480"/>
      <w:marRight w:val="0"/>
      <w:marTop w:val="0"/>
      <w:marBottom w:val="0"/>
      <w:divBdr>
        <w:top w:val="none" w:sz="0" w:space="0" w:color="auto"/>
        <w:left w:val="none" w:sz="0" w:space="0" w:color="auto"/>
        <w:bottom w:val="none" w:sz="0" w:space="0" w:color="auto"/>
        <w:right w:val="none" w:sz="0" w:space="0" w:color="auto"/>
      </w:divBdr>
    </w:div>
    <w:div w:id="1320382741">
      <w:marLeft w:val="480"/>
      <w:marRight w:val="0"/>
      <w:marTop w:val="0"/>
      <w:marBottom w:val="0"/>
      <w:divBdr>
        <w:top w:val="none" w:sz="0" w:space="0" w:color="auto"/>
        <w:left w:val="none" w:sz="0" w:space="0" w:color="auto"/>
        <w:bottom w:val="none" w:sz="0" w:space="0" w:color="auto"/>
        <w:right w:val="none" w:sz="0" w:space="0" w:color="auto"/>
      </w:divBdr>
    </w:div>
    <w:div w:id="1324042016">
      <w:marLeft w:val="480"/>
      <w:marRight w:val="0"/>
      <w:marTop w:val="0"/>
      <w:marBottom w:val="0"/>
      <w:divBdr>
        <w:top w:val="none" w:sz="0" w:space="0" w:color="auto"/>
        <w:left w:val="none" w:sz="0" w:space="0" w:color="auto"/>
        <w:bottom w:val="none" w:sz="0" w:space="0" w:color="auto"/>
        <w:right w:val="none" w:sz="0" w:space="0" w:color="auto"/>
      </w:divBdr>
    </w:div>
    <w:div w:id="1326974633">
      <w:marLeft w:val="480"/>
      <w:marRight w:val="0"/>
      <w:marTop w:val="0"/>
      <w:marBottom w:val="0"/>
      <w:divBdr>
        <w:top w:val="none" w:sz="0" w:space="0" w:color="auto"/>
        <w:left w:val="none" w:sz="0" w:space="0" w:color="auto"/>
        <w:bottom w:val="none" w:sz="0" w:space="0" w:color="auto"/>
        <w:right w:val="none" w:sz="0" w:space="0" w:color="auto"/>
      </w:divBdr>
    </w:div>
    <w:div w:id="1327441475">
      <w:marLeft w:val="480"/>
      <w:marRight w:val="0"/>
      <w:marTop w:val="0"/>
      <w:marBottom w:val="0"/>
      <w:divBdr>
        <w:top w:val="none" w:sz="0" w:space="0" w:color="auto"/>
        <w:left w:val="none" w:sz="0" w:space="0" w:color="auto"/>
        <w:bottom w:val="none" w:sz="0" w:space="0" w:color="auto"/>
        <w:right w:val="none" w:sz="0" w:space="0" w:color="auto"/>
      </w:divBdr>
    </w:div>
    <w:div w:id="1328434350">
      <w:marLeft w:val="480"/>
      <w:marRight w:val="0"/>
      <w:marTop w:val="0"/>
      <w:marBottom w:val="0"/>
      <w:divBdr>
        <w:top w:val="none" w:sz="0" w:space="0" w:color="auto"/>
        <w:left w:val="none" w:sz="0" w:space="0" w:color="auto"/>
        <w:bottom w:val="none" w:sz="0" w:space="0" w:color="auto"/>
        <w:right w:val="none" w:sz="0" w:space="0" w:color="auto"/>
      </w:divBdr>
    </w:div>
    <w:div w:id="1330407574">
      <w:marLeft w:val="480"/>
      <w:marRight w:val="0"/>
      <w:marTop w:val="0"/>
      <w:marBottom w:val="0"/>
      <w:divBdr>
        <w:top w:val="none" w:sz="0" w:space="0" w:color="auto"/>
        <w:left w:val="none" w:sz="0" w:space="0" w:color="auto"/>
        <w:bottom w:val="none" w:sz="0" w:space="0" w:color="auto"/>
        <w:right w:val="none" w:sz="0" w:space="0" w:color="auto"/>
      </w:divBdr>
    </w:div>
    <w:div w:id="1333486437">
      <w:marLeft w:val="480"/>
      <w:marRight w:val="0"/>
      <w:marTop w:val="0"/>
      <w:marBottom w:val="0"/>
      <w:divBdr>
        <w:top w:val="none" w:sz="0" w:space="0" w:color="auto"/>
        <w:left w:val="none" w:sz="0" w:space="0" w:color="auto"/>
        <w:bottom w:val="none" w:sz="0" w:space="0" w:color="auto"/>
        <w:right w:val="none" w:sz="0" w:space="0" w:color="auto"/>
      </w:divBdr>
    </w:div>
    <w:div w:id="1334920522">
      <w:marLeft w:val="480"/>
      <w:marRight w:val="0"/>
      <w:marTop w:val="0"/>
      <w:marBottom w:val="0"/>
      <w:divBdr>
        <w:top w:val="none" w:sz="0" w:space="0" w:color="auto"/>
        <w:left w:val="none" w:sz="0" w:space="0" w:color="auto"/>
        <w:bottom w:val="none" w:sz="0" w:space="0" w:color="auto"/>
        <w:right w:val="none" w:sz="0" w:space="0" w:color="auto"/>
      </w:divBdr>
    </w:div>
    <w:div w:id="1335255976">
      <w:marLeft w:val="480"/>
      <w:marRight w:val="0"/>
      <w:marTop w:val="0"/>
      <w:marBottom w:val="0"/>
      <w:divBdr>
        <w:top w:val="none" w:sz="0" w:space="0" w:color="auto"/>
        <w:left w:val="none" w:sz="0" w:space="0" w:color="auto"/>
        <w:bottom w:val="none" w:sz="0" w:space="0" w:color="auto"/>
        <w:right w:val="none" w:sz="0" w:space="0" w:color="auto"/>
      </w:divBdr>
    </w:div>
    <w:div w:id="1335841342">
      <w:marLeft w:val="480"/>
      <w:marRight w:val="0"/>
      <w:marTop w:val="0"/>
      <w:marBottom w:val="0"/>
      <w:divBdr>
        <w:top w:val="none" w:sz="0" w:space="0" w:color="auto"/>
        <w:left w:val="none" w:sz="0" w:space="0" w:color="auto"/>
        <w:bottom w:val="none" w:sz="0" w:space="0" w:color="auto"/>
        <w:right w:val="none" w:sz="0" w:space="0" w:color="auto"/>
      </w:divBdr>
    </w:div>
    <w:div w:id="1335960174">
      <w:marLeft w:val="480"/>
      <w:marRight w:val="0"/>
      <w:marTop w:val="0"/>
      <w:marBottom w:val="0"/>
      <w:divBdr>
        <w:top w:val="none" w:sz="0" w:space="0" w:color="auto"/>
        <w:left w:val="none" w:sz="0" w:space="0" w:color="auto"/>
        <w:bottom w:val="none" w:sz="0" w:space="0" w:color="auto"/>
        <w:right w:val="none" w:sz="0" w:space="0" w:color="auto"/>
      </w:divBdr>
    </w:div>
    <w:div w:id="1337341961">
      <w:marLeft w:val="480"/>
      <w:marRight w:val="0"/>
      <w:marTop w:val="0"/>
      <w:marBottom w:val="0"/>
      <w:divBdr>
        <w:top w:val="none" w:sz="0" w:space="0" w:color="auto"/>
        <w:left w:val="none" w:sz="0" w:space="0" w:color="auto"/>
        <w:bottom w:val="none" w:sz="0" w:space="0" w:color="auto"/>
        <w:right w:val="none" w:sz="0" w:space="0" w:color="auto"/>
      </w:divBdr>
    </w:div>
    <w:div w:id="1340886037">
      <w:marLeft w:val="480"/>
      <w:marRight w:val="0"/>
      <w:marTop w:val="0"/>
      <w:marBottom w:val="0"/>
      <w:divBdr>
        <w:top w:val="none" w:sz="0" w:space="0" w:color="auto"/>
        <w:left w:val="none" w:sz="0" w:space="0" w:color="auto"/>
        <w:bottom w:val="none" w:sz="0" w:space="0" w:color="auto"/>
        <w:right w:val="none" w:sz="0" w:space="0" w:color="auto"/>
      </w:divBdr>
    </w:div>
    <w:div w:id="1342125472">
      <w:marLeft w:val="480"/>
      <w:marRight w:val="0"/>
      <w:marTop w:val="0"/>
      <w:marBottom w:val="0"/>
      <w:divBdr>
        <w:top w:val="none" w:sz="0" w:space="0" w:color="auto"/>
        <w:left w:val="none" w:sz="0" w:space="0" w:color="auto"/>
        <w:bottom w:val="none" w:sz="0" w:space="0" w:color="auto"/>
        <w:right w:val="none" w:sz="0" w:space="0" w:color="auto"/>
      </w:divBdr>
    </w:div>
    <w:div w:id="1342971658">
      <w:marLeft w:val="480"/>
      <w:marRight w:val="0"/>
      <w:marTop w:val="0"/>
      <w:marBottom w:val="0"/>
      <w:divBdr>
        <w:top w:val="none" w:sz="0" w:space="0" w:color="auto"/>
        <w:left w:val="none" w:sz="0" w:space="0" w:color="auto"/>
        <w:bottom w:val="none" w:sz="0" w:space="0" w:color="auto"/>
        <w:right w:val="none" w:sz="0" w:space="0" w:color="auto"/>
      </w:divBdr>
    </w:div>
    <w:div w:id="1345092119">
      <w:marLeft w:val="480"/>
      <w:marRight w:val="0"/>
      <w:marTop w:val="0"/>
      <w:marBottom w:val="0"/>
      <w:divBdr>
        <w:top w:val="none" w:sz="0" w:space="0" w:color="auto"/>
        <w:left w:val="none" w:sz="0" w:space="0" w:color="auto"/>
        <w:bottom w:val="none" w:sz="0" w:space="0" w:color="auto"/>
        <w:right w:val="none" w:sz="0" w:space="0" w:color="auto"/>
      </w:divBdr>
    </w:div>
    <w:div w:id="1346521164">
      <w:marLeft w:val="480"/>
      <w:marRight w:val="0"/>
      <w:marTop w:val="0"/>
      <w:marBottom w:val="0"/>
      <w:divBdr>
        <w:top w:val="none" w:sz="0" w:space="0" w:color="auto"/>
        <w:left w:val="none" w:sz="0" w:space="0" w:color="auto"/>
        <w:bottom w:val="none" w:sz="0" w:space="0" w:color="auto"/>
        <w:right w:val="none" w:sz="0" w:space="0" w:color="auto"/>
      </w:divBdr>
    </w:div>
    <w:div w:id="1347631805">
      <w:marLeft w:val="480"/>
      <w:marRight w:val="0"/>
      <w:marTop w:val="0"/>
      <w:marBottom w:val="0"/>
      <w:divBdr>
        <w:top w:val="none" w:sz="0" w:space="0" w:color="auto"/>
        <w:left w:val="none" w:sz="0" w:space="0" w:color="auto"/>
        <w:bottom w:val="none" w:sz="0" w:space="0" w:color="auto"/>
        <w:right w:val="none" w:sz="0" w:space="0" w:color="auto"/>
      </w:divBdr>
    </w:div>
    <w:div w:id="1347752592">
      <w:marLeft w:val="480"/>
      <w:marRight w:val="0"/>
      <w:marTop w:val="0"/>
      <w:marBottom w:val="0"/>
      <w:divBdr>
        <w:top w:val="none" w:sz="0" w:space="0" w:color="auto"/>
        <w:left w:val="none" w:sz="0" w:space="0" w:color="auto"/>
        <w:bottom w:val="none" w:sz="0" w:space="0" w:color="auto"/>
        <w:right w:val="none" w:sz="0" w:space="0" w:color="auto"/>
      </w:divBdr>
    </w:div>
    <w:div w:id="1348362378">
      <w:marLeft w:val="480"/>
      <w:marRight w:val="0"/>
      <w:marTop w:val="0"/>
      <w:marBottom w:val="0"/>
      <w:divBdr>
        <w:top w:val="none" w:sz="0" w:space="0" w:color="auto"/>
        <w:left w:val="none" w:sz="0" w:space="0" w:color="auto"/>
        <w:bottom w:val="none" w:sz="0" w:space="0" w:color="auto"/>
        <w:right w:val="none" w:sz="0" w:space="0" w:color="auto"/>
      </w:divBdr>
    </w:div>
    <w:div w:id="1349986884">
      <w:marLeft w:val="480"/>
      <w:marRight w:val="0"/>
      <w:marTop w:val="0"/>
      <w:marBottom w:val="0"/>
      <w:divBdr>
        <w:top w:val="none" w:sz="0" w:space="0" w:color="auto"/>
        <w:left w:val="none" w:sz="0" w:space="0" w:color="auto"/>
        <w:bottom w:val="none" w:sz="0" w:space="0" w:color="auto"/>
        <w:right w:val="none" w:sz="0" w:space="0" w:color="auto"/>
      </w:divBdr>
    </w:div>
    <w:div w:id="1352757154">
      <w:marLeft w:val="480"/>
      <w:marRight w:val="0"/>
      <w:marTop w:val="0"/>
      <w:marBottom w:val="0"/>
      <w:divBdr>
        <w:top w:val="none" w:sz="0" w:space="0" w:color="auto"/>
        <w:left w:val="none" w:sz="0" w:space="0" w:color="auto"/>
        <w:bottom w:val="none" w:sz="0" w:space="0" w:color="auto"/>
        <w:right w:val="none" w:sz="0" w:space="0" w:color="auto"/>
      </w:divBdr>
    </w:div>
    <w:div w:id="1354267415">
      <w:marLeft w:val="480"/>
      <w:marRight w:val="0"/>
      <w:marTop w:val="0"/>
      <w:marBottom w:val="0"/>
      <w:divBdr>
        <w:top w:val="none" w:sz="0" w:space="0" w:color="auto"/>
        <w:left w:val="none" w:sz="0" w:space="0" w:color="auto"/>
        <w:bottom w:val="none" w:sz="0" w:space="0" w:color="auto"/>
        <w:right w:val="none" w:sz="0" w:space="0" w:color="auto"/>
      </w:divBdr>
    </w:div>
    <w:div w:id="1356688833">
      <w:marLeft w:val="480"/>
      <w:marRight w:val="0"/>
      <w:marTop w:val="0"/>
      <w:marBottom w:val="0"/>
      <w:divBdr>
        <w:top w:val="none" w:sz="0" w:space="0" w:color="auto"/>
        <w:left w:val="none" w:sz="0" w:space="0" w:color="auto"/>
        <w:bottom w:val="none" w:sz="0" w:space="0" w:color="auto"/>
        <w:right w:val="none" w:sz="0" w:space="0" w:color="auto"/>
      </w:divBdr>
    </w:div>
    <w:div w:id="1356923150">
      <w:marLeft w:val="480"/>
      <w:marRight w:val="0"/>
      <w:marTop w:val="0"/>
      <w:marBottom w:val="0"/>
      <w:divBdr>
        <w:top w:val="none" w:sz="0" w:space="0" w:color="auto"/>
        <w:left w:val="none" w:sz="0" w:space="0" w:color="auto"/>
        <w:bottom w:val="none" w:sz="0" w:space="0" w:color="auto"/>
        <w:right w:val="none" w:sz="0" w:space="0" w:color="auto"/>
      </w:divBdr>
    </w:div>
    <w:div w:id="1357081002">
      <w:marLeft w:val="480"/>
      <w:marRight w:val="0"/>
      <w:marTop w:val="0"/>
      <w:marBottom w:val="0"/>
      <w:divBdr>
        <w:top w:val="none" w:sz="0" w:space="0" w:color="auto"/>
        <w:left w:val="none" w:sz="0" w:space="0" w:color="auto"/>
        <w:bottom w:val="none" w:sz="0" w:space="0" w:color="auto"/>
        <w:right w:val="none" w:sz="0" w:space="0" w:color="auto"/>
      </w:divBdr>
    </w:div>
    <w:div w:id="1361121995">
      <w:marLeft w:val="480"/>
      <w:marRight w:val="0"/>
      <w:marTop w:val="0"/>
      <w:marBottom w:val="0"/>
      <w:divBdr>
        <w:top w:val="none" w:sz="0" w:space="0" w:color="auto"/>
        <w:left w:val="none" w:sz="0" w:space="0" w:color="auto"/>
        <w:bottom w:val="none" w:sz="0" w:space="0" w:color="auto"/>
        <w:right w:val="none" w:sz="0" w:space="0" w:color="auto"/>
      </w:divBdr>
    </w:div>
    <w:div w:id="1362559055">
      <w:marLeft w:val="480"/>
      <w:marRight w:val="0"/>
      <w:marTop w:val="0"/>
      <w:marBottom w:val="0"/>
      <w:divBdr>
        <w:top w:val="none" w:sz="0" w:space="0" w:color="auto"/>
        <w:left w:val="none" w:sz="0" w:space="0" w:color="auto"/>
        <w:bottom w:val="none" w:sz="0" w:space="0" w:color="auto"/>
        <w:right w:val="none" w:sz="0" w:space="0" w:color="auto"/>
      </w:divBdr>
    </w:div>
    <w:div w:id="1363626195">
      <w:marLeft w:val="480"/>
      <w:marRight w:val="0"/>
      <w:marTop w:val="0"/>
      <w:marBottom w:val="0"/>
      <w:divBdr>
        <w:top w:val="none" w:sz="0" w:space="0" w:color="auto"/>
        <w:left w:val="none" w:sz="0" w:space="0" w:color="auto"/>
        <w:bottom w:val="none" w:sz="0" w:space="0" w:color="auto"/>
        <w:right w:val="none" w:sz="0" w:space="0" w:color="auto"/>
      </w:divBdr>
    </w:div>
    <w:div w:id="1367559126">
      <w:marLeft w:val="480"/>
      <w:marRight w:val="0"/>
      <w:marTop w:val="0"/>
      <w:marBottom w:val="0"/>
      <w:divBdr>
        <w:top w:val="none" w:sz="0" w:space="0" w:color="auto"/>
        <w:left w:val="none" w:sz="0" w:space="0" w:color="auto"/>
        <w:bottom w:val="none" w:sz="0" w:space="0" w:color="auto"/>
        <w:right w:val="none" w:sz="0" w:space="0" w:color="auto"/>
      </w:divBdr>
    </w:div>
    <w:div w:id="1368991714">
      <w:marLeft w:val="480"/>
      <w:marRight w:val="0"/>
      <w:marTop w:val="0"/>
      <w:marBottom w:val="0"/>
      <w:divBdr>
        <w:top w:val="none" w:sz="0" w:space="0" w:color="auto"/>
        <w:left w:val="none" w:sz="0" w:space="0" w:color="auto"/>
        <w:bottom w:val="none" w:sz="0" w:space="0" w:color="auto"/>
        <w:right w:val="none" w:sz="0" w:space="0" w:color="auto"/>
      </w:divBdr>
    </w:div>
    <w:div w:id="1370833992">
      <w:marLeft w:val="480"/>
      <w:marRight w:val="0"/>
      <w:marTop w:val="0"/>
      <w:marBottom w:val="0"/>
      <w:divBdr>
        <w:top w:val="none" w:sz="0" w:space="0" w:color="auto"/>
        <w:left w:val="none" w:sz="0" w:space="0" w:color="auto"/>
        <w:bottom w:val="none" w:sz="0" w:space="0" w:color="auto"/>
        <w:right w:val="none" w:sz="0" w:space="0" w:color="auto"/>
      </w:divBdr>
    </w:div>
    <w:div w:id="1373845320">
      <w:marLeft w:val="480"/>
      <w:marRight w:val="0"/>
      <w:marTop w:val="0"/>
      <w:marBottom w:val="0"/>
      <w:divBdr>
        <w:top w:val="none" w:sz="0" w:space="0" w:color="auto"/>
        <w:left w:val="none" w:sz="0" w:space="0" w:color="auto"/>
        <w:bottom w:val="none" w:sz="0" w:space="0" w:color="auto"/>
        <w:right w:val="none" w:sz="0" w:space="0" w:color="auto"/>
      </w:divBdr>
    </w:div>
    <w:div w:id="1379016231">
      <w:marLeft w:val="480"/>
      <w:marRight w:val="0"/>
      <w:marTop w:val="0"/>
      <w:marBottom w:val="0"/>
      <w:divBdr>
        <w:top w:val="none" w:sz="0" w:space="0" w:color="auto"/>
        <w:left w:val="none" w:sz="0" w:space="0" w:color="auto"/>
        <w:bottom w:val="none" w:sz="0" w:space="0" w:color="auto"/>
        <w:right w:val="none" w:sz="0" w:space="0" w:color="auto"/>
      </w:divBdr>
    </w:div>
    <w:div w:id="1380856917">
      <w:marLeft w:val="480"/>
      <w:marRight w:val="0"/>
      <w:marTop w:val="0"/>
      <w:marBottom w:val="0"/>
      <w:divBdr>
        <w:top w:val="none" w:sz="0" w:space="0" w:color="auto"/>
        <w:left w:val="none" w:sz="0" w:space="0" w:color="auto"/>
        <w:bottom w:val="none" w:sz="0" w:space="0" w:color="auto"/>
        <w:right w:val="none" w:sz="0" w:space="0" w:color="auto"/>
      </w:divBdr>
    </w:div>
    <w:div w:id="1382291330">
      <w:marLeft w:val="480"/>
      <w:marRight w:val="0"/>
      <w:marTop w:val="0"/>
      <w:marBottom w:val="0"/>
      <w:divBdr>
        <w:top w:val="none" w:sz="0" w:space="0" w:color="auto"/>
        <w:left w:val="none" w:sz="0" w:space="0" w:color="auto"/>
        <w:bottom w:val="none" w:sz="0" w:space="0" w:color="auto"/>
        <w:right w:val="none" w:sz="0" w:space="0" w:color="auto"/>
      </w:divBdr>
    </w:div>
    <w:div w:id="1383023029">
      <w:marLeft w:val="480"/>
      <w:marRight w:val="0"/>
      <w:marTop w:val="0"/>
      <w:marBottom w:val="0"/>
      <w:divBdr>
        <w:top w:val="none" w:sz="0" w:space="0" w:color="auto"/>
        <w:left w:val="none" w:sz="0" w:space="0" w:color="auto"/>
        <w:bottom w:val="none" w:sz="0" w:space="0" w:color="auto"/>
        <w:right w:val="none" w:sz="0" w:space="0" w:color="auto"/>
      </w:divBdr>
    </w:div>
    <w:div w:id="1384988709">
      <w:marLeft w:val="480"/>
      <w:marRight w:val="0"/>
      <w:marTop w:val="0"/>
      <w:marBottom w:val="0"/>
      <w:divBdr>
        <w:top w:val="none" w:sz="0" w:space="0" w:color="auto"/>
        <w:left w:val="none" w:sz="0" w:space="0" w:color="auto"/>
        <w:bottom w:val="none" w:sz="0" w:space="0" w:color="auto"/>
        <w:right w:val="none" w:sz="0" w:space="0" w:color="auto"/>
      </w:divBdr>
    </w:div>
    <w:div w:id="1389692502">
      <w:marLeft w:val="480"/>
      <w:marRight w:val="0"/>
      <w:marTop w:val="0"/>
      <w:marBottom w:val="0"/>
      <w:divBdr>
        <w:top w:val="none" w:sz="0" w:space="0" w:color="auto"/>
        <w:left w:val="none" w:sz="0" w:space="0" w:color="auto"/>
        <w:bottom w:val="none" w:sz="0" w:space="0" w:color="auto"/>
        <w:right w:val="none" w:sz="0" w:space="0" w:color="auto"/>
      </w:divBdr>
    </w:div>
    <w:div w:id="1391073496">
      <w:marLeft w:val="480"/>
      <w:marRight w:val="0"/>
      <w:marTop w:val="0"/>
      <w:marBottom w:val="0"/>
      <w:divBdr>
        <w:top w:val="none" w:sz="0" w:space="0" w:color="auto"/>
        <w:left w:val="none" w:sz="0" w:space="0" w:color="auto"/>
        <w:bottom w:val="none" w:sz="0" w:space="0" w:color="auto"/>
        <w:right w:val="none" w:sz="0" w:space="0" w:color="auto"/>
      </w:divBdr>
    </w:div>
    <w:div w:id="1392389148">
      <w:marLeft w:val="480"/>
      <w:marRight w:val="0"/>
      <w:marTop w:val="0"/>
      <w:marBottom w:val="0"/>
      <w:divBdr>
        <w:top w:val="none" w:sz="0" w:space="0" w:color="auto"/>
        <w:left w:val="none" w:sz="0" w:space="0" w:color="auto"/>
        <w:bottom w:val="none" w:sz="0" w:space="0" w:color="auto"/>
        <w:right w:val="none" w:sz="0" w:space="0" w:color="auto"/>
      </w:divBdr>
    </w:div>
    <w:div w:id="1393577977">
      <w:marLeft w:val="480"/>
      <w:marRight w:val="0"/>
      <w:marTop w:val="0"/>
      <w:marBottom w:val="0"/>
      <w:divBdr>
        <w:top w:val="none" w:sz="0" w:space="0" w:color="auto"/>
        <w:left w:val="none" w:sz="0" w:space="0" w:color="auto"/>
        <w:bottom w:val="none" w:sz="0" w:space="0" w:color="auto"/>
        <w:right w:val="none" w:sz="0" w:space="0" w:color="auto"/>
      </w:divBdr>
    </w:div>
    <w:div w:id="1395423564">
      <w:marLeft w:val="480"/>
      <w:marRight w:val="0"/>
      <w:marTop w:val="0"/>
      <w:marBottom w:val="0"/>
      <w:divBdr>
        <w:top w:val="none" w:sz="0" w:space="0" w:color="auto"/>
        <w:left w:val="none" w:sz="0" w:space="0" w:color="auto"/>
        <w:bottom w:val="none" w:sz="0" w:space="0" w:color="auto"/>
        <w:right w:val="none" w:sz="0" w:space="0" w:color="auto"/>
      </w:divBdr>
    </w:div>
    <w:div w:id="1395471006">
      <w:marLeft w:val="480"/>
      <w:marRight w:val="0"/>
      <w:marTop w:val="0"/>
      <w:marBottom w:val="0"/>
      <w:divBdr>
        <w:top w:val="none" w:sz="0" w:space="0" w:color="auto"/>
        <w:left w:val="none" w:sz="0" w:space="0" w:color="auto"/>
        <w:bottom w:val="none" w:sz="0" w:space="0" w:color="auto"/>
        <w:right w:val="none" w:sz="0" w:space="0" w:color="auto"/>
      </w:divBdr>
    </w:div>
    <w:div w:id="1395473414">
      <w:marLeft w:val="480"/>
      <w:marRight w:val="0"/>
      <w:marTop w:val="0"/>
      <w:marBottom w:val="0"/>
      <w:divBdr>
        <w:top w:val="none" w:sz="0" w:space="0" w:color="auto"/>
        <w:left w:val="none" w:sz="0" w:space="0" w:color="auto"/>
        <w:bottom w:val="none" w:sz="0" w:space="0" w:color="auto"/>
        <w:right w:val="none" w:sz="0" w:space="0" w:color="auto"/>
      </w:divBdr>
    </w:div>
    <w:div w:id="1402212589">
      <w:marLeft w:val="480"/>
      <w:marRight w:val="0"/>
      <w:marTop w:val="0"/>
      <w:marBottom w:val="0"/>
      <w:divBdr>
        <w:top w:val="none" w:sz="0" w:space="0" w:color="auto"/>
        <w:left w:val="none" w:sz="0" w:space="0" w:color="auto"/>
        <w:bottom w:val="none" w:sz="0" w:space="0" w:color="auto"/>
        <w:right w:val="none" w:sz="0" w:space="0" w:color="auto"/>
      </w:divBdr>
    </w:div>
    <w:div w:id="1403288304">
      <w:marLeft w:val="480"/>
      <w:marRight w:val="0"/>
      <w:marTop w:val="0"/>
      <w:marBottom w:val="0"/>
      <w:divBdr>
        <w:top w:val="none" w:sz="0" w:space="0" w:color="auto"/>
        <w:left w:val="none" w:sz="0" w:space="0" w:color="auto"/>
        <w:bottom w:val="none" w:sz="0" w:space="0" w:color="auto"/>
        <w:right w:val="none" w:sz="0" w:space="0" w:color="auto"/>
      </w:divBdr>
    </w:div>
    <w:div w:id="1404060116">
      <w:marLeft w:val="480"/>
      <w:marRight w:val="0"/>
      <w:marTop w:val="0"/>
      <w:marBottom w:val="0"/>
      <w:divBdr>
        <w:top w:val="none" w:sz="0" w:space="0" w:color="auto"/>
        <w:left w:val="none" w:sz="0" w:space="0" w:color="auto"/>
        <w:bottom w:val="none" w:sz="0" w:space="0" w:color="auto"/>
        <w:right w:val="none" w:sz="0" w:space="0" w:color="auto"/>
      </w:divBdr>
    </w:div>
    <w:div w:id="1404176977">
      <w:marLeft w:val="480"/>
      <w:marRight w:val="0"/>
      <w:marTop w:val="0"/>
      <w:marBottom w:val="0"/>
      <w:divBdr>
        <w:top w:val="none" w:sz="0" w:space="0" w:color="auto"/>
        <w:left w:val="none" w:sz="0" w:space="0" w:color="auto"/>
        <w:bottom w:val="none" w:sz="0" w:space="0" w:color="auto"/>
        <w:right w:val="none" w:sz="0" w:space="0" w:color="auto"/>
      </w:divBdr>
    </w:div>
    <w:div w:id="1406143990">
      <w:marLeft w:val="480"/>
      <w:marRight w:val="0"/>
      <w:marTop w:val="0"/>
      <w:marBottom w:val="0"/>
      <w:divBdr>
        <w:top w:val="none" w:sz="0" w:space="0" w:color="auto"/>
        <w:left w:val="none" w:sz="0" w:space="0" w:color="auto"/>
        <w:bottom w:val="none" w:sz="0" w:space="0" w:color="auto"/>
        <w:right w:val="none" w:sz="0" w:space="0" w:color="auto"/>
      </w:divBdr>
    </w:div>
    <w:div w:id="1406486358">
      <w:marLeft w:val="480"/>
      <w:marRight w:val="0"/>
      <w:marTop w:val="0"/>
      <w:marBottom w:val="0"/>
      <w:divBdr>
        <w:top w:val="none" w:sz="0" w:space="0" w:color="auto"/>
        <w:left w:val="none" w:sz="0" w:space="0" w:color="auto"/>
        <w:bottom w:val="none" w:sz="0" w:space="0" w:color="auto"/>
        <w:right w:val="none" w:sz="0" w:space="0" w:color="auto"/>
      </w:divBdr>
    </w:div>
    <w:div w:id="1408381589">
      <w:marLeft w:val="480"/>
      <w:marRight w:val="0"/>
      <w:marTop w:val="0"/>
      <w:marBottom w:val="0"/>
      <w:divBdr>
        <w:top w:val="none" w:sz="0" w:space="0" w:color="auto"/>
        <w:left w:val="none" w:sz="0" w:space="0" w:color="auto"/>
        <w:bottom w:val="none" w:sz="0" w:space="0" w:color="auto"/>
        <w:right w:val="none" w:sz="0" w:space="0" w:color="auto"/>
      </w:divBdr>
    </w:div>
    <w:div w:id="1413284142">
      <w:marLeft w:val="480"/>
      <w:marRight w:val="0"/>
      <w:marTop w:val="0"/>
      <w:marBottom w:val="0"/>
      <w:divBdr>
        <w:top w:val="none" w:sz="0" w:space="0" w:color="auto"/>
        <w:left w:val="none" w:sz="0" w:space="0" w:color="auto"/>
        <w:bottom w:val="none" w:sz="0" w:space="0" w:color="auto"/>
        <w:right w:val="none" w:sz="0" w:space="0" w:color="auto"/>
      </w:divBdr>
    </w:div>
    <w:div w:id="1414935847">
      <w:marLeft w:val="480"/>
      <w:marRight w:val="0"/>
      <w:marTop w:val="0"/>
      <w:marBottom w:val="0"/>
      <w:divBdr>
        <w:top w:val="none" w:sz="0" w:space="0" w:color="auto"/>
        <w:left w:val="none" w:sz="0" w:space="0" w:color="auto"/>
        <w:bottom w:val="none" w:sz="0" w:space="0" w:color="auto"/>
        <w:right w:val="none" w:sz="0" w:space="0" w:color="auto"/>
      </w:divBdr>
    </w:div>
    <w:div w:id="1416629222">
      <w:marLeft w:val="480"/>
      <w:marRight w:val="0"/>
      <w:marTop w:val="0"/>
      <w:marBottom w:val="0"/>
      <w:divBdr>
        <w:top w:val="none" w:sz="0" w:space="0" w:color="auto"/>
        <w:left w:val="none" w:sz="0" w:space="0" w:color="auto"/>
        <w:bottom w:val="none" w:sz="0" w:space="0" w:color="auto"/>
        <w:right w:val="none" w:sz="0" w:space="0" w:color="auto"/>
      </w:divBdr>
    </w:div>
    <w:div w:id="1418861264">
      <w:marLeft w:val="480"/>
      <w:marRight w:val="0"/>
      <w:marTop w:val="0"/>
      <w:marBottom w:val="0"/>
      <w:divBdr>
        <w:top w:val="none" w:sz="0" w:space="0" w:color="auto"/>
        <w:left w:val="none" w:sz="0" w:space="0" w:color="auto"/>
        <w:bottom w:val="none" w:sz="0" w:space="0" w:color="auto"/>
        <w:right w:val="none" w:sz="0" w:space="0" w:color="auto"/>
      </w:divBdr>
    </w:div>
    <w:div w:id="1420903931">
      <w:marLeft w:val="480"/>
      <w:marRight w:val="0"/>
      <w:marTop w:val="0"/>
      <w:marBottom w:val="0"/>
      <w:divBdr>
        <w:top w:val="none" w:sz="0" w:space="0" w:color="auto"/>
        <w:left w:val="none" w:sz="0" w:space="0" w:color="auto"/>
        <w:bottom w:val="none" w:sz="0" w:space="0" w:color="auto"/>
        <w:right w:val="none" w:sz="0" w:space="0" w:color="auto"/>
      </w:divBdr>
    </w:div>
    <w:div w:id="1421558584">
      <w:marLeft w:val="480"/>
      <w:marRight w:val="0"/>
      <w:marTop w:val="0"/>
      <w:marBottom w:val="0"/>
      <w:divBdr>
        <w:top w:val="none" w:sz="0" w:space="0" w:color="auto"/>
        <w:left w:val="none" w:sz="0" w:space="0" w:color="auto"/>
        <w:bottom w:val="none" w:sz="0" w:space="0" w:color="auto"/>
        <w:right w:val="none" w:sz="0" w:space="0" w:color="auto"/>
      </w:divBdr>
    </w:div>
    <w:div w:id="1422336376">
      <w:marLeft w:val="480"/>
      <w:marRight w:val="0"/>
      <w:marTop w:val="0"/>
      <w:marBottom w:val="0"/>
      <w:divBdr>
        <w:top w:val="none" w:sz="0" w:space="0" w:color="auto"/>
        <w:left w:val="none" w:sz="0" w:space="0" w:color="auto"/>
        <w:bottom w:val="none" w:sz="0" w:space="0" w:color="auto"/>
        <w:right w:val="none" w:sz="0" w:space="0" w:color="auto"/>
      </w:divBdr>
    </w:div>
    <w:div w:id="1422486335">
      <w:marLeft w:val="480"/>
      <w:marRight w:val="0"/>
      <w:marTop w:val="0"/>
      <w:marBottom w:val="0"/>
      <w:divBdr>
        <w:top w:val="none" w:sz="0" w:space="0" w:color="auto"/>
        <w:left w:val="none" w:sz="0" w:space="0" w:color="auto"/>
        <w:bottom w:val="none" w:sz="0" w:space="0" w:color="auto"/>
        <w:right w:val="none" w:sz="0" w:space="0" w:color="auto"/>
      </w:divBdr>
    </w:div>
    <w:div w:id="1423793157">
      <w:marLeft w:val="480"/>
      <w:marRight w:val="0"/>
      <w:marTop w:val="0"/>
      <w:marBottom w:val="0"/>
      <w:divBdr>
        <w:top w:val="none" w:sz="0" w:space="0" w:color="auto"/>
        <w:left w:val="none" w:sz="0" w:space="0" w:color="auto"/>
        <w:bottom w:val="none" w:sz="0" w:space="0" w:color="auto"/>
        <w:right w:val="none" w:sz="0" w:space="0" w:color="auto"/>
      </w:divBdr>
    </w:div>
    <w:div w:id="1428499781">
      <w:marLeft w:val="480"/>
      <w:marRight w:val="0"/>
      <w:marTop w:val="0"/>
      <w:marBottom w:val="0"/>
      <w:divBdr>
        <w:top w:val="none" w:sz="0" w:space="0" w:color="auto"/>
        <w:left w:val="none" w:sz="0" w:space="0" w:color="auto"/>
        <w:bottom w:val="none" w:sz="0" w:space="0" w:color="auto"/>
        <w:right w:val="none" w:sz="0" w:space="0" w:color="auto"/>
      </w:divBdr>
    </w:div>
    <w:div w:id="1431242352">
      <w:marLeft w:val="480"/>
      <w:marRight w:val="0"/>
      <w:marTop w:val="0"/>
      <w:marBottom w:val="0"/>
      <w:divBdr>
        <w:top w:val="none" w:sz="0" w:space="0" w:color="auto"/>
        <w:left w:val="none" w:sz="0" w:space="0" w:color="auto"/>
        <w:bottom w:val="none" w:sz="0" w:space="0" w:color="auto"/>
        <w:right w:val="none" w:sz="0" w:space="0" w:color="auto"/>
      </w:divBdr>
    </w:div>
    <w:div w:id="1431974647">
      <w:marLeft w:val="480"/>
      <w:marRight w:val="0"/>
      <w:marTop w:val="0"/>
      <w:marBottom w:val="0"/>
      <w:divBdr>
        <w:top w:val="none" w:sz="0" w:space="0" w:color="auto"/>
        <w:left w:val="none" w:sz="0" w:space="0" w:color="auto"/>
        <w:bottom w:val="none" w:sz="0" w:space="0" w:color="auto"/>
        <w:right w:val="none" w:sz="0" w:space="0" w:color="auto"/>
      </w:divBdr>
    </w:div>
    <w:div w:id="1432555159">
      <w:marLeft w:val="480"/>
      <w:marRight w:val="0"/>
      <w:marTop w:val="0"/>
      <w:marBottom w:val="0"/>
      <w:divBdr>
        <w:top w:val="none" w:sz="0" w:space="0" w:color="auto"/>
        <w:left w:val="none" w:sz="0" w:space="0" w:color="auto"/>
        <w:bottom w:val="none" w:sz="0" w:space="0" w:color="auto"/>
        <w:right w:val="none" w:sz="0" w:space="0" w:color="auto"/>
      </w:divBdr>
    </w:div>
    <w:div w:id="1434475519">
      <w:marLeft w:val="480"/>
      <w:marRight w:val="0"/>
      <w:marTop w:val="0"/>
      <w:marBottom w:val="0"/>
      <w:divBdr>
        <w:top w:val="none" w:sz="0" w:space="0" w:color="auto"/>
        <w:left w:val="none" w:sz="0" w:space="0" w:color="auto"/>
        <w:bottom w:val="none" w:sz="0" w:space="0" w:color="auto"/>
        <w:right w:val="none" w:sz="0" w:space="0" w:color="auto"/>
      </w:divBdr>
    </w:div>
    <w:div w:id="1435591454">
      <w:marLeft w:val="480"/>
      <w:marRight w:val="0"/>
      <w:marTop w:val="0"/>
      <w:marBottom w:val="0"/>
      <w:divBdr>
        <w:top w:val="none" w:sz="0" w:space="0" w:color="auto"/>
        <w:left w:val="none" w:sz="0" w:space="0" w:color="auto"/>
        <w:bottom w:val="none" w:sz="0" w:space="0" w:color="auto"/>
        <w:right w:val="none" w:sz="0" w:space="0" w:color="auto"/>
      </w:divBdr>
    </w:div>
    <w:div w:id="1436242574">
      <w:marLeft w:val="480"/>
      <w:marRight w:val="0"/>
      <w:marTop w:val="0"/>
      <w:marBottom w:val="0"/>
      <w:divBdr>
        <w:top w:val="none" w:sz="0" w:space="0" w:color="auto"/>
        <w:left w:val="none" w:sz="0" w:space="0" w:color="auto"/>
        <w:bottom w:val="none" w:sz="0" w:space="0" w:color="auto"/>
        <w:right w:val="none" w:sz="0" w:space="0" w:color="auto"/>
      </w:divBdr>
    </w:div>
    <w:div w:id="1436707358">
      <w:marLeft w:val="480"/>
      <w:marRight w:val="0"/>
      <w:marTop w:val="0"/>
      <w:marBottom w:val="0"/>
      <w:divBdr>
        <w:top w:val="none" w:sz="0" w:space="0" w:color="auto"/>
        <w:left w:val="none" w:sz="0" w:space="0" w:color="auto"/>
        <w:bottom w:val="none" w:sz="0" w:space="0" w:color="auto"/>
        <w:right w:val="none" w:sz="0" w:space="0" w:color="auto"/>
      </w:divBdr>
    </w:div>
    <w:div w:id="1437095802">
      <w:marLeft w:val="480"/>
      <w:marRight w:val="0"/>
      <w:marTop w:val="0"/>
      <w:marBottom w:val="0"/>
      <w:divBdr>
        <w:top w:val="none" w:sz="0" w:space="0" w:color="auto"/>
        <w:left w:val="none" w:sz="0" w:space="0" w:color="auto"/>
        <w:bottom w:val="none" w:sz="0" w:space="0" w:color="auto"/>
        <w:right w:val="none" w:sz="0" w:space="0" w:color="auto"/>
      </w:divBdr>
    </w:div>
    <w:div w:id="1437602013">
      <w:marLeft w:val="480"/>
      <w:marRight w:val="0"/>
      <w:marTop w:val="0"/>
      <w:marBottom w:val="0"/>
      <w:divBdr>
        <w:top w:val="none" w:sz="0" w:space="0" w:color="auto"/>
        <w:left w:val="none" w:sz="0" w:space="0" w:color="auto"/>
        <w:bottom w:val="none" w:sz="0" w:space="0" w:color="auto"/>
        <w:right w:val="none" w:sz="0" w:space="0" w:color="auto"/>
      </w:divBdr>
    </w:div>
    <w:div w:id="1437603722">
      <w:marLeft w:val="480"/>
      <w:marRight w:val="0"/>
      <w:marTop w:val="0"/>
      <w:marBottom w:val="0"/>
      <w:divBdr>
        <w:top w:val="none" w:sz="0" w:space="0" w:color="auto"/>
        <w:left w:val="none" w:sz="0" w:space="0" w:color="auto"/>
        <w:bottom w:val="none" w:sz="0" w:space="0" w:color="auto"/>
        <w:right w:val="none" w:sz="0" w:space="0" w:color="auto"/>
      </w:divBdr>
    </w:div>
    <w:div w:id="1439108027">
      <w:marLeft w:val="480"/>
      <w:marRight w:val="0"/>
      <w:marTop w:val="0"/>
      <w:marBottom w:val="0"/>
      <w:divBdr>
        <w:top w:val="none" w:sz="0" w:space="0" w:color="auto"/>
        <w:left w:val="none" w:sz="0" w:space="0" w:color="auto"/>
        <w:bottom w:val="none" w:sz="0" w:space="0" w:color="auto"/>
        <w:right w:val="none" w:sz="0" w:space="0" w:color="auto"/>
      </w:divBdr>
    </w:div>
    <w:div w:id="1439565281">
      <w:marLeft w:val="480"/>
      <w:marRight w:val="0"/>
      <w:marTop w:val="0"/>
      <w:marBottom w:val="0"/>
      <w:divBdr>
        <w:top w:val="none" w:sz="0" w:space="0" w:color="auto"/>
        <w:left w:val="none" w:sz="0" w:space="0" w:color="auto"/>
        <w:bottom w:val="none" w:sz="0" w:space="0" w:color="auto"/>
        <w:right w:val="none" w:sz="0" w:space="0" w:color="auto"/>
      </w:divBdr>
    </w:div>
    <w:div w:id="1442607143">
      <w:marLeft w:val="480"/>
      <w:marRight w:val="0"/>
      <w:marTop w:val="0"/>
      <w:marBottom w:val="0"/>
      <w:divBdr>
        <w:top w:val="none" w:sz="0" w:space="0" w:color="auto"/>
        <w:left w:val="none" w:sz="0" w:space="0" w:color="auto"/>
        <w:bottom w:val="none" w:sz="0" w:space="0" w:color="auto"/>
        <w:right w:val="none" w:sz="0" w:space="0" w:color="auto"/>
      </w:divBdr>
    </w:div>
    <w:div w:id="1445535290">
      <w:marLeft w:val="480"/>
      <w:marRight w:val="0"/>
      <w:marTop w:val="0"/>
      <w:marBottom w:val="0"/>
      <w:divBdr>
        <w:top w:val="none" w:sz="0" w:space="0" w:color="auto"/>
        <w:left w:val="none" w:sz="0" w:space="0" w:color="auto"/>
        <w:bottom w:val="none" w:sz="0" w:space="0" w:color="auto"/>
        <w:right w:val="none" w:sz="0" w:space="0" w:color="auto"/>
      </w:divBdr>
    </w:div>
    <w:div w:id="1446149545">
      <w:marLeft w:val="480"/>
      <w:marRight w:val="0"/>
      <w:marTop w:val="0"/>
      <w:marBottom w:val="0"/>
      <w:divBdr>
        <w:top w:val="none" w:sz="0" w:space="0" w:color="auto"/>
        <w:left w:val="none" w:sz="0" w:space="0" w:color="auto"/>
        <w:bottom w:val="none" w:sz="0" w:space="0" w:color="auto"/>
        <w:right w:val="none" w:sz="0" w:space="0" w:color="auto"/>
      </w:divBdr>
    </w:div>
    <w:div w:id="1446659929">
      <w:marLeft w:val="480"/>
      <w:marRight w:val="0"/>
      <w:marTop w:val="0"/>
      <w:marBottom w:val="0"/>
      <w:divBdr>
        <w:top w:val="none" w:sz="0" w:space="0" w:color="auto"/>
        <w:left w:val="none" w:sz="0" w:space="0" w:color="auto"/>
        <w:bottom w:val="none" w:sz="0" w:space="0" w:color="auto"/>
        <w:right w:val="none" w:sz="0" w:space="0" w:color="auto"/>
      </w:divBdr>
    </w:div>
    <w:div w:id="1448621224">
      <w:marLeft w:val="480"/>
      <w:marRight w:val="0"/>
      <w:marTop w:val="0"/>
      <w:marBottom w:val="0"/>
      <w:divBdr>
        <w:top w:val="none" w:sz="0" w:space="0" w:color="auto"/>
        <w:left w:val="none" w:sz="0" w:space="0" w:color="auto"/>
        <w:bottom w:val="none" w:sz="0" w:space="0" w:color="auto"/>
        <w:right w:val="none" w:sz="0" w:space="0" w:color="auto"/>
      </w:divBdr>
    </w:div>
    <w:div w:id="1451125571">
      <w:marLeft w:val="480"/>
      <w:marRight w:val="0"/>
      <w:marTop w:val="0"/>
      <w:marBottom w:val="0"/>
      <w:divBdr>
        <w:top w:val="none" w:sz="0" w:space="0" w:color="auto"/>
        <w:left w:val="none" w:sz="0" w:space="0" w:color="auto"/>
        <w:bottom w:val="none" w:sz="0" w:space="0" w:color="auto"/>
        <w:right w:val="none" w:sz="0" w:space="0" w:color="auto"/>
      </w:divBdr>
    </w:div>
    <w:div w:id="1455099172">
      <w:marLeft w:val="480"/>
      <w:marRight w:val="0"/>
      <w:marTop w:val="0"/>
      <w:marBottom w:val="0"/>
      <w:divBdr>
        <w:top w:val="none" w:sz="0" w:space="0" w:color="auto"/>
        <w:left w:val="none" w:sz="0" w:space="0" w:color="auto"/>
        <w:bottom w:val="none" w:sz="0" w:space="0" w:color="auto"/>
        <w:right w:val="none" w:sz="0" w:space="0" w:color="auto"/>
      </w:divBdr>
    </w:div>
    <w:div w:id="1456213385">
      <w:marLeft w:val="480"/>
      <w:marRight w:val="0"/>
      <w:marTop w:val="0"/>
      <w:marBottom w:val="0"/>
      <w:divBdr>
        <w:top w:val="none" w:sz="0" w:space="0" w:color="auto"/>
        <w:left w:val="none" w:sz="0" w:space="0" w:color="auto"/>
        <w:bottom w:val="none" w:sz="0" w:space="0" w:color="auto"/>
        <w:right w:val="none" w:sz="0" w:space="0" w:color="auto"/>
      </w:divBdr>
    </w:div>
    <w:div w:id="1456824250">
      <w:marLeft w:val="480"/>
      <w:marRight w:val="0"/>
      <w:marTop w:val="0"/>
      <w:marBottom w:val="0"/>
      <w:divBdr>
        <w:top w:val="none" w:sz="0" w:space="0" w:color="auto"/>
        <w:left w:val="none" w:sz="0" w:space="0" w:color="auto"/>
        <w:bottom w:val="none" w:sz="0" w:space="0" w:color="auto"/>
        <w:right w:val="none" w:sz="0" w:space="0" w:color="auto"/>
      </w:divBdr>
    </w:div>
    <w:div w:id="1460345552">
      <w:marLeft w:val="480"/>
      <w:marRight w:val="0"/>
      <w:marTop w:val="0"/>
      <w:marBottom w:val="0"/>
      <w:divBdr>
        <w:top w:val="none" w:sz="0" w:space="0" w:color="auto"/>
        <w:left w:val="none" w:sz="0" w:space="0" w:color="auto"/>
        <w:bottom w:val="none" w:sz="0" w:space="0" w:color="auto"/>
        <w:right w:val="none" w:sz="0" w:space="0" w:color="auto"/>
      </w:divBdr>
    </w:div>
    <w:div w:id="1460956787">
      <w:marLeft w:val="480"/>
      <w:marRight w:val="0"/>
      <w:marTop w:val="0"/>
      <w:marBottom w:val="0"/>
      <w:divBdr>
        <w:top w:val="none" w:sz="0" w:space="0" w:color="auto"/>
        <w:left w:val="none" w:sz="0" w:space="0" w:color="auto"/>
        <w:bottom w:val="none" w:sz="0" w:space="0" w:color="auto"/>
        <w:right w:val="none" w:sz="0" w:space="0" w:color="auto"/>
      </w:divBdr>
    </w:div>
    <w:div w:id="1461998144">
      <w:marLeft w:val="480"/>
      <w:marRight w:val="0"/>
      <w:marTop w:val="0"/>
      <w:marBottom w:val="0"/>
      <w:divBdr>
        <w:top w:val="none" w:sz="0" w:space="0" w:color="auto"/>
        <w:left w:val="none" w:sz="0" w:space="0" w:color="auto"/>
        <w:bottom w:val="none" w:sz="0" w:space="0" w:color="auto"/>
        <w:right w:val="none" w:sz="0" w:space="0" w:color="auto"/>
      </w:divBdr>
    </w:div>
    <w:div w:id="1463962481">
      <w:marLeft w:val="480"/>
      <w:marRight w:val="0"/>
      <w:marTop w:val="0"/>
      <w:marBottom w:val="0"/>
      <w:divBdr>
        <w:top w:val="none" w:sz="0" w:space="0" w:color="auto"/>
        <w:left w:val="none" w:sz="0" w:space="0" w:color="auto"/>
        <w:bottom w:val="none" w:sz="0" w:space="0" w:color="auto"/>
        <w:right w:val="none" w:sz="0" w:space="0" w:color="auto"/>
      </w:divBdr>
    </w:div>
    <w:div w:id="1467159913">
      <w:marLeft w:val="480"/>
      <w:marRight w:val="0"/>
      <w:marTop w:val="0"/>
      <w:marBottom w:val="0"/>
      <w:divBdr>
        <w:top w:val="none" w:sz="0" w:space="0" w:color="auto"/>
        <w:left w:val="none" w:sz="0" w:space="0" w:color="auto"/>
        <w:bottom w:val="none" w:sz="0" w:space="0" w:color="auto"/>
        <w:right w:val="none" w:sz="0" w:space="0" w:color="auto"/>
      </w:divBdr>
    </w:div>
    <w:div w:id="1470243083">
      <w:marLeft w:val="480"/>
      <w:marRight w:val="0"/>
      <w:marTop w:val="0"/>
      <w:marBottom w:val="0"/>
      <w:divBdr>
        <w:top w:val="none" w:sz="0" w:space="0" w:color="auto"/>
        <w:left w:val="none" w:sz="0" w:space="0" w:color="auto"/>
        <w:bottom w:val="none" w:sz="0" w:space="0" w:color="auto"/>
        <w:right w:val="none" w:sz="0" w:space="0" w:color="auto"/>
      </w:divBdr>
    </w:div>
    <w:div w:id="1471440855">
      <w:marLeft w:val="480"/>
      <w:marRight w:val="0"/>
      <w:marTop w:val="0"/>
      <w:marBottom w:val="0"/>
      <w:divBdr>
        <w:top w:val="none" w:sz="0" w:space="0" w:color="auto"/>
        <w:left w:val="none" w:sz="0" w:space="0" w:color="auto"/>
        <w:bottom w:val="none" w:sz="0" w:space="0" w:color="auto"/>
        <w:right w:val="none" w:sz="0" w:space="0" w:color="auto"/>
      </w:divBdr>
    </w:div>
    <w:div w:id="1471900802">
      <w:marLeft w:val="480"/>
      <w:marRight w:val="0"/>
      <w:marTop w:val="0"/>
      <w:marBottom w:val="0"/>
      <w:divBdr>
        <w:top w:val="none" w:sz="0" w:space="0" w:color="auto"/>
        <w:left w:val="none" w:sz="0" w:space="0" w:color="auto"/>
        <w:bottom w:val="none" w:sz="0" w:space="0" w:color="auto"/>
        <w:right w:val="none" w:sz="0" w:space="0" w:color="auto"/>
      </w:divBdr>
    </w:div>
    <w:div w:id="1472869885">
      <w:marLeft w:val="480"/>
      <w:marRight w:val="0"/>
      <w:marTop w:val="0"/>
      <w:marBottom w:val="0"/>
      <w:divBdr>
        <w:top w:val="none" w:sz="0" w:space="0" w:color="auto"/>
        <w:left w:val="none" w:sz="0" w:space="0" w:color="auto"/>
        <w:bottom w:val="none" w:sz="0" w:space="0" w:color="auto"/>
        <w:right w:val="none" w:sz="0" w:space="0" w:color="auto"/>
      </w:divBdr>
    </w:div>
    <w:div w:id="1476799122">
      <w:marLeft w:val="480"/>
      <w:marRight w:val="0"/>
      <w:marTop w:val="0"/>
      <w:marBottom w:val="0"/>
      <w:divBdr>
        <w:top w:val="none" w:sz="0" w:space="0" w:color="auto"/>
        <w:left w:val="none" w:sz="0" w:space="0" w:color="auto"/>
        <w:bottom w:val="none" w:sz="0" w:space="0" w:color="auto"/>
        <w:right w:val="none" w:sz="0" w:space="0" w:color="auto"/>
      </w:divBdr>
    </w:div>
    <w:div w:id="1477645905">
      <w:marLeft w:val="480"/>
      <w:marRight w:val="0"/>
      <w:marTop w:val="0"/>
      <w:marBottom w:val="0"/>
      <w:divBdr>
        <w:top w:val="none" w:sz="0" w:space="0" w:color="auto"/>
        <w:left w:val="none" w:sz="0" w:space="0" w:color="auto"/>
        <w:bottom w:val="none" w:sz="0" w:space="0" w:color="auto"/>
        <w:right w:val="none" w:sz="0" w:space="0" w:color="auto"/>
      </w:divBdr>
    </w:div>
    <w:div w:id="1482036288">
      <w:marLeft w:val="480"/>
      <w:marRight w:val="0"/>
      <w:marTop w:val="0"/>
      <w:marBottom w:val="0"/>
      <w:divBdr>
        <w:top w:val="none" w:sz="0" w:space="0" w:color="auto"/>
        <w:left w:val="none" w:sz="0" w:space="0" w:color="auto"/>
        <w:bottom w:val="none" w:sz="0" w:space="0" w:color="auto"/>
        <w:right w:val="none" w:sz="0" w:space="0" w:color="auto"/>
      </w:divBdr>
    </w:div>
    <w:div w:id="1485589572">
      <w:bodyDiv w:val="1"/>
      <w:marLeft w:val="0"/>
      <w:marRight w:val="0"/>
      <w:marTop w:val="0"/>
      <w:marBottom w:val="0"/>
      <w:divBdr>
        <w:top w:val="none" w:sz="0" w:space="0" w:color="auto"/>
        <w:left w:val="none" w:sz="0" w:space="0" w:color="auto"/>
        <w:bottom w:val="none" w:sz="0" w:space="0" w:color="auto"/>
        <w:right w:val="none" w:sz="0" w:space="0" w:color="auto"/>
      </w:divBdr>
    </w:div>
    <w:div w:id="1488742120">
      <w:marLeft w:val="480"/>
      <w:marRight w:val="0"/>
      <w:marTop w:val="0"/>
      <w:marBottom w:val="0"/>
      <w:divBdr>
        <w:top w:val="none" w:sz="0" w:space="0" w:color="auto"/>
        <w:left w:val="none" w:sz="0" w:space="0" w:color="auto"/>
        <w:bottom w:val="none" w:sz="0" w:space="0" w:color="auto"/>
        <w:right w:val="none" w:sz="0" w:space="0" w:color="auto"/>
      </w:divBdr>
    </w:div>
    <w:div w:id="1488859871">
      <w:marLeft w:val="480"/>
      <w:marRight w:val="0"/>
      <w:marTop w:val="0"/>
      <w:marBottom w:val="0"/>
      <w:divBdr>
        <w:top w:val="none" w:sz="0" w:space="0" w:color="auto"/>
        <w:left w:val="none" w:sz="0" w:space="0" w:color="auto"/>
        <w:bottom w:val="none" w:sz="0" w:space="0" w:color="auto"/>
        <w:right w:val="none" w:sz="0" w:space="0" w:color="auto"/>
      </w:divBdr>
    </w:div>
    <w:div w:id="1488861202">
      <w:marLeft w:val="480"/>
      <w:marRight w:val="0"/>
      <w:marTop w:val="0"/>
      <w:marBottom w:val="0"/>
      <w:divBdr>
        <w:top w:val="none" w:sz="0" w:space="0" w:color="auto"/>
        <w:left w:val="none" w:sz="0" w:space="0" w:color="auto"/>
        <w:bottom w:val="none" w:sz="0" w:space="0" w:color="auto"/>
        <w:right w:val="none" w:sz="0" w:space="0" w:color="auto"/>
      </w:divBdr>
    </w:div>
    <w:div w:id="1491558185">
      <w:marLeft w:val="480"/>
      <w:marRight w:val="0"/>
      <w:marTop w:val="0"/>
      <w:marBottom w:val="0"/>
      <w:divBdr>
        <w:top w:val="none" w:sz="0" w:space="0" w:color="auto"/>
        <w:left w:val="none" w:sz="0" w:space="0" w:color="auto"/>
        <w:bottom w:val="none" w:sz="0" w:space="0" w:color="auto"/>
        <w:right w:val="none" w:sz="0" w:space="0" w:color="auto"/>
      </w:divBdr>
    </w:div>
    <w:div w:id="1492912397">
      <w:marLeft w:val="480"/>
      <w:marRight w:val="0"/>
      <w:marTop w:val="0"/>
      <w:marBottom w:val="0"/>
      <w:divBdr>
        <w:top w:val="none" w:sz="0" w:space="0" w:color="auto"/>
        <w:left w:val="none" w:sz="0" w:space="0" w:color="auto"/>
        <w:bottom w:val="none" w:sz="0" w:space="0" w:color="auto"/>
        <w:right w:val="none" w:sz="0" w:space="0" w:color="auto"/>
      </w:divBdr>
    </w:div>
    <w:div w:id="1494027318">
      <w:marLeft w:val="480"/>
      <w:marRight w:val="0"/>
      <w:marTop w:val="0"/>
      <w:marBottom w:val="0"/>
      <w:divBdr>
        <w:top w:val="none" w:sz="0" w:space="0" w:color="auto"/>
        <w:left w:val="none" w:sz="0" w:space="0" w:color="auto"/>
        <w:bottom w:val="none" w:sz="0" w:space="0" w:color="auto"/>
        <w:right w:val="none" w:sz="0" w:space="0" w:color="auto"/>
      </w:divBdr>
    </w:div>
    <w:div w:id="1495488659">
      <w:marLeft w:val="480"/>
      <w:marRight w:val="0"/>
      <w:marTop w:val="0"/>
      <w:marBottom w:val="0"/>
      <w:divBdr>
        <w:top w:val="none" w:sz="0" w:space="0" w:color="auto"/>
        <w:left w:val="none" w:sz="0" w:space="0" w:color="auto"/>
        <w:bottom w:val="none" w:sz="0" w:space="0" w:color="auto"/>
        <w:right w:val="none" w:sz="0" w:space="0" w:color="auto"/>
      </w:divBdr>
    </w:div>
    <w:div w:id="1496409069">
      <w:marLeft w:val="480"/>
      <w:marRight w:val="0"/>
      <w:marTop w:val="0"/>
      <w:marBottom w:val="0"/>
      <w:divBdr>
        <w:top w:val="none" w:sz="0" w:space="0" w:color="auto"/>
        <w:left w:val="none" w:sz="0" w:space="0" w:color="auto"/>
        <w:bottom w:val="none" w:sz="0" w:space="0" w:color="auto"/>
        <w:right w:val="none" w:sz="0" w:space="0" w:color="auto"/>
      </w:divBdr>
    </w:div>
    <w:div w:id="1501000776">
      <w:marLeft w:val="480"/>
      <w:marRight w:val="0"/>
      <w:marTop w:val="0"/>
      <w:marBottom w:val="0"/>
      <w:divBdr>
        <w:top w:val="none" w:sz="0" w:space="0" w:color="auto"/>
        <w:left w:val="none" w:sz="0" w:space="0" w:color="auto"/>
        <w:bottom w:val="none" w:sz="0" w:space="0" w:color="auto"/>
        <w:right w:val="none" w:sz="0" w:space="0" w:color="auto"/>
      </w:divBdr>
    </w:div>
    <w:div w:id="1501117520">
      <w:marLeft w:val="480"/>
      <w:marRight w:val="0"/>
      <w:marTop w:val="0"/>
      <w:marBottom w:val="0"/>
      <w:divBdr>
        <w:top w:val="none" w:sz="0" w:space="0" w:color="auto"/>
        <w:left w:val="none" w:sz="0" w:space="0" w:color="auto"/>
        <w:bottom w:val="none" w:sz="0" w:space="0" w:color="auto"/>
        <w:right w:val="none" w:sz="0" w:space="0" w:color="auto"/>
      </w:divBdr>
    </w:div>
    <w:div w:id="1507211652">
      <w:marLeft w:val="480"/>
      <w:marRight w:val="0"/>
      <w:marTop w:val="0"/>
      <w:marBottom w:val="0"/>
      <w:divBdr>
        <w:top w:val="none" w:sz="0" w:space="0" w:color="auto"/>
        <w:left w:val="none" w:sz="0" w:space="0" w:color="auto"/>
        <w:bottom w:val="none" w:sz="0" w:space="0" w:color="auto"/>
        <w:right w:val="none" w:sz="0" w:space="0" w:color="auto"/>
      </w:divBdr>
    </w:div>
    <w:div w:id="1507476764">
      <w:marLeft w:val="480"/>
      <w:marRight w:val="0"/>
      <w:marTop w:val="0"/>
      <w:marBottom w:val="0"/>
      <w:divBdr>
        <w:top w:val="none" w:sz="0" w:space="0" w:color="auto"/>
        <w:left w:val="none" w:sz="0" w:space="0" w:color="auto"/>
        <w:bottom w:val="none" w:sz="0" w:space="0" w:color="auto"/>
        <w:right w:val="none" w:sz="0" w:space="0" w:color="auto"/>
      </w:divBdr>
    </w:div>
    <w:div w:id="1514302271">
      <w:marLeft w:val="480"/>
      <w:marRight w:val="0"/>
      <w:marTop w:val="0"/>
      <w:marBottom w:val="0"/>
      <w:divBdr>
        <w:top w:val="none" w:sz="0" w:space="0" w:color="auto"/>
        <w:left w:val="none" w:sz="0" w:space="0" w:color="auto"/>
        <w:bottom w:val="none" w:sz="0" w:space="0" w:color="auto"/>
        <w:right w:val="none" w:sz="0" w:space="0" w:color="auto"/>
      </w:divBdr>
    </w:div>
    <w:div w:id="1515608621">
      <w:marLeft w:val="480"/>
      <w:marRight w:val="0"/>
      <w:marTop w:val="0"/>
      <w:marBottom w:val="0"/>
      <w:divBdr>
        <w:top w:val="none" w:sz="0" w:space="0" w:color="auto"/>
        <w:left w:val="none" w:sz="0" w:space="0" w:color="auto"/>
        <w:bottom w:val="none" w:sz="0" w:space="0" w:color="auto"/>
        <w:right w:val="none" w:sz="0" w:space="0" w:color="auto"/>
      </w:divBdr>
    </w:div>
    <w:div w:id="1515799964">
      <w:marLeft w:val="480"/>
      <w:marRight w:val="0"/>
      <w:marTop w:val="0"/>
      <w:marBottom w:val="0"/>
      <w:divBdr>
        <w:top w:val="none" w:sz="0" w:space="0" w:color="auto"/>
        <w:left w:val="none" w:sz="0" w:space="0" w:color="auto"/>
        <w:bottom w:val="none" w:sz="0" w:space="0" w:color="auto"/>
        <w:right w:val="none" w:sz="0" w:space="0" w:color="auto"/>
      </w:divBdr>
    </w:div>
    <w:div w:id="1515800601">
      <w:marLeft w:val="480"/>
      <w:marRight w:val="0"/>
      <w:marTop w:val="0"/>
      <w:marBottom w:val="0"/>
      <w:divBdr>
        <w:top w:val="none" w:sz="0" w:space="0" w:color="auto"/>
        <w:left w:val="none" w:sz="0" w:space="0" w:color="auto"/>
        <w:bottom w:val="none" w:sz="0" w:space="0" w:color="auto"/>
        <w:right w:val="none" w:sz="0" w:space="0" w:color="auto"/>
      </w:divBdr>
    </w:div>
    <w:div w:id="1518812151">
      <w:marLeft w:val="480"/>
      <w:marRight w:val="0"/>
      <w:marTop w:val="0"/>
      <w:marBottom w:val="0"/>
      <w:divBdr>
        <w:top w:val="none" w:sz="0" w:space="0" w:color="auto"/>
        <w:left w:val="none" w:sz="0" w:space="0" w:color="auto"/>
        <w:bottom w:val="none" w:sz="0" w:space="0" w:color="auto"/>
        <w:right w:val="none" w:sz="0" w:space="0" w:color="auto"/>
      </w:divBdr>
    </w:div>
    <w:div w:id="1519730729">
      <w:marLeft w:val="480"/>
      <w:marRight w:val="0"/>
      <w:marTop w:val="0"/>
      <w:marBottom w:val="0"/>
      <w:divBdr>
        <w:top w:val="none" w:sz="0" w:space="0" w:color="auto"/>
        <w:left w:val="none" w:sz="0" w:space="0" w:color="auto"/>
        <w:bottom w:val="none" w:sz="0" w:space="0" w:color="auto"/>
        <w:right w:val="none" w:sz="0" w:space="0" w:color="auto"/>
      </w:divBdr>
    </w:div>
    <w:div w:id="1520662503">
      <w:marLeft w:val="480"/>
      <w:marRight w:val="0"/>
      <w:marTop w:val="0"/>
      <w:marBottom w:val="0"/>
      <w:divBdr>
        <w:top w:val="none" w:sz="0" w:space="0" w:color="auto"/>
        <w:left w:val="none" w:sz="0" w:space="0" w:color="auto"/>
        <w:bottom w:val="none" w:sz="0" w:space="0" w:color="auto"/>
        <w:right w:val="none" w:sz="0" w:space="0" w:color="auto"/>
      </w:divBdr>
    </w:div>
    <w:div w:id="1522284486">
      <w:marLeft w:val="480"/>
      <w:marRight w:val="0"/>
      <w:marTop w:val="0"/>
      <w:marBottom w:val="0"/>
      <w:divBdr>
        <w:top w:val="none" w:sz="0" w:space="0" w:color="auto"/>
        <w:left w:val="none" w:sz="0" w:space="0" w:color="auto"/>
        <w:bottom w:val="none" w:sz="0" w:space="0" w:color="auto"/>
        <w:right w:val="none" w:sz="0" w:space="0" w:color="auto"/>
      </w:divBdr>
    </w:div>
    <w:div w:id="1522550051">
      <w:marLeft w:val="480"/>
      <w:marRight w:val="0"/>
      <w:marTop w:val="0"/>
      <w:marBottom w:val="0"/>
      <w:divBdr>
        <w:top w:val="none" w:sz="0" w:space="0" w:color="auto"/>
        <w:left w:val="none" w:sz="0" w:space="0" w:color="auto"/>
        <w:bottom w:val="none" w:sz="0" w:space="0" w:color="auto"/>
        <w:right w:val="none" w:sz="0" w:space="0" w:color="auto"/>
      </w:divBdr>
    </w:div>
    <w:div w:id="1529024609">
      <w:marLeft w:val="480"/>
      <w:marRight w:val="0"/>
      <w:marTop w:val="0"/>
      <w:marBottom w:val="0"/>
      <w:divBdr>
        <w:top w:val="none" w:sz="0" w:space="0" w:color="auto"/>
        <w:left w:val="none" w:sz="0" w:space="0" w:color="auto"/>
        <w:bottom w:val="none" w:sz="0" w:space="0" w:color="auto"/>
        <w:right w:val="none" w:sz="0" w:space="0" w:color="auto"/>
      </w:divBdr>
    </w:div>
    <w:div w:id="1529756728">
      <w:marLeft w:val="480"/>
      <w:marRight w:val="0"/>
      <w:marTop w:val="0"/>
      <w:marBottom w:val="0"/>
      <w:divBdr>
        <w:top w:val="none" w:sz="0" w:space="0" w:color="auto"/>
        <w:left w:val="none" w:sz="0" w:space="0" w:color="auto"/>
        <w:bottom w:val="none" w:sz="0" w:space="0" w:color="auto"/>
        <w:right w:val="none" w:sz="0" w:space="0" w:color="auto"/>
      </w:divBdr>
    </w:div>
    <w:div w:id="1530874222">
      <w:marLeft w:val="480"/>
      <w:marRight w:val="0"/>
      <w:marTop w:val="0"/>
      <w:marBottom w:val="0"/>
      <w:divBdr>
        <w:top w:val="none" w:sz="0" w:space="0" w:color="auto"/>
        <w:left w:val="none" w:sz="0" w:space="0" w:color="auto"/>
        <w:bottom w:val="none" w:sz="0" w:space="0" w:color="auto"/>
        <w:right w:val="none" w:sz="0" w:space="0" w:color="auto"/>
      </w:divBdr>
    </w:div>
    <w:div w:id="1531527805">
      <w:marLeft w:val="480"/>
      <w:marRight w:val="0"/>
      <w:marTop w:val="0"/>
      <w:marBottom w:val="0"/>
      <w:divBdr>
        <w:top w:val="none" w:sz="0" w:space="0" w:color="auto"/>
        <w:left w:val="none" w:sz="0" w:space="0" w:color="auto"/>
        <w:bottom w:val="none" w:sz="0" w:space="0" w:color="auto"/>
        <w:right w:val="none" w:sz="0" w:space="0" w:color="auto"/>
      </w:divBdr>
    </w:div>
    <w:div w:id="1532843078">
      <w:marLeft w:val="480"/>
      <w:marRight w:val="0"/>
      <w:marTop w:val="0"/>
      <w:marBottom w:val="0"/>
      <w:divBdr>
        <w:top w:val="none" w:sz="0" w:space="0" w:color="auto"/>
        <w:left w:val="none" w:sz="0" w:space="0" w:color="auto"/>
        <w:bottom w:val="none" w:sz="0" w:space="0" w:color="auto"/>
        <w:right w:val="none" w:sz="0" w:space="0" w:color="auto"/>
      </w:divBdr>
    </w:div>
    <w:div w:id="1535002532">
      <w:marLeft w:val="480"/>
      <w:marRight w:val="0"/>
      <w:marTop w:val="0"/>
      <w:marBottom w:val="0"/>
      <w:divBdr>
        <w:top w:val="none" w:sz="0" w:space="0" w:color="auto"/>
        <w:left w:val="none" w:sz="0" w:space="0" w:color="auto"/>
        <w:bottom w:val="none" w:sz="0" w:space="0" w:color="auto"/>
        <w:right w:val="none" w:sz="0" w:space="0" w:color="auto"/>
      </w:divBdr>
    </w:div>
    <w:div w:id="1536189370">
      <w:marLeft w:val="480"/>
      <w:marRight w:val="0"/>
      <w:marTop w:val="0"/>
      <w:marBottom w:val="0"/>
      <w:divBdr>
        <w:top w:val="none" w:sz="0" w:space="0" w:color="auto"/>
        <w:left w:val="none" w:sz="0" w:space="0" w:color="auto"/>
        <w:bottom w:val="none" w:sz="0" w:space="0" w:color="auto"/>
        <w:right w:val="none" w:sz="0" w:space="0" w:color="auto"/>
      </w:divBdr>
    </w:div>
    <w:div w:id="1536846975">
      <w:marLeft w:val="480"/>
      <w:marRight w:val="0"/>
      <w:marTop w:val="0"/>
      <w:marBottom w:val="0"/>
      <w:divBdr>
        <w:top w:val="none" w:sz="0" w:space="0" w:color="auto"/>
        <w:left w:val="none" w:sz="0" w:space="0" w:color="auto"/>
        <w:bottom w:val="none" w:sz="0" w:space="0" w:color="auto"/>
        <w:right w:val="none" w:sz="0" w:space="0" w:color="auto"/>
      </w:divBdr>
    </w:div>
    <w:div w:id="1539121446">
      <w:marLeft w:val="480"/>
      <w:marRight w:val="0"/>
      <w:marTop w:val="0"/>
      <w:marBottom w:val="0"/>
      <w:divBdr>
        <w:top w:val="none" w:sz="0" w:space="0" w:color="auto"/>
        <w:left w:val="none" w:sz="0" w:space="0" w:color="auto"/>
        <w:bottom w:val="none" w:sz="0" w:space="0" w:color="auto"/>
        <w:right w:val="none" w:sz="0" w:space="0" w:color="auto"/>
      </w:divBdr>
    </w:div>
    <w:div w:id="1540628843">
      <w:marLeft w:val="480"/>
      <w:marRight w:val="0"/>
      <w:marTop w:val="0"/>
      <w:marBottom w:val="0"/>
      <w:divBdr>
        <w:top w:val="none" w:sz="0" w:space="0" w:color="auto"/>
        <w:left w:val="none" w:sz="0" w:space="0" w:color="auto"/>
        <w:bottom w:val="none" w:sz="0" w:space="0" w:color="auto"/>
        <w:right w:val="none" w:sz="0" w:space="0" w:color="auto"/>
      </w:divBdr>
    </w:div>
    <w:div w:id="1541936026">
      <w:marLeft w:val="480"/>
      <w:marRight w:val="0"/>
      <w:marTop w:val="0"/>
      <w:marBottom w:val="0"/>
      <w:divBdr>
        <w:top w:val="none" w:sz="0" w:space="0" w:color="auto"/>
        <w:left w:val="none" w:sz="0" w:space="0" w:color="auto"/>
        <w:bottom w:val="none" w:sz="0" w:space="0" w:color="auto"/>
        <w:right w:val="none" w:sz="0" w:space="0" w:color="auto"/>
      </w:divBdr>
    </w:div>
    <w:div w:id="1548563025">
      <w:marLeft w:val="480"/>
      <w:marRight w:val="0"/>
      <w:marTop w:val="0"/>
      <w:marBottom w:val="0"/>
      <w:divBdr>
        <w:top w:val="none" w:sz="0" w:space="0" w:color="auto"/>
        <w:left w:val="none" w:sz="0" w:space="0" w:color="auto"/>
        <w:bottom w:val="none" w:sz="0" w:space="0" w:color="auto"/>
        <w:right w:val="none" w:sz="0" w:space="0" w:color="auto"/>
      </w:divBdr>
    </w:div>
    <w:div w:id="1550651165">
      <w:marLeft w:val="480"/>
      <w:marRight w:val="0"/>
      <w:marTop w:val="0"/>
      <w:marBottom w:val="0"/>
      <w:divBdr>
        <w:top w:val="none" w:sz="0" w:space="0" w:color="auto"/>
        <w:left w:val="none" w:sz="0" w:space="0" w:color="auto"/>
        <w:bottom w:val="none" w:sz="0" w:space="0" w:color="auto"/>
        <w:right w:val="none" w:sz="0" w:space="0" w:color="auto"/>
      </w:divBdr>
    </w:div>
    <w:div w:id="1553465898">
      <w:marLeft w:val="480"/>
      <w:marRight w:val="0"/>
      <w:marTop w:val="0"/>
      <w:marBottom w:val="0"/>
      <w:divBdr>
        <w:top w:val="none" w:sz="0" w:space="0" w:color="auto"/>
        <w:left w:val="none" w:sz="0" w:space="0" w:color="auto"/>
        <w:bottom w:val="none" w:sz="0" w:space="0" w:color="auto"/>
        <w:right w:val="none" w:sz="0" w:space="0" w:color="auto"/>
      </w:divBdr>
    </w:div>
    <w:div w:id="1555004389">
      <w:marLeft w:val="480"/>
      <w:marRight w:val="0"/>
      <w:marTop w:val="0"/>
      <w:marBottom w:val="0"/>
      <w:divBdr>
        <w:top w:val="none" w:sz="0" w:space="0" w:color="auto"/>
        <w:left w:val="none" w:sz="0" w:space="0" w:color="auto"/>
        <w:bottom w:val="none" w:sz="0" w:space="0" w:color="auto"/>
        <w:right w:val="none" w:sz="0" w:space="0" w:color="auto"/>
      </w:divBdr>
    </w:div>
    <w:div w:id="1555123050">
      <w:marLeft w:val="480"/>
      <w:marRight w:val="0"/>
      <w:marTop w:val="0"/>
      <w:marBottom w:val="0"/>
      <w:divBdr>
        <w:top w:val="none" w:sz="0" w:space="0" w:color="auto"/>
        <w:left w:val="none" w:sz="0" w:space="0" w:color="auto"/>
        <w:bottom w:val="none" w:sz="0" w:space="0" w:color="auto"/>
        <w:right w:val="none" w:sz="0" w:space="0" w:color="auto"/>
      </w:divBdr>
    </w:div>
    <w:div w:id="1556238393">
      <w:marLeft w:val="480"/>
      <w:marRight w:val="0"/>
      <w:marTop w:val="0"/>
      <w:marBottom w:val="0"/>
      <w:divBdr>
        <w:top w:val="none" w:sz="0" w:space="0" w:color="auto"/>
        <w:left w:val="none" w:sz="0" w:space="0" w:color="auto"/>
        <w:bottom w:val="none" w:sz="0" w:space="0" w:color="auto"/>
        <w:right w:val="none" w:sz="0" w:space="0" w:color="auto"/>
      </w:divBdr>
    </w:div>
    <w:div w:id="1557932079">
      <w:marLeft w:val="480"/>
      <w:marRight w:val="0"/>
      <w:marTop w:val="0"/>
      <w:marBottom w:val="0"/>
      <w:divBdr>
        <w:top w:val="none" w:sz="0" w:space="0" w:color="auto"/>
        <w:left w:val="none" w:sz="0" w:space="0" w:color="auto"/>
        <w:bottom w:val="none" w:sz="0" w:space="0" w:color="auto"/>
        <w:right w:val="none" w:sz="0" w:space="0" w:color="auto"/>
      </w:divBdr>
    </w:div>
    <w:div w:id="1559363765">
      <w:marLeft w:val="480"/>
      <w:marRight w:val="0"/>
      <w:marTop w:val="0"/>
      <w:marBottom w:val="0"/>
      <w:divBdr>
        <w:top w:val="none" w:sz="0" w:space="0" w:color="auto"/>
        <w:left w:val="none" w:sz="0" w:space="0" w:color="auto"/>
        <w:bottom w:val="none" w:sz="0" w:space="0" w:color="auto"/>
        <w:right w:val="none" w:sz="0" w:space="0" w:color="auto"/>
      </w:divBdr>
    </w:div>
    <w:div w:id="1563177294">
      <w:marLeft w:val="480"/>
      <w:marRight w:val="0"/>
      <w:marTop w:val="0"/>
      <w:marBottom w:val="0"/>
      <w:divBdr>
        <w:top w:val="none" w:sz="0" w:space="0" w:color="auto"/>
        <w:left w:val="none" w:sz="0" w:space="0" w:color="auto"/>
        <w:bottom w:val="none" w:sz="0" w:space="0" w:color="auto"/>
        <w:right w:val="none" w:sz="0" w:space="0" w:color="auto"/>
      </w:divBdr>
    </w:div>
    <w:div w:id="1563445858">
      <w:marLeft w:val="480"/>
      <w:marRight w:val="0"/>
      <w:marTop w:val="0"/>
      <w:marBottom w:val="0"/>
      <w:divBdr>
        <w:top w:val="none" w:sz="0" w:space="0" w:color="auto"/>
        <w:left w:val="none" w:sz="0" w:space="0" w:color="auto"/>
        <w:bottom w:val="none" w:sz="0" w:space="0" w:color="auto"/>
        <w:right w:val="none" w:sz="0" w:space="0" w:color="auto"/>
      </w:divBdr>
    </w:div>
    <w:div w:id="1566184956">
      <w:marLeft w:val="480"/>
      <w:marRight w:val="0"/>
      <w:marTop w:val="0"/>
      <w:marBottom w:val="0"/>
      <w:divBdr>
        <w:top w:val="none" w:sz="0" w:space="0" w:color="auto"/>
        <w:left w:val="none" w:sz="0" w:space="0" w:color="auto"/>
        <w:bottom w:val="none" w:sz="0" w:space="0" w:color="auto"/>
        <w:right w:val="none" w:sz="0" w:space="0" w:color="auto"/>
      </w:divBdr>
    </w:div>
    <w:div w:id="1569222304">
      <w:marLeft w:val="480"/>
      <w:marRight w:val="0"/>
      <w:marTop w:val="0"/>
      <w:marBottom w:val="0"/>
      <w:divBdr>
        <w:top w:val="none" w:sz="0" w:space="0" w:color="auto"/>
        <w:left w:val="none" w:sz="0" w:space="0" w:color="auto"/>
        <w:bottom w:val="none" w:sz="0" w:space="0" w:color="auto"/>
        <w:right w:val="none" w:sz="0" w:space="0" w:color="auto"/>
      </w:divBdr>
    </w:div>
    <w:div w:id="1573196976">
      <w:marLeft w:val="480"/>
      <w:marRight w:val="0"/>
      <w:marTop w:val="0"/>
      <w:marBottom w:val="0"/>
      <w:divBdr>
        <w:top w:val="none" w:sz="0" w:space="0" w:color="auto"/>
        <w:left w:val="none" w:sz="0" w:space="0" w:color="auto"/>
        <w:bottom w:val="none" w:sz="0" w:space="0" w:color="auto"/>
        <w:right w:val="none" w:sz="0" w:space="0" w:color="auto"/>
      </w:divBdr>
    </w:div>
    <w:div w:id="1575625376">
      <w:marLeft w:val="480"/>
      <w:marRight w:val="0"/>
      <w:marTop w:val="0"/>
      <w:marBottom w:val="0"/>
      <w:divBdr>
        <w:top w:val="none" w:sz="0" w:space="0" w:color="auto"/>
        <w:left w:val="none" w:sz="0" w:space="0" w:color="auto"/>
        <w:bottom w:val="none" w:sz="0" w:space="0" w:color="auto"/>
        <w:right w:val="none" w:sz="0" w:space="0" w:color="auto"/>
      </w:divBdr>
    </w:div>
    <w:div w:id="1576433935">
      <w:marLeft w:val="480"/>
      <w:marRight w:val="0"/>
      <w:marTop w:val="0"/>
      <w:marBottom w:val="0"/>
      <w:divBdr>
        <w:top w:val="none" w:sz="0" w:space="0" w:color="auto"/>
        <w:left w:val="none" w:sz="0" w:space="0" w:color="auto"/>
        <w:bottom w:val="none" w:sz="0" w:space="0" w:color="auto"/>
        <w:right w:val="none" w:sz="0" w:space="0" w:color="auto"/>
      </w:divBdr>
    </w:div>
    <w:div w:id="1580288565">
      <w:marLeft w:val="480"/>
      <w:marRight w:val="0"/>
      <w:marTop w:val="0"/>
      <w:marBottom w:val="0"/>
      <w:divBdr>
        <w:top w:val="none" w:sz="0" w:space="0" w:color="auto"/>
        <w:left w:val="none" w:sz="0" w:space="0" w:color="auto"/>
        <w:bottom w:val="none" w:sz="0" w:space="0" w:color="auto"/>
        <w:right w:val="none" w:sz="0" w:space="0" w:color="auto"/>
      </w:divBdr>
    </w:div>
    <w:div w:id="1583568918">
      <w:marLeft w:val="480"/>
      <w:marRight w:val="0"/>
      <w:marTop w:val="0"/>
      <w:marBottom w:val="0"/>
      <w:divBdr>
        <w:top w:val="none" w:sz="0" w:space="0" w:color="auto"/>
        <w:left w:val="none" w:sz="0" w:space="0" w:color="auto"/>
        <w:bottom w:val="none" w:sz="0" w:space="0" w:color="auto"/>
        <w:right w:val="none" w:sz="0" w:space="0" w:color="auto"/>
      </w:divBdr>
    </w:div>
    <w:div w:id="1584559848">
      <w:marLeft w:val="480"/>
      <w:marRight w:val="0"/>
      <w:marTop w:val="0"/>
      <w:marBottom w:val="0"/>
      <w:divBdr>
        <w:top w:val="none" w:sz="0" w:space="0" w:color="auto"/>
        <w:left w:val="none" w:sz="0" w:space="0" w:color="auto"/>
        <w:bottom w:val="none" w:sz="0" w:space="0" w:color="auto"/>
        <w:right w:val="none" w:sz="0" w:space="0" w:color="auto"/>
      </w:divBdr>
    </w:div>
    <w:div w:id="1586189101">
      <w:marLeft w:val="480"/>
      <w:marRight w:val="0"/>
      <w:marTop w:val="0"/>
      <w:marBottom w:val="0"/>
      <w:divBdr>
        <w:top w:val="none" w:sz="0" w:space="0" w:color="auto"/>
        <w:left w:val="none" w:sz="0" w:space="0" w:color="auto"/>
        <w:bottom w:val="none" w:sz="0" w:space="0" w:color="auto"/>
        <w:right w:val="none" w:sz="0" w:space="0" w:color="auto"/>
      </w:divBdr>
    </w:div>
    <w:div w:id="1587688294">
      <w:marLeft w:val="480"/>
      <w:marRight w:val="0"/>
      <w:marTop w:val="0"/>
      <w:marBottom w:val="0"/>
      <w:divBdr>
        <w:top w:val="none" w:sz="0" w:space="0" w:color="auto"/>
        <w:left w:val="none" w:sz="0" w:space="0" w:color="auto"/>
        <w:bottom w:val="none" w:sz="0" w:space="0" w:color="auto"/>
        <w:right w:val="none" w:sz="0" w:space="0" w:color="auto"/>
      </w:divBdr>
    </w:div>
    <w:div w:id="1588996530">
      <w:marLeft w:val="480"/>
      <w:marRight w:val="0"/>
      <w:marTop w:val="0"/>
      <w:marBottom w:val="0"/>
      <w:divBdr>
        <w:top w:val="none" w:sz="0" w:space="0" w:color="auto"/>
        <w:left w:val="none" w:sz="0" w:space="0" w:color="auto"/>
        <w:bottom w:val="none" w:sz="0" w:space="0" w:color="auto"/>
        <w:right w:val="none" w:sz="0" w:space="0" w:color="auto"/>
      </w:divBdr>
    </w:div>
    <w:div w:id="1591618068">
      <w:marLeft w:val="480"/>
      <w:marRight w:val="0"/>
      <w:marTop w:val="0"/>
      <w:marBottom w:val="0"/>
      <w:divBdr>
        <w:top w:val="none" w:sz="0" w:space="0" w:color="auto"/>
        <w:left w:val="none" w:sz="0" w:space="0" w:color="auto"/>
        <w:bottom w:val="none" w:sz="0" w:space="0" w:color="auto"/>
        <w:right w:val="none" w:sz="0" w:space="0" w:color="auto"/>
      </w:divBdr>
    </w:div>
    <w:div w:id="1592009356">
      <w:marLeft w:val="480"/>
      <w:marRight w:val="0"/>
      <w:marTop w:val="0"/>
      <w:marBottom w:val="0"/>
      <w:divBdr>
        <w:top w:val="none" w:sz="0" w:space="0" w:color="auto"/>
        <w:left w:val="none" w:sz="0" w:space="0" w:color="auto"/>
        <w:bottom w:val="none" w:sz="0" w:space="0" w:color="auto"/>
        <w:right w:val="none" w:sz="0" w:space="0" w:color="auto"/>
      </w:divBdr>
    </w:div>
    <w:div w:id="1592159044">
      <w:marLeft w:val="480"/>
      <w:marRight w:val="0"/>
      <w:marTop w:val="0"/>
      <w:marBottom w:val="0"/>
      <w:divBdr>
        <w:top w:val="none" w:sz="0" w:space="0" w:color="auto"/>
        <w:left w:val="none" w:sz="0" w:space="0" w:color="auto"/>
        <w:bottom w:val="none" w:sz="0" w:space="0" w:color="auto"/>
        <w:right w:val="none" w:sz="0" w:space="0" w:color="auto"/>
      </w:divBdr>
    </w:div>
    <w:div w:id="1595477967">
      <w:marLeft w:val="480"/>
      <w:marRight w:val="0"/>
      <w:marTop w:val="0"/>
      <w:marBottom w:val="0"/>
      <w:divBdr>
        <w:top w:val="none" w:sz="0" w:space="0" w:color="auto"/>
        <w:left w:val="none" w:sz="0" w:space="0" w:color="auto"/>
        <w:bottom w:val="none" w:sz="0" w:space="0" w:color="auto"/>
        <w:right w:val="none" w:sz="0" w:space="0" w:color="auto"/>
      </w:divBdr>
    </w:div>
    <w:div w:id="1597598314">
      <w:marLeft w:val="480"/>
      <w:marRight w:val="0"/>
      <w:marTop w:val="0"/>
      <w:marBottom w:val="0"/>
      <w:divBdr>
        <w:top w:val="none" w:sz="0" w:space="0" w:color="auto"/>
        <w:left w:val="none" w:sz="0" w:space="0" w:color="auto"/>
        <w:bottom w:val="none" w:sz="0" w:space="0" w:color="auto"/>
        <w:right w:val="none" w:sz="0" w:space="0" w:color="auto"/>
      </w:divBdr>
    </w:div>
    <w:div w:id="1598638399">
      <w:marLeft w:val="480"/>
      <w:marRight w:val="0"/>
      <w:marTop w:val="0"/>
      <w:marBottom w:val="0"/>
      <w:divBdr>
        <w:top w:val="none" w:sz="0" w:space="0" w:color="auto"/>
        <w:left w:val="none" w:sz="0" w:space="0" w:color="auto"/>
        <w:bottom w:val="none" w:sz="0" w:space="0" w:color="auto"/>
        <w:right w:val="none" w:sz="0" w:space="0" w:color="auto"/>
      </w:divBdr>
    </w:div>
    <w:div w:id="1598714297">
      <w:marLeft w:val="480"/>
      <w:marRight w:val="0"/>
      <w:marTop w:val="0"/>
      <w:marBottom w:val="0"/>
      <w:divBdr>
        <w:top w:val="none" w:sz="0" w:space="0" w:color="auto"/>
        <w:left w:val="none" w:sz="0" w:space="0" w:color="auto"/>
        <w:bottom w:val="none" w:sz="0" w:space="0" w:color="auto"/>
        <w:right w:val="none" w:sz="0" w:space="0" w:color="auto"/>
      </w:divBdr>
    </w:div>
    <w:div w:id="1599486301">
      <w:marLeft w:val="480"/>
      <w:marRight w:val="0"/>
      <w:marTop w:val="0"/>
      <w:marBottom w:val="0"/>
      <w:divBdr>
        <w:top w:val="none" w:sz="0" w:space="0" w:color="auto"/>
        <w:left w:val="none" w:sz="0" w:space="0" w:color="auto"/>
        <w:bottom w:val="none" w:sz="0" w:space="0" w:color="auto"/>
        <w:right w:val="none" w:sz="0" w:space="0" w:color="auto"/>
      </w:divBdr>
    </w:div>
    <w:div w:id="1603099919">
      <w:marLeft w:val="480"/>
      <w:marRight w:val="0"/>
      <w:marTop w:val="0"/>
      <w:marBottom w:val="0"/>
      <w:divBdr>
        <w:top w:val="none" w:sz="0" w:space="0" w:color="auto"/>
        <w:left w:val="none" w:sz="0" w:space="0" w:color="auto"/>
        <w:bottom w:val="none" w:sz="0" w:space="0" w:color="auto"/>
        <w:right w:val="none" w:sz="0" w:space="0" w:color="auto"/>
      </w:divBdr>
    </w:div>
    <w:div w:id="1603101839">
      <w:marLeft w:val="480"/>
      <w:marRight w:val="0"/>
      <w:marTop w:val="0"/>
      <w:marBottom w:val="0"/>
      <w:divBdr>
        <w:top w:val="none" w:sz="0" w:space="0" w:color="auto"/>
        <w:left w:val="none" w:sz="0" w:space="0" w:color="auto"/>
        <w:bottom w:val="none" w:sz="0" w:space="0" w:color="auto"/>
        <w:right w:val="none" w:sz="0" w:space="0" w:color="auto"/>
      </w:divBdr>
    </w:div>
    <w:div w:id="1603994337">
      <w:marLeft w:val="480"/>
      <w:marRight w:val="0"/>
      <w:marTop w:val="0"/>
      <w:marBottom w:val="0"/>
      <w:divBdr>
        <w:top w:val="none" w:sz="0" w:space="0" w:color="auto"/>
        <w:left w:val="none" w:sz="0" w:space="0" w:color="auto"/>
        <w:bottom w:val="none" w:sz="0" w:space="0" w:color="auto"/>
        <w:right w:val="none" w:sz="0" w:space="0" w:color="auto"/>
      </w:divBdr>
    </w:div>
    <w:div w:id="1603995775">
      <w:marLeft w:val="480"/>
      <w:marRight w:val="0"/>
      <w:marTop w:val="0"/>
      <w:marBottom w:val="0"/>
      <w:divBdr>
        <w:top w:val="none" w:sz="0" w:space="0" w:color="auto"/>
        <w:left w:val="none" w:sz="0" w:space="0" w:color="auto"/>
        <w:bottom w:val="none" w:sz="0" w:space="0" w:color="auto"/>
        <w:right w:val="none" w:sz="0" w:space="0" w:color="auto"/>
      </w:divBdr>
    </w:div>
    <w:div w:id="1606957620">
      <w:marLeft w:val="480"/>
      <w:marRight w:val="0"/>
      <w:marTop w:val="0"/>
      <w:marBottom w:val="0"/>
      <w:divBdr>
        <w:top w:val="none" w:sz="0" w:space="0" w:color="auto"/>
        <w:left w:val="none" w:sz="0" w:space="0" w:color="auto"/>
        <w:bottom w:val="none" w:sz="0" w:space="0" w:color="auto"/>
        <w:right w:val="none" w:sz="0" w:space="0" w:color="auto"/>
      </w:divBdr>
    </w:div>
    <w:div w:id="1609699940">
      <w:marLeft w:val="480"/>
      <w:marRight w:val="0"/>
      <w:marTop w:val="0"/>
      <w:marBottom w:val="0"/>
      <w:divBdr>
        <w:top w:val="none" w:sz="0" w:space="0" w:color="auto"/>
        <w:left w:val="none" w:sz="0" w:space="0" w:color="auto"/>
        <w:bottom w:val="none" w:sz="0" w:space="0" w:color="auto"/>
        <w:right w:val="none" w:sz="0" w:space="0" w:color="auto"/>
      </w:divBdr>
    </w:div>
    <w:div w:id="1610435165">
      <w:marLeft w:val="480"/>
      <w:marRight w:val="0"/>
      <w:marTop w:val="0"/>
      <w:marBottom w:val="0"/>
      <w:divBdr>
        <w:top w:val="none" w:sz="0" w:space="0" w:color="auto"/>
        <w:left w:val="none" w:sz="0" w:space="0" w:color="auto"/>
        <w:bottom w:val="none" w:sz="0" w:space="0" w:color="auto"/>
        <w:right w:val="none" w:sz="0" w:space="0" w:color="auto"/>
      </w:divBdr>
    </w:div>
    <w:div w:id="1610509183">
      <w:marLeft w:val="480"/>
      <w:marRight w:val="0"/>
      <w:marTop w:val="0"/>
      <w:marBottom w:val="0"/>
      <w:divBdr>
        <w:top w:val="none" w:sz="0" w:space="0" w:color="auto"/>
        <w:left w:val="none" w:sz="0" w:space="0" w:color="auto"/>
        <w:bottom w:val="none" w:sz="0" w:space="0" w:color="auto"/>
        <w:right w:val="none" w:sz="0" w:space="0" w:color="auto"/>
      </w:divBdr>
    </w:div>
    <w:div w:id="1612199259">
      <w:marLeft w:val="480"/>
      <w:marRight w:val="0"/>
      <w:marTop w:val="0"/>
      <w:marBottom w:val="0"/>
      <w:divBdr>
        <w:top w:val="none" w:sz="0" w:space="0" w:color="auto"/>
        <w:left w:val="none" w:sz="0" w:space="0" w:color="auto"/>
        <w:bottom w:val="none" w:sz="0" w:space="0" w:color="auto"/>
        <w:right w:val="none" w:sz="0" w:space="0" w:color="auto"/>
      </w:divBdr>
    </w:div>
    <w:div w:id="1615401978">
      <w:marLeft w:val="480"/>
      <w:marRight w:val="0"/>
      <w:marTop w:val="0"/>
      <w:marBottom w:val="0"/>
      <w:divBdr>
        <w:top w:val="none" w:sz="0" w:space="0" w:color="auto"/>
        <w:left w:val="none" w:sz="0" w:space="0" w:color="auto"/>
        <w:bottom w:val="none" w:sz="0" w:space="0" w:color="auto"/>
        <w:right w:val="none" w:sz="0" w:space="0" w:color="auto"/>
      </w:divBdr>
    </w:div>
    <w:div w:id="1619608725">
      <w:marLeft w:val="480"/>
      <w:marRight w:val="0"/>
      <w:marTop w:val="0"/>
      <w:marBottom w:val="0"/>
      <w:divBdr>
        <w:top w:val="none" w:sz="0" w:space="0" w:color="auto"/>
        <w:left w:val="none" w:sz="0" w:space="0" w:color="auto"/>
        <w:bottom w:val="none" w:sz="0" w:space="0" w:color="auto"/>
        <w:right w:val="none" w:sz="0" w:space="0" w:color="auto"/>
      </w:divBdr>
    </w:div>
    <w:div w:id="1622302561">
      <w:marLeft w:val="480"/>
      <w:marRight w:val="0"/>
      <w:marTop w:val="0"/>
      <w:marBottom w:val="0"/>
      <w:divBdr>
        <w:top w:val="none" w:sz="0" w:space="0" w:color="auto"/>
        <w:left w:val="none" w:sz="0" w:space="0" w:color="auto"/>
        <w:bottom w:val="none" w:sz="0" w:space="0" w:color="auto"/>
        <w:right w:val="none" w:sz="0" w:space="0" w:color="auto"/>
      </w:divBdr>
    </w:div>
    <w:div w:id="1623028851">
      <w:marLeft w:val="480"/>
      <w:marRight w:val="0"/>
      <w:marTop w:val="0"/>
      <w:marBottom w:val="0"/>
      <w:divBdr>
        <w:top w:val="none" w:sz="0" w:space="0" w:color="auto"/>
        <w:left w:val="none" w:sz="0" w:space="0" w:color="auto"/>
        <w:bottom w:val="none" w:sz="0" w:space="0" w:color="auto"/>
        <w:right w:val="none" w:sz="0" w:space="0" w:color="auto"/>
      </w:divBdr>
    </w:div>
    <w:div w:id="1625843045">
      <w:marLeft w:val="480"/>
      <w:marRight w:val="0"/>
      <w:marTop w:val="0"/>
      <w:marBottom w:val="0"/>
      <w:divBdr>
        <w:top w:val="none" w:sz="0" w:space="0" w:color="auto"/>
        <w:left w:val="none" w:sz="0" w:space="0" w:color="auto"/>
        <w:bottom w:val="none" w:sz="0" w:space="0" w:color="auto"/>
        <w:right w:val="none" w:sz="0" w:space="0" w:color="auto"/>
      </w:divBdr>
    </w:div>
    <w:div w:id="1626620452">
      <w:marLeft w:val="480"/>
      <w:marRight w:val="0"/>
      <w:marTop w:val="0"/>
      <w:marBottom w:val="0"/>
      <w:divBdr>
        <w:top w:val="none" w:sz="0" w:space="0" w:color="auto"/>
        <w:left w:val="none" w:sz="0" w:space="0" w:color="auto"/>
        <w:bottom w:val="none" w:sz="0" w:space="0" w:color="auto"/>
        <w:right w:val="none" w:sz="0" w:space="0" w:color="auto"/>
      </w:divBdr>
    </w:div>
    <w:div w:id="1631740002">
      <w:marLeft w:val="480"/>
      <w:marRight w:val="0"/>
      <w:marTop w:val="0"/>
      <w:marBottom w:val="0"/>
      <w:divBdr>
        <w:top w:val="none" w:sz="0" w:space="0" w:color="auto"/>
        <w:left w:val="none" w:sz="0" w:space="0" w:color="auto"/>
        <w:bottom w:val="none" w:sz="0" w:space="0" w:color="auto"/>
        <w:right w:val="none" w:sz="0" w:space="0" w:color="auto"/>
      </w:divBdr>
    </w:div>
    <w:div w:id="1631936935">
      <w:marLeft w:val="480"/>
      <w:marRight w:val="0"/>
      <w:marTop w:val="0"/>
      <w:marBottom w:val="0"/>
      <w:divBdr>
        <w:top w:val="none" w:sz="0" w:space="0" w:color="auto"/>
        <w:left w:val="none" w:sz="0" w:space="0" w:color="auto"/>
        <w:bottom w:val="none" w:sz="0" w:space="0" w:color="auto"/>
        <w:right w:val="none" w:sz="0" w:space="0" w:color="auto"/>
      </w:divBdr>
    </w:div>
    <w:div w:id="1632251906">
      <w:marLeft w:val="480"/>
      <w:marRight w:val="0"/>
      <w:marTop w:val="0"/>
      <w:marBottom w:val="0"/>
      <w:divBdr>
        <w:top w:val="none" w:sz="0" w:space="0" w:color="auto"/>
        <w:left w:val="none" w:sz="0" w:space="0" w:color="auto"/>
        <w:bottom w:val="none" w:sz="0" w:space="0" w:color="auto"/>
        <w:right w:val="none" w:sz="0" w:space="0" w:color="auto"/>
      </w:divBdr>
    </w:div>
    <w:div w:id="1633556861">
      <w:marLeft w:val="480"/>
      <w:marRight w:val="0"/>
      <w:marTop w:val="0"/>
      <w:marBottom w:val="0"/>
      <w:divBdr>
        <w:top w:val="none" w:sz="0" w:space="0" w:color="auto"/>
        <w:left w:val="none" w:sz="0" w:space="0" w:color="auto"/>
        <w:bottom w:val="none" w:sz="0" w:space="0" w:color="auto"/>
        <w:right w:val="none" w:sz="0" w:space="0" w:color="auto"/>
      </w:divBdr>
    </w:div>
    <w:div w:id="1635598494">
      <w:marLeft w:val="480"/>
      <w:marRight w:val="0"/>
      <w:marTop w:val="0"/>
      <w:marBottom w:val="0"/>
      <w:divBdr>
        <w:top w:val="none" w:sz="0" w:space="0" w:color="auto"/>
        <w:left w:val="none" w:sz="0" w:space="0" w:color="auto"/>
        <w:bottom w:val="none" w:sz="0" w:space="0" w:color="auto"/>
        <w:right w:val="none" w:sz="0" w:space="0" w:color="auto"/>
      </w:divBdr>
    </w:div>
    <w:div w:id="1636326966">
      <w:marLeft w:val="480"/>
      <w:marRight w:val="0"/>
      <w:marTop w:val="0"/>
      <w:marBottom w:val="0"/>
      <w:divBdr>
        <w:top w:val="none" w:sz="0" w:space="0" w:color="auto"/>
        <w:left w:val="none" w:sz="0" w:space="0" w:color="auto"/>
        <w:bottom w:val="none" w:sz="0" w:space="0" w:color="auto"/>
        <w:right w:val="none" w:sz="0" w:space="0" w:color="auto"/>
      </w:divBdr>
    </w:div>
    <w:div w:id="1637369010">
      <w:marLeft w:val="480"/>
      <w:marRight w:val="0"/>
      <w:marTop w:val="0"/>
      <w:marBottom w:val="0"/>
      <w:divBdr>
        <w:top w:val="none" w:sz="0" w:space="0" w:color="auto"/>
        <w:left w:val="none" w:sz="0" w:space="0" w:color="auto"/>
        <w:bottom w:val="none" w:sz="0" w:space="0" w:color="auto"/>
        <w:right w:val="none" w:sz="0" w:space="0" w:color="auto"/>
      </w:divBdr>
    </w:div>
    <w:div w:id="1639804448">
      <w:marLeft w:val="480"/>
      <w:marRight w:val="0"/>
      <w:marTop w:val="0"/>
      <w:marBottom w:val="0"/>
      <w:divBdr>
        <w:top w:val="none" w:sz="0" w:space="0" w:color="auto"/>
        <w:left w:val="none" w:sz="0" w:space="0" w:color="auto"/>
        <w:bottom w:val="none" w:sz="0" w:space="0" w:color="auto"/>
        <w:right w:val="none" w:sz="0" w:space="0" w:color="auto"/>
      </w:divBdr>
    </w:div>
    <w:div w:id="1641030569">
      <w:marLeft w:val="480"/>
      <w:marRight w:val="0"/>
      <w:marTop w:val="0"/>
      <w:marBottom w:val="0"/>
      <w:divBdr>
        <w:top w:val="none" w:sz="0" w:space="0" w:color="auto"/>
        <w:left w:val="none" w:sz="0" w:space="0" w:color="auto"/>
        <w:bottom w:val="none" w:sz="0" w:space="0" w:color="auto"/>
        <w:right w:val="none" w:sz="0" w:space="0" w:color="auto"/>
      </w:divBdr>
    </w:div>
    <w:div w:id="1641691698">
      <w:marLeft w:val="480"/>
      <w:marRight w:val="0"/>
      <w:marTop w:val="0"/>
      <w:marBottom w:val="0"/>
      <w:divBdr>
        <w:top w:val="none" w:sz="0" w:space="0" w:color="auto"/>
        <w:left w:val="none" w:sz="0" w:space="0" w:color="auto"/>
        <w:bottom w:val="none" w:sz="0" w:space="0" w:color="auto"/>
        <w:right w:val="none" w:sz="0" w:space="0" w:color="auto"/>
      </w:divBdr>
    </w:div>
    <w:div w:id="1643000595">
      <w:marLeft w:val="480"/>
      <w:marRight w:val="0"/>
      <w:marTop w:val="0"/>
      <w:marBottom w:val="0"/>
      <w:divBdr>
        <w:top w:val="none" w:sz="0" w:space="0" w:color="auto"/>
        <w:left w:val="none" w:sz="0" w:space="0" w:color="auto"/>
        <w:bottom w:val="none" w:sz="0" w:space="0" w:color="auto"/>
        <w:right w:val="none" w:sz="0" w:space="0" w:color="auto"/>
      </w:divBdr>
    </w:div>
    <w:div w:id="1643535844">
      <w:marLeft w:val="480"/>
      <w:marRight w:val="0"/>
      <w:marTop w:val="0"/>
      <w:marBottom w:val="0"/>
      <w:divBdr>
        <w:top w:val="none" w:sz="0" w:space="0" w:color="auto"/>
        <w:left w:val="none" w:sz="0" w:space="0" w:color="auto"/>
        <w:bottom w:val="none" w:sz="0" w:space="0" w:color="auto"/>
        <w:right w:val="none" w:sz="0" w:space="0" w:color="auto"/>
      </w:divBdr>
    </w:div>
    <w:div w:id="1646083142">
      <w:marLeft w:val="480"/>
      <w:marRight w:val="0"/>
      <w:marTop w:val="0"/>
      <w:marBottom w:val="0"/>
      <w:divBdr>
        <w:top w:val="none" w:sz="0" w:space="0" w:color="auto"/>
        <w:left w:val="none" w:sz="0" w:space="0" w:color="auto"/>
        <w:bottom w:val="none" w:sz="0" w:space="0" w:color="auto"/>
        <w:right w:val="none" w:sz="0" w:space="0" w:color="auto"/>
      </w:divBdr>
    </w:div>
    <w:div w:id="1646087333">
      <w:marLeft w:val="480"/>
      <w:marRight w:val="0"/>
      <w:marTop w:val="0"/>
      <w:marBottom w:val="0"/>
      <w:divBdr>
        <w:top w:val="none" w:sz="0" w:space="0" w:color="auto"/>
        <w:left w:val="none" w:sz="0" w:space="0" w:color="auto"/>
        <w:bottom w:val="none" w:sz="0" w:space="0" w:color="auto"/>
        <w:right w:val="none" w:sz="0" w:space="0" w:color="auto"/>
      </w:divBdr>
    </w:div>
    <w:div w:id="1646934869">
      <w:marLeft w:val="480"/>
      <w:marRight w:val="0"/>
      <w:marTop w:val="0"/>
      <w:marBottom w:val="0"/>
      <w:divBdr>
        <w:top w:val="none" w:sz="0" w:space="0" w:color="auto"/>
        <w:left w:val="none" w:sz="0" w:space="0" w:color="auto"/>
        <w:bottom w:val="none" w:sz="0" w:space="0" w:color="auto"/>
        <w:right w:val="none" w:sz="0" w:space="0" w:color="auto"/>
      </w:divBdr>
    </w:div>
    <w:div w:id="1647390880">
      <w:marLeft w:val="480"/>
      <w:marRight w:val="0"/>
      <w:marTop w:val="0"/>
      <w:marBottom w:val="0"/>
      <w:divBdr>
        <w:top w:val="none" w:sz="0" w:space="0" w:color="auto"/>
        <w:left w:val="none" w:sz="0" w:space="0" w:color="auto"/>
        <w:bottom w:val="none" w:sz="0" w:space="0" w:color="auto"/>
        <w:right w:val="none" w:sz="0" w:space="0" w:color="auto"/>
      </w:divBdr>
    </w:div>
    <w:div w:id="1647978642">
      <w:marLeft w:val="480"/>
      <w:marRight w:val="0"/>
      <w:marTop w:val="0"/>
      <w:marBottom w:val="0"/>
      <w:divBdr>
        <w:top w:val="none" w:sz="0" w:space="0" w:color="auto"/>
        <w:left w:val="none" w:sz="0" w:space="0" w:color="auto"/>
        <w:bottom w:val="none" w:sz="0" w:space="0" w:color="auto"/>
        <w:right w:val="none" w:sz="0" w:space="0" w:color="auto"/>
      </w:divBdr>
    </w:div>
    <w:div w:id="1650865493">
      <w:marLeft w:val="480"/>
      <w:marRight w:val="0"/>
      <w:marTop w:val="0"/>
      <w:marBottom w:val="0"/>
      <w:divBdr>
        <w:top w:val="none" w:sz="0" w:space="0" w:color="auto"/>
        <w:left w:val="none" w:sz="0" w:space="0" w:color="auto"/>
        <w:bottom w:val="none" w:sz="0" w:space="0" w:color="auto"/>
        <w:right w:val="none" w:sz="0" w:space="0" w:color="auto"/>
      </w:divBdr>
    </w:div>
    <w:div w:id="1651014006">
      <w:marLeft w:val="480"/>
      <w:marRight w:val="0"/>
      <w:marTop w:val="0"/>
      <w:marBottom w:val="0"/>
      <w:divBdr>
        <w:top w:val="none" w:sz="0" w:space="0" w:color="auto"/>
        <w:left w:val="none" w:sz="0" w:space="0" w:color="auto"/>
        <w:bottom w:val="none" w:sz="0" w:space="0" w:color="auto"/>
        <w:right w:val="none" w:sz="0" w:space="0" w:color="auto"/>
      </w:divBdr>
    </w:div>
    <w:div w:id="1652563333">
      <w:marLeft w:val="480"/>
      <w:marRight w:val="0"/>
      <w:marTop w:val="0"/>
      <w:marBottom w:val="0"/>
      <w:divBdr>
        <w:top w:val="none" w:sz="0" w:space="0" w:color="auto"/>
        <w:left w:val="none" w:sz="0" w:space="0" w:color="auto"/>
        <w:bottom w:val="none" w:sz="0" w:space="0" w:color="auto"/>
        <w:right w:val="none" w:sz="0" w:space="0" w:color="auto"/>
      </w:divBdr>
    </w:div>
    <w:div w:id="1654405565">
      <w:marLeft w:val="480"/>
      <w:marRight w:val="0"/>
      <w:marTop w:val="0"/>
      <w:marBottom w:val="0"/>
      <w:divBdr>
        <w:top w:val="none" w:sz="0" w:space="0" w:color="auto"/>
        <w:left w:val="none" w:sz="0" w:space="0" w:color="auto"/>
        <w:bottom w:val="none" w:sz="0" w:space="0" w:color="auto"/>
        <w:right w:val="none" w:sz="0" w:space="0" w:color="auto"/>
      </w:divBdr>
    </w:div>
    <w:div w:id="1657102344">
      <w:marLeft w:val="480"/>
      <w:marRight w:val="0"/>
      <w:marTop w:val="0"/>
      <w:marBottom w:val="0"/>
      <w:divBdr>
        <w:top w:val="none" w:sz="0" w:space="0" w:color="auto"/>
        <w:left w:val="none" w:sz="0" w:space="0" w:color="auto"/>
        <w:bottom w:val="none" w:sz="0" w:space="0" w:color="auto"/>
        <w:right w:val="none" w:sz="0" w:space="0" w:color="auto"/>
      </w:divBdr>
    </w:div>
    <w:div w:id="1657999454">
      <w:marLeft w:val="480"/>
      <w:marRight w:val="0"/>
      <w:marTop w:val="0"/>
      <w:marBottom w:val="0"/>
      <w:divBdr>
        <w:top w:val="none" w:sz="0" w:space="0" w:color="auto"/>
        <w:left w:val="none" w:sz="0" w:space="0" w:color="auto"/>
        <w:bottom w:val="none" w:sz="0" w:space="0" w:color="auto"/>
        <w:right w:val="none" w:sz="0" w:space="0" w:color="auto"/>
      </w:divBdr>
    </w:div>
    <w:div w:id="1658537758">
      <w:marLeft w:val="480"/>
      <w:marRight w:val="0"/>
      <w:marTop w:val="0"/>
      <w:marBottom w:val="0"/>
      <w:divBdr>
        <w:top w:val="none" w:sz="0" w:space="0" w:color="auto"/>
        <w:left w:val="none" w:sz="0" w:space="0" w:color="auto"/>
        <w:bottom w:val="none" w:sz="0" w:space="0" w:color="auto"/>
        <w:right w:val="none" w:sz="0" w:space="0" w:color="auto"/>
      </w:divBdr>
    </w:div>
    <w:div w:id="1660229840">
      <w:marLeft w:val="480"/>
      <w:marRight w:val="0"/>
      <w:marTop w:val="0"/>
      <w:marBottom w:val="0"/>
      <w:divBdr>
        <w:top w:val="none" w:sz="0" w:space="0" w:color="auto"/>
        <w:left w:val="none" w:sz="0" w:space="0" w:color="auto"/>
        <w:bottom w:val="none" w:sz="0" w:space="0" w:color="auto"/>
        <w:right w:val="none" w:sz="0" w:space="0" w:color="auto"/>
      </w:divBdr>
    </w:div>
    <w:div w:id="1663585906">
      <w:marLeft w:val="480"/>
      <w:marRight w:val="0"/>
      <w:marTop w:val="0"/>
      <w:marBottom w:val="0"/>
      <w:divBdr>
        <w:top w:val="none" w:sz="0" w:space="0" w:color="auto"/>
        <w:left w:val="none" w:sz="0" w:space="0" w:color="auto"/>
        <w:bottom w:val="none" w:sz="0" w:space="0" w:color="auto"/>
        <w:right w:val="none" w:sz="0" w:space="0" w:color="auto"/>
      </w:divBdr>
    </w:div>
    <w:div w:id="1664357623">
      <w:marLeft w:val="480"/>
      <w:marRight w:val="0"/>
      <w:marTop w:val="0"/>
      <w:marBottom w:val="0"/>
      <w:divBdr>
        <w:top w:val="none" w:sz="0" w:space="0" w:color="auto"/>
        <w:left w:val="none" w:sz="0" w:space="0" w:color="auto"/>
        <w:bottom w:val="none" w:sz="0" w:space="0" w:color="auto"/>
        <w:right w:val="none" w:sz="0" w:space="0" w:color="auto"/>
      </w:divBdr>
    </w:div>
    <w:div w:id="1664967912">
      <w:marLeft w:val="480"/>
      <w:marRight w:val="0"/>
      <w:marTop w:val="0"/>
      <w:marBottom w:val="0"/>
      <w:divBdr>
        <w:top w:val="none" w:sz="0" w:space="0" w:color="auto"/>
        <w:left w:val="none" w:sz="0" w:space="0" w:color="auto"/>
        <w:bottom w:val="none" w:sz="0" w:space="0" w:color="auto"/>
        <w:right w:val="none" w:sz="0" w:space="0" w:color="auto"/>
      </w:divBdr>
    </w:div>
    <w:div w:id="1667240802">
      <w:marLeft w:val="480"/>
      <w:marRight w:val="0"/>
      <w:marTop w:val="0"/>
      <w:marBottom w:val="0"/>
      <w:divBdr>
        <w:top w:val="none" w:sz="0" w:space="0" w:color="auto"/>
        <w:left w:val="none" w:sz="0" w:space="0" w:color="auto"/>
        <w:bottom w:val="none" w:sz="0" w:space="0" w:color="auto"/>
        <w:right w:val="none" w:sz="0" w:space="0" w:color="auto"/>
      </w:divBdr>
    </w:div>
    <w:div w:id="1669097462">
      <w:marLeft w:val="480"/>
      <w:marRight w:val="0"/>
      <w:marTop w:val="0"/>
      <w:marBottom w:val="0"/>
      <w:divBdr>
        <w:top w:val="none" w:sz="0" w:space="0" w:color="auto"/>
        <w:left w:val="none" w:sz="0" w:space="0" w:color="auto"/>
        <w:bottom w:val="none" w:sz="0" w:space="0" w:color="auto"/>
        <w:right w:val="none" w:sz="0" w:space="0" w:color="auto"/>
      </w:divBdr>
    </w:div>
    <w:div w:id="1671711587">
      <w:marLeft w:val="480"/>
      <w:marRight w:val="0"/>
      <w:marTop w:val="0"/>
      <w:marBottom w:val="0"/>
      <w:divBdr>
        <w:top w:val="none" w:sz="0" w:space="0" w:color="auto"/>
        <w:left w:val="none" w:sz="0" w:space="0" w:color="auto"/>
        <w:bottom w:val="none" w:sz="0" w:space="0" w:color="auto"/>
        <w:right w:val="none" w:sz="0" w:space="0" w:color="auto"/>
      </w:divBdr>
    </w:div>
    <w:div w:id="1677999503">
      <w:marLeft w:val="480"/>
      <w:marRight w:val="0"/>
      <w:marTop w:val="0"/>
      <w:marBottom w:val="0"/>
      <w:divBdr>
        <w:top w:val="none" w:sz="0" w:space="0" w:color="auto"/>
        <w:left w:val="none" w:sz="0" w:space="0" w:color="auto"/>
        <w:bottom w:val="none" w:sz="0" w:space="0" w:color="auto"/>
        <w:right w:val="none" w:sz="0" w:space="0" w:color="auto"/>
      </w:divBdr>
    </w:div>
    <w:div w:id="1678001663">
      <w:marLeft w:val="480"/>
      <w:marRight w:val="0"/>
      <w:marTop w:val="0"/>
      <w:marBottom w:val="0"/>
      <w:divBdr>
        <w:top w:val="none" w:sz="0" w:space="0" w:color="auto"/>
        <w:left w:val="none" w:sz="0" w:space="0" w:color="auto"/>
        <w:bottom w:val="none" w:sz="0" w:space="0" w:color="auto"/>
        <w:right w:val="none" w:sz="0" w:space="0" w:color="auto"/>
      </w:divBdr>
    </w:div>
    <w:div w:id="1680695172">
      <w:marLeft w:val="480"/>
      <w:marRight w:val="0"/>
      <w:marTop w:val="0"/>
      <w:marBottom w:val="0"/>
      <w:divBdr>
        <w:top w:val="none" w:sz="0" w:space="0" w:color="auto"/>
        <w:left w:val="none" w:sz="0" w:space="0" w:color="auto"/>
        <w:bottom w:val="none" w:sz="0" w:space="0" w:color="auto"/>
        <w:right w:val="none" w:sz="0" w:space="0" w:color="auto"/>
      </w:divBdr>
    </w:div>
    <w:div w:id="1681463349">
      <w:marLeft w:val="480"/>
      <w:marRight w:val="0"/>
      <w:marTop w:val="0"/>
      <w:marBottom w:val="0"/>
      <w:divBdr>
        <w:top w:val="none" w:sz="0" w:space="0" w:color="auto"/>
        <w:left w:val="none" w:sz="0" w:space="0" w:color="auto"/>
        <w:bottom w:val="none" w:sz="0" w:space="0" w:color="auto"/>
        <w:right w:val="none" w:sz="0" w:space="0" w:color="auto"/>
      </w:divBdr>
    </w:div>
    <w:div w:id="1683125012">
      <w:marLeft w:val="480"/>
      <w:marRight w:val="0"/>
      <w:marTop w:val="0"/>
      <w:marBottom w:val="0"/>
      <w:divBdr>
        <w:top w:val="none" w:sz="0" w:space="0" w:color="auto"/>
        <w:left w:val="none" w:sz="0" w:space="0" w:color="auto"/>
        <w:bottom w:val="none" w:sz="0" w:space="0" w:color="auto"/>
        <w:right w:val="none" w:sz="0" w:space="0" w:color="auto"/>
      </w:divBdr>
    </w:div>
    <w:div w:id="1686201805">
      <w:marLeft w:val="480"/>
      <w:marRight w:val="0"/>
      <w:marTop w:val="0"/>
      <w:marBottom w:val="0"/>
      <w:divBdr>
        <w:top w:val="none" w:sz="0" w:space="0" w:color="auto"/>
        <w:left w:val="none" w:sz="0" w:space="0" w:color="auto"/>
        <w:bottom w:val="none" w:sz="0" w:space="0" w:color="auto"/>
        <w:right w:val="none" w:sz="0" w:space="0" w:color="auto"/>
      </w:divBdr>
    </w:div>
    <w:div w:id="1686403829">
      <w:marLeft w:val="480"/>
      <w:marRight w:val="0"/>
      <w:marTop w:val="0"/>
      <w:marBottom w:val="0"/>
      <w:divBdr>
        <w:top w:val="none" w:sz="0" w:space="0" w:color="auto"/>
        <w:left w:val="none" w:sz="0" w:space="0" w:color="auto"/>
        <w:bottom w:val="none" w:sz="0" w:space="0" w:color="auto"/>
        <w:right w:val="none" w:sz="0" w:space="0" w:color="auto"/>
      </w:divBdr>
    </w:div>
    <w:div w:id="1687246951">
      <w:marLeft w:val="480"/>
      <w:marRight w:val="0"/>
      <w:marTop w:val="0"/>
      <w:marBottom w:val="0"/>
      <w:divBdr>
        <w:top w:val="none" w:sz="0" w:space="0" w:color="auto"/>
        <w:left w:val="none" w:sz="0" w:space="0" w:color="auto"/>
        <w:bottom w:val="none" w:sz="0" w:space="0" w:color="auto"/>
        <w:right w:val="none" w:sz="0" w:space="0" w:color="auto"/>
      </w:divBdr>
    </w:div>
    <w:div w:id="1688020878">
      <w:marLeft w:val="480"/>
      <w:marRight w:val="0"/>
      <w:marTop w:val="0"/>
      <w:marBottom w:val="0"/>
      <w:divBdr>
        <w:top w:val="none" w:sz="0" w:space="0" w:color="auto"/>
        <w:left w:val="none" w:sz="0" w:space="0" w:color="auto"/>
        <w:bottom w:val="none" w:sz="0" w:space="0" w:color="auto"/>
        <w:right w:val="none" w:sz="0" w:space="0" w:color="auto"/>
      </w:divBdr>
    </w:div>
    <w:div w:id="1688753491">
      <w:marLeft w:val="480"/>
      <w:marRight w:val="0"/>
      <w:marTop w:val="0"/>
      <w:marBottom w:val="0"/>
      <w:divBdr>
        <w:top w:val="none" w:sz="0" w:space="0" w:color="auto"/>
        <w:left w:val="none" w:sz="0" w:space="0" w:color="auto"/>
        <w:bottom w:val="none" w:sz="0" w:space="0" w:color="auto"/>
        <w:right w:val="none" w:sz="0" w:space="0" w:color="auto"/>
      </w:divBdr>
    </w:div>
    <w:div w:id="1693073635">
      <w:marLeft w:val="480"/>
      <w:marRight w:val="0"/>
      <w:marTop w:val="0"/>
      <w:marBottom w:val="0"/>
      <w:divBdr>
        <w:top w:val="none" w:sz="0" w:space="0" w:color="auto"/>
        <w:left w:val="none" w:sz="0" w:space="0" w:color="auto"/>
        <w:bottom w:val="none" w:sz="0" w:space="0" w:color="auto"/>
        <w:right w:val="none" w:sz="0" w:space="0" w:color="auto"/>
      </w:divBdr>
    </w:div>
    <w:div w:id="1694183949">
      <w:marLeft w:val="480"/>
      <w:marRight w:val="0"/>
      <w:marTop w:val="0"/>
      <w:marBottom w:val="0"/>
      <w:divBdr>
        <w:top w:val="none" w:sz="0" w:space="0" w:color="auto"/>
        <w:left w:val="none" w:sz="0" w:space="0" w:color="auto"/>
        <w:bottom w:val="none" w:sz="0" w:space="0" w:color="auto"/>
        <w:right w:val="none" w:sz="0" w:space="0" w:color="auto"/>
      </w:divBdr>
    </w:div>
    <w:div w:id="1697123188">
      <w:marLeft w:val="480"/>
      <w:marRight w:val="0"/>
      <w:marTop w:val="0"/>
      <w:marBottom w:val="0"/>
      <w:divBdr>
        <w:top w:val="none" w:sz="0" w:space="0" w:color="auto"/>
        <w:left w:val="none" w:sz="0" w:space="0" w:color="auto"/>
        <w:bottom w:val="none" w:sz="0" w:space="0" w:color="auto"/>
        <w:right w:val="none" w:sz="0" w:space="0" w:color="auto"/>
      </w:divBdr>
    </w:div>
    <w:div w:id="1697385299">
      <w:marLeft w:val="480"/>
      <w:marRight w:val="0"/>
      <w:marTop w:val="0"/>
      <w:marBottom w:val="0"/>
      <w:divBdr>
        <w:top w:val="none" w:sz="0" w:space="0" w:color="auto"/>
        <w:left w:val="none" w:sz="0" w:space="0" w:color="auto"/>
        <w:bottom w:val="none" w:sz="0" w:space="0" w:color="auto"/>
        <w:right w:val="none" w:sz="0" w:space="0" w:color="auto"/>
      </w:divBdr>
    </w:div>
    <w:div w:id="1698433809">
      <w:marLeft w:val="480"/>
      <w:marRight w:val="0"/>
      <w:marTop w:val="0"/>
      <w:marBottom w:val="0"/>
      <w:divBdr>
        <w:top w:val="none" w:sz="0" w:space="0" w:color="auto"/>
        <w:left w:val="none" w:sz="0" w:space="0" w:color="auto"/>
        <w:bottom w:val="none" w:sz="0" w:space="0" w:color="auto"/>
        <w:right w:val="none" w:sz="0" w:space="0" w:color="auto"/>
      </w:divBdr>
    </w:div>
    <w:div w:id="1698703072">
      <w:marLeft w:val="480"/>
      <w:marRight w:val="0"/>
      <w:marTop w:val="0"/>
      <w:marBottom w:val="0"/>
      <w:divBdr>
        <w:top w:val="none" w:sz="0" w:space="0" w:color="auto"/>
        <w:left w:val="none" w:sz="0" w:space="0" w:color="auto"/>
        <w:bottom w:val="none" w:sz="0" w:space="0" w:color="auto"/>
        <w:right w:val="none" w:sz="0" w:space="0" w:color="auto"/>
      </w:divBdr>
    </w:div>
    <w:div w:id="1700736918">
      <w:marLeft w:val="480"/>
      <w:marRight w:val="0"/>
      <w:marTop w:val="0"/>
      <w:marBottom w:val="0"/>
      <w:divBdr>
        <w:top w:val="none" w:sz="0" w:space="0" w:color="auto"/>
        <w:left w:val="none" w:sz="0" w:space="0" w:color="auto"/>
        <w:bottom w:val="none" w:sz="0" w:space="0" w:color="auto"/>
        <w:right w:val="none" w:sz="0" w:space="0" w:color="auto"/>
      </w:divBdr>
    </w:div>
    <w:div w:id="1702509693">
      <w:marLeft w:val="480"/>
      <w:marRight w:val="0"/>
      <w:marTop w:val="0"/>
      <w:marBottom w:val="0"/>
      <w:divBdr>
        <w:top w:val="none" w:sz="0" w:space="0" w:color="auto"/>
        <w:left w:val="none" w:sz="0" w:space="0" w:color="auto"/>
        <w:bottom w:val="none" w:sz="0" w:space="0" w:color="auto"/>
        <w:right w:val="none" w:sz="0" w:space="0" w:color="auto"/>
      </w:divBdr>
    </w:div>
    <w:div w:id="1704819079">
      <w:marLeft w:val="480"/>
      <w:marRight w:val="0"/>
      <w:marTop w:val="0"/>
      <w:marBottom w:val="0"/>
      <w:divBdr>
        <w:top w:val="none" w:sz="0" w:space="0" w:color="auto"/>
        <w:left w:val="none" w:sz="0" w:space="0" w:color="auto"/>
        <w:bottom w:val="none" w:sz="0" w:space="0" w:color="auto"/>
        <w:right w:val="none" w:sz="0" w:space="0" w:color="auto"/>
      </w:divBdr>
    </w:div>
    <w:div w:id="1706172664">
      <w:marLeft w:val="480"/>
      <w:marRight w:val="0"/>
      <w:marTop w:val="0"/>
      <w:marBottom w:val="0"/>
      <w:divBdr>
        <w:top w:val="none" w:sz="0" w:space="0" w:color="auto"/>
        <w:left w:val="none" w:sz="0" w:space="0" w:color="auto"/>
        <w:bottom w:val="none" w:sz="0" w:space="0" w:color="auto"/>
        <w:right w:val="none" w:sz="0" w:space="0" w:color="auto"/>
      </w:divBdr>
    </w:div>
    <w:div w:id="1712995441">
      <w:marLeft w:val="480"/>
      <w:marRight w:val="0"/>
      <w:marTop w:val="0"/>
      <w:marBottom w:val="0"/>
      <w:divBdr>
        <w:top w:val="none" w:sz="0" w:space="0" w:color="auto"/>
        <w:left w:val="none" w:sz="0" w:space="0" w:color="auto"/>
        <w:bottom w:val="none" w:sz="0" w:space="0" w:color="auto"/>
        <w:right w:val="none" w:sz="0" w:space="0" w:color="auto"/>
      </w:divBdr>
    </w:div>
    <w:div w:id="1714845322">
      <w:marLeft w:val="480"/>
      <w:marRight w:val="0"/>
      <w:marTop w:val="0"/>
      <w:marBottom w:val="0"/>
      <w:divBdr>
        <w:top w:val="none" w:sz="0" w:space="0" w:color="auto"/>
        <w:left w:val="none" w:sz="0" w:space="0" w:color="auto"/>
        <w:bottom w:val="none" w:sz="0" w:space="0" w:color="auto"/>
        <w:right w:val="none" w:sz="0" w:space="0" w:color="auto"/>
      </w:divBdr>
    </w:div>
    <w:div w:id="1715421768">
      <w:marLeft w:val="480"/>
      <w:marRight w:val="0"/>
      <w:marTop w:val="0"/>
      <w:marBottom w:val="0"/>
      <w:divBdr>
        <w:top w:val="none" w:sz="0" w:space="0" w:color="auto"/>
        <w:left w:val="none" w:sz="0" w:space="0" w:color="auto"/>
        <w:bottom w:val="none" w:sz="0" w:space="0" w:color="auto"/>
        <w:right w:val="none" w:sz="0" w:space="0" w:color="auto"/>
      </w:divBdr>
    </w:div>
    <w:div w:id="1717776937">
      <w:marLeft w:val="480"/>
      <w:marRight w:val="0"/>
      <w:marTop w:val="0"/>
      <w:marBottom w:val="0"/>
      <w:divBdr>
        <w:top w:val="none" w:sz="0" w:space="0" w:color="auto"/>
        <w:left w:val="none" w:sz="0" w:space="0" w:color="auto"/>
        <w:bottom w:val="none" w:sz="0" w:space="0" w:color="auto"/>
        <w:right w:val="none" w:sz="0" w:space="0" w:color="auto"/>
      </w:divBdr>
    </w:div>
    <w:div w:id="1718046430">
      <w:marLeft w:val="480"/>
      <w:marRight w:val="0"/>
      <w:marTop w:val="0"/>
      <w:marBottom w:val="0"/>
      <w:divBdr>
        <w:top w:val="none" w:sz="0" w:space="0" w:color="auto"/>
        <w:left w:val="none" w:sz="0" w:space="0" w:color="auto"/>
        <w:bottom w:val="none" w:sz="0" w:space="0" w:color="auto"/>
        <w:right w:val="none" w:sz="0" w:space="0" w:color="auto"/>
      </w:divBdr>
    </w:div>
    <w:div w:id="1725447301">
      <w:marLeft w:val="480"/>
      <w:marRight w:val="0"/>
      <w:marTop w:val="0"/>
      <w:marBottom w:val="0"/>
      <w:divBdr>
        <w:top w:val="none" w:sz="0" w:space="0" w:color="auto"/>
        <w:left w:val="none" w:sz="0" w:space="0" w:color="auto"/>
        <w:bottom w:val="none" w:sz="0" w:space="0" w:color="auto"/>
        <w:right w:val="none" w:sz="0" w:space="0" w:color="auto"/>
      </w:divBdr>
    </w:div>
    <w:div w:id="1725563831">
      <w:marLeft w:val="480"/>
      <w:marRight w:val="0"/>
      <w:marTop w:val="0"/>
      <w:marBottom w:val="0"/>
      <w:divBdr>
        <w:top w:val="none" w:sz="0" w:space="0" w:color="auto"/>
        <w:left w:val="none" w:sz="0" w:space="0" w:color="auto"/>
        <w:bottom w:val="none" w:sz="0" w:space="0" w:color="auto"/>
        <w:right w:val="none" w:sz="0" w:space="0" w:color="auto"/>
      </w:divBdr>
    </w:div>
    <w:div w:id="1726177354">
      <w:marLeft w:val="480"/>
      <w:marRight w:val="0"/>
      <w:marTop w:val="0"/>
      <w:marBottom w:val="0"/>
      <w:divBdr>
        <w:top w:val="none" w:sz="0" w:space="0" w:color="auto"/>
        <w:left w:val="none" w:sz="0" w:space="0" w:color="auto"/>
        <w:bottom w:val="none" w:sz="0" w:space="0" w:color="auto"/>
        <w:right w:val="none" w:sz="0" w:space="0" w:color="auto"/>
      </w:divBdr>
    </w:div>
    <w:div w:id="1727990861">
      <w:marLeft w:val="480"/>
      <w:marRight w:val="0"/>
      <w:marTop w:val="0"/>
      <w:marBottom w:val="0"/>
      <w:divBdr>
        <w:top w:val="none" w:sz="0" w:space="0" w:color="auto"/>
        <w:left w:val="none" w:sz="0" w:space="0" w:color="auto"/>
        <w:bottom w:val="none" w:sz="0" w:space="0" w:color="auto"/>
        <w:right w:val="none" w:sz="0" w:space="0" w:color="auto"/>
      </w:divBdr>
    </w:div>
    <w:div w:id="1728215735">
      <w:marLeft w:val="480"/>
      <w:marRight w:val="0"/>
      <w:marTop w:val="0"/>
      <w:marBottom w:val="0"/>
      <w:divBdr>
        <w:top w:val="none" w:sz="0" w:space="0" w:color="auto"/>
        <w:left w:val="none" w:sz="0" w:space="0" w:color="auto"/>
        <w:bottom w:val="none" w:sz="0" w:space="0" w:color="auto"/>
        <w:right w:val="none" w:sz="0" w:space="0" w:color="auto"/>
      </w:divBdr>
    </w:div>
    <w:div w:id="1728529571">
      <w:marLeft w:val="480"/>
      <w:marRight w:val="0"/>
      <w:marTop w:val="0"/>
      <w:marBottom w:val="0"/>
      <w:divBdr>
        <w:top w:val="none" w:sz="0" w:space="0" w:color="auto"/>
        <w:left w:val="none" w:sz="0" w:space="0" w:color="auto"/>
        <w:bottom w:val="none" w:sz="0" w:space="0" w:color="auto"/>
        <w:right w:val="none" w:sz="0" w:space="0" w:color="auto"/>
      </w:divBdr>
    </w:div>
    <w:div w:id="1730034175">
      <w:marLeft w:val="480"/>
      <w:marRight w:val="0"/>
      <w:marTop w:val="0"/>
      <w:marBottom w:val="0"/>
      <w:divBdr>
        <w:top w:val="none" w:sz="0" w:space="0" w:color="auto"/>
        <w:left w:val="none" w:sz="0" w:space="0" w:color="auto"/>
        <w:bottom w:val="none" w:sz="0" w:space="0" w:color="auto"/>
        <w:right w:val="none" w:sz="0" w:space="0" w:color="auto"/>
      </w:divBdr>
    </w:div>
    <w:div w:id="1731535931">
      <w:marLeft w:val="480"/>
      <w:marRight w:val="0"/>
      <w:marTop w:val="0"/>
      <w:marBottom w:val="0"/>
      <w:divBdr>
        <w:top w:val="none" w:sz="0" w:space="0" w:color="auto"/>
        <w:left w:val="none" w:sz="0" w:space="0" w:color="auto"/>
        <w:bottom w:val="none" w:sz="0" w:space="0" w:color="auto"/>
        <w:right w:val="none" w:sz="0" w:space="0" w:color="auto"/>
      </w:divBdr>
    </w:div>
    <w:div w:id="1735009423">
      <w:marLeft w:val="480"/>
      <w:marRight w:val="0"/>
      <w:marTop w:val="0"/>
      <w:marBottom w:val="0"/>
      <w:divBdr>
        <w:top w:val="none" w:sz="0" w:space="0" w:color="auto"/>
        <w:left w:val="none" w:sz="0" w:space="0" w:color="auto"/>
        <w:bottom w:val="none" w:sz="0" w:space="0" w:color="auto"/>
        <w:right w:val="none" w:sz="0" w:space="0" w:color="auto"/>
      </w:divBdr>
    </w:div>
    <w:div w:id="1735471859">
      <w:marLeft w:val="480"/>
      <w:marRight w:val="0"/>
      <w:marTop w:val="0"/>
      <w:marBottom w:val="0"/>
      <w:divBdr>
        <w:top w:val="none" w:sz="0" w:space="0" w:color="auto"/>
        <w:left w:val="none" w:sz="0" w:space="0" w:color="auto"/>
        <w:bottom w:val="none" w:sz="0" w:space="0" w:color="auto"/>
        <w:right w:val="none" w:sz="0" w:space="0" w:color="auto"/>
      </w:divBdr>
    </w:div>
    <w:div w:id="1738282890">
      <w:marLeft w:val="480"/>
      <w:marRight w:val="0"/>
      <w:marTop w:val="0"/>
      <w:marBottom w:val="0"/>
      <w:divBdr>
        <w:top w:val="none" w:sz="0" w:space="0" w:color="auto"/>
        <w:left w:val="none" w:sz="0" w:space="0" w:color="auto"/>
        <w:bottom w:val="none" w:sz="0" w:space="0" w:color="auto"/>
        <w:right w:val="none" w:sz="0" w:space="0" w:color="auto"/>
      </w:divBdr>
    </w:div>
    <w:div w:id="1741519115">
      <w:marLeft w:val="480"/>
      <w:marRight w:val="0"/>
      <w:marTop w:val="0"/>
      <w:marBottom w:val="0"/>
      <w:divBdr>
        <w:top w:val="none" w:sz="0" w:space="0" w:color="auto"/>
        <w:left w:val="none" w:sz="0" w:space="0" w:color="auto"/>
        <w:bottom w:val="none" w:sz="0" w:space="0" w:color="auto"/>
        <w:right w:val="none" w:sz="0" w:space="0" w:color="auto"/>
      </w:divBdr>
    </w:div>
    <w:div w:id="1743477982">
      <w:marLeft w:val="480"/>
      <w:marRight w:val="0"/>
      <w:marTop w:val="0"/>
      <w:marBottom w:val="0"/>
      <w:divBdr>
        <w:top w:val="none" w:sz="0" w:space="0" w:color="auto"/>
        <w:left w:val="none" w:sz="0" w:space="0" w:color="auto"/>
        <w:bottom w:val="none" w:sz="0" w:space="0" w:color="auto"/>
        <w:right w:val="none" w:sz="0" w:space="0" w:color="auto"/>
      </w:divBdr>
    </w:div>
    <w:div w:id="1745687832">
      <w:marLeft w:val="480"/>
      <w:marRight w:val="0"/>
      <w:marTop w:val="0"/>
      <w:marBottom w:val="0"/>
      <w:divBdr>
        <w:top w:val="none" w:sz="0" w:space="0" w:color="auto"/>
        <w:left w:val="none" w:sz="0" w:space="0" w:color="auto"/>
        <w:bottom w:val="none" w:sz="0" w:space="0" w:color="auto"/>
        <w:right w:val="none" w:sz="0" w:space="0" w:color="auto"/>
      </w:divBdr>
    </w:div>
    <w:div w:id="1749183006">
      <w:marLeft w:val="480"/>
      <w:marRight w:val="0"/>
      <w:marTop w:val="0"/>
      <w:marBottom w:val="0"/>
      <w:divBdr>
        <w:top w:val="none" w:sz="0" w:space="0" w:color="auto"/>
        <w:left w:val="none" w:sz="0" w:space="0" w:color="auto"/>
        <w:bottom w:val="none" w:sz="0" w:space="0" w:color="auto"/>
        <w:right w:val="none" w:sz="0" w:space="0" w:color="auto"/>
      </w:divBdr>
    </w:div>
    <w:div w:id="1750224076">
      <w:marLeft w:val="480"/>
      <w:marRight w:val="0"/>
      <w:marTop w:val="0"/>
      <w:marBottom w:val="0"/>
      <w:divBdr>
        <w:top w:val="none" w:sz="0" w:space="0" w:color="auto"/>
        <w:left w:val="none" w:sz="0" w:space="0" w:color="auto"/>
        <w:bottom w:val="none" w:sz="0" w:space="0" w:color="auto"/>
        <w:right w:val="none" w:sz="0" w:space="0" w:color="auto"/>
      </w:divBdr>
    </w:div>
    <w:div w:id="1751384663">
      <w:marLeft w:val="480"/>
      <w:marRight w:val="0"/>
      <w:marTop w:val="0"/>
      <w:marBottom w:val="0"/>
      <w:divBdr>
        <w:top w:val="none" w:sz="0" w:space="0" w:color="auto"/>
        <w:left w:val="none" w:sz="0" w:space="0" w:color="auto"/>
        <w:bottom w:val="none" w:sz="0" w:space="0" w:color="auto"/>
        <w:right w:val="none" w:sz="0" w:space="0" w:color="auto"/>
      </w:divBdr>
    </w:div>
    <w:div w:id="1751459674">
      <w:marLeft w:val="480"/>
      <w:marRight w:val="0"/>
      <w:marTop w:val="0"/>
      <w:marBottom w:val="0"/>
      <w:divBdr>
        <w:top w:val="none" w:sz="0" w:space="0" w:color="auto"/>
        <w:left w:val="none" w:sz="0" w:space="0" w:color="auto"/>
        <w:bottom w:val="none" w:sz="0" w:space="0" w:color="auto"/>
        <w:right w:val="none" w:sz="0" w:space="0" w:color="auto"/>
      </w:divBdr>
    </w:div>
    <w:div w:id="1752047073">
      <w:marLeft w:val="480"/>
      <w:marRight w:val="0"/>
      <w:marTop w:val="0"/>
      <w:marBottom w:val="0"/>
      <w:divBdr>
        <w:top w:val="none" w:sz="0" w:space="0" w:color="auto"/>
        <w:left w:val="none" w:sz="0" w:space="0" w:color="auto"/>
        <w:bottom w:val="none" w:sz="0" w:space="0" w:color="auto"/>
        <w:right w:val="none" w:sz="0" w:space="0" w:color="auto"/>
      </w:divBdr>
    </w:div>
    <w:div w:id="1754355260">
      <w:marLeft w:val="480"/>
      <w:marRight w:val="0"/>
      <w:marTop w:val="0"/>
      <w:marBottom w:val="0"/>
      <w:divBdr>
        <w:top w:val="none" w:sz="0" w:space="0" w:color="auto"/>
        <w:left w:val="none" w:sz="0" w:space="0" w:color="auto"/>
        <w:bottom w:val="none" w:sz="0" w:space="0" w:color="auto"/>
        <w:right w:val="none" w:sz="0" w:space="0" w:color="auto"/>
      </w:divBdr>
    </w:div>
    <w:div w:id="1756124357">
      <w:marLeft w:val="480"/>
      <w:marRight w:val="0"/>
      <w:marTop w:val="0"/>
      <w:marBottom w:val="0"/>
      <w:divBdr>
        <w:top w:val="none" w:sz="0" w:space="0" w:color="auto"/>
        <w:left w:val="none" w:sz="0" w:space="0" w:color="auto"/>
        <w:bottom w:val="none" w:sz="0" w:space="0" w:color="auto"/>
        <w:right w:val="none" w:sz="0" w:space="0" w:color="auto"/>
      </w:divBdr>
    </w:div>
    <w:div w:id="1756825395">
      <w:marLeft w:val="480"/>
      <w:marRight w:val="0"/>
      <w:marTop w:val="0"/>
      <w:marBottom w:val="0"/>
      <w:divBdr>
        <w:top w:val="none" w:sz="0" w:space="0" w:color="auto"/>
        <w:left w:val="none" w:sz="0" w:space="0" w:color="auto"/>
        <w:bottom w:val="none" w:sz="0" w:space="0" w:color="auto"/>
        <w:right w:val="none" w:sz="0" w:space="0" w:color="auto"/>
      </w:divBdr>
    </w:div>
    <w:div w:id="1757752828">
      <w:marLeft w:val="480"/>
      <w:marRight w:val="0"/>
      <w:marTop w:val="0"/>
      <w:marBottom w:val="0"/>
      <w:divBdr>
        <w:top w:val="none" w:sz="0" w:space="0" w:color="auto"/>
        <w:left w:val="none" w:sz="0" w:space="0" w:color="auto"/>
        <w:bottom w:val="none" w:sz="0" w:space="0" w:color="auto"/>
        <w:right w:val="none" w:sz="0" w:space="0" w:color="auto"/>
      </w:divBdr>
    </w:div>
    <w:div w:id="1760131013">
      <w:marLeft w:val="480"/>
      <w:marRight w:val="0"/>
      <w:marTop w:val="0"/>
      <w:marBottom w:val="0"/>
      <w:divBdr>
        <w:top w:val="none" w:sz="0" w:space="0" w:color="auto"/>
        <w:left w:val="none" w:sz="0" w:space="0" w:color="auto"/>
        <w:bottom w:val="none" w:sz="0" w:space="0" w:color="auto"/>
        <w:right w:val="none" w:sz="0" w:space="0" w:color="auto"/>
      </w:divBdr>
    </w:div>
    <w:div w:id="1764645567">
      <w:marLeft w:val="480"/>
      <w:marRight w:val="0"/>
      <w:marTop w:val="0"/>
      <w:marBottom w:val="0"/>
      <w:divBdr>
        <w:top w:val="none" w:sz="0" w:space="0" w:color="auto"/>
        <w:left w:val="none" w:sz="0" w:space="0" w:color="auto"/>
        <w:bottom w:val="none" w:sz="0" w:space="0" w:color="auto"/>
        <w:right w:val="none" w:sz="0" w:space="0" w:color="auto"/>
      </w:divBdr>
    </w:div>
    <w:div w:id="1766195261">
      <w:marLeft w:val="480"/>
      <w:marRight w:val="0"/>
      <w:marTop w:val="0"/>
      <w:marBottom w:val="0"/>
      <w:divBdr>
        <w:top w:val="none" w:sz="0" w:space="0" w:color="auto"/>
        <w:left w:val="none" w:sz="0" w:space="0" w:color="auto"/>
        <w:bottom w:val="none" w:sz="0" w:space="0" w:color="auto"/>
        <w:right w:val="none" w:sz="0" w:space="0" w:color="auto"/>
      </w:divBdr>
    </w:div>
    <w:div w:id="1766607827">
      <w:marLeft w:val="480"/>
      <w:marRight w:val="0"/>
      <w:marTop w:val="0"/>
      <w:marBottom w:val="0"/>
      <w:divBdr>
        <w:top w:val="none" w:sz="0" w:space="0" w:color="auto"/>
        <w:left w:val="none" w:sz="0" w:space="0" w:color="auto"/>
        <w:bottom w:val="none" w:sz="0" w:space="0" w:color="auto"/>
        <w:right w:val="none" w:sz="0" w:space="0" w:color="auto"/>
      </w:divBdr>
    </w:div>
    <w:div w:id="1766874854">
      <w:marLeft w:val="480"/>
      <w:marRight w:val="0"/>
      <w:marTop w:val="0"/>
      <w:marBottom w:val="0"/>
      <w:divBdr>
        <w:top w:val="none" w:sz="0" w:space="0" w:color="auto"/>
        <w:left w:val="none" w:sz="0" w:space="0" w:color="auto"/>
        <w:bottom w:val="none" w:sz="0" w:space="0" w:color="auto"/>
        <w:right w:val="none" w:sz="0" w:space="0" w:color="auto"/>
      </w:divBdr>
    </w:div>
    <w:div w:id="1767967837">
      <w:marLeft w:val="480"/>
      <w:marRight w:val="0"/>
      <w:marTop w:val="0"/>
      <w:marBottom w:val="0"/>
      <w:divBdr>
        <w:top w:val="none" w:sz="0" w:space="0" w:color="auto"/>
        <w:left w:val="none" w:sz="0" w:space="0" w:color="auto"/>
        <w:bottom w:val="none" w:sz="0" w:space="0" w:color="auto"/>
        <w:right w:val="none" w:sz="0" w:space="0" w:color="auto"/>
      </w:divBdr>
    </w:div>
    <w:div w:id="1768304115">
      <w:marLeft w:val="480"/>
      <w:marRight w:val="0"/>
      <w:marTop w:val="0"/>
      <w:marBottom w:val="0"/>
      <w:divBdr>
        <w:top w:val="none" w:sz="0" w:space="0" w:color="auto"/>
        <w:left w:val="none" w:sz="0" w:space="0" w:color="auto"/>
        <w:bottom w:val="none" w:sz="0" w:space="0" w:color="auto"/>
        <w:right w:val="none" w:sz="0" w:space="0" w:color="auto"/>
      </w:divBdr>
    </w:div>
    <w:div w:id="1775831588">
      <w:marLeft w:val="480"/>
      <w:marRight w:val="0"/>
      <w:marTop w:val="0"/>
      <w:marBottom w:val="0"/>
      <w:divBdr>
        <w:top w:val="none" w:sz="0" w:space="0" w:color="auto"/>
        <w:left w:val="none" w:sz="0" w:space="0" w:color="auto"/>
        <w:bottom w:val="none" w:sz="0" w:space="0" w:color="auto"/>
        <w:right w:val="none" w:sz="0" w:space="0" w:color="auto"/>
      </w:divBdr>
    </w:div>
    <w:div w:id="1778910785">
      <w:marLeft w:val="480"/>
      <w:marRight w:val="0"/>
      <w:marTop w:val="0"/>
      <w:marBottom w:val="0"/>
      <w:divBdr>
        <w:top w:val="none" w:sz="0" w:space="0" w:color="auto"/>
        <w:left w:val="none" w:sz="0" w:space="0" w:color="auto"/>
        <w:bottom w:val="none" w:sz="0" w:space="0" w:color="auto"/>
        <w:right w:val="none" w:sz="0" w:space="0" w:color="auto"/>
      </w:divBdr>
    </w:div>
    <w:div w:id="1780834157">
      <w:marLeft w:val="480"/>
      <w:marRight w:val="0"/>
      <w:marTop w:val="0"/>
      <w:marBottom w:val="0"/>
      <w:divBdr>
        <w:top w:val="none" w:sz="0" w:space="0" w:color="auto"/>
        <w:left w:val="none" w:sz="0" w:space="0" w:color="auto"/>
        <w:bottom w:val="none" w:sz="0" w:space="0" w:color="auto"/>
        <w:right w:val="none" w:sz="0" w:space="0" w:color="auto"/>
      </w:divBdr>
    </w:div>
    <w:div w:id="1783960787">
      <w:marLeft w:val="480"/>
      <w:marRight w:val="0"/>
      <w:marTop w:val="0"/>
      <w:marBottom w:val="0"/>
      <w:divBdr>
        <w:top w:val="none" w:sz="0" w:space="0" w:color="auto"/>
        <w:left w:val="none" w:sz="0" w:space="0" w:color="auto"/>
        <w:bottom w:val="none" w:sz="0" w:space="0" w:color="auto"/>
        <w:right w:val="none" w:sz="0" w:space="0" w:color="auto"/>
      </w:divBdr>
    </w:div>
    <w:div w:id="1784421178">
      <w:marLeft w:val="480"/>
      <w:marRight w:val="0"/>
      <w:marTop w:val="0"/>
      <w:marBottom w:val="0"/>
      <w:divBdr>
        <w:top w:val="none" w:sz="0" w:space="0" w:color="auto"/>
        <w:left w:val="none" w:sz="0" w:space="0" w:color="auto"/>
        <w:bottom w:val="none" w:sz="0" w:space="0" w:color="auto"/>
        <w:right w:val="none" w:sz="0" w:space="0" w:color="auto"/>
      </w:divBdr>
    </w:div>
    <w:div w:id="1787305662">
      <w:marLeft w:val="480"/>
      <w:marRight w:val="0"/>
      <w:marTop w:val="0"/>
      <w:marBottom w:val="0"/>
      <w:divBdr>
        <w:top w:val="none" w:sz="0" w:space="0" w:color="auto"/>
        <w:left w:val="none" w:sz="0" w:space="0" w:color="auto"/>
        <w:bottom w:val="none" w:sz="0" w:space="0" w:color="auto"/>
        <w:right w:val="none" w:sz="0" w:space="0" w:color="auto"/>
      </w:divBdr>
    </w:div>
    <w:div w:id="1788154471">
      <w:marLeft w:val="480"/>
      <w:marRight w:val="0"/>
      <w:marTop w:val="0"/>
      <w:marBottom w:val="0"/>
      <w:divBdr>
        <w:top w:val="none" w:sz="0" w:space="0" w:color="auto"/>
        <w:left w:val="none" w:sz="0" w:space="0" w:color="auto"/>
        <w:bottom w:val="none" w:sz="0" w:space="0" w:color="auto"/>
        <w:right w:val="none" w:sz="0" w:space="0" w:color="auto"/>
      </w:divBdr>
    </w:div>
    <w:div w:id="1788237182">
      <w:marLeft w:val="480"/>
      <w:marRight w:val="0"/>
      <w:marTop w:val="0"/>
      <w:marBottom w:val="0"/>
      <w:divBdr>
        <w:top w:val="none" w:sz="0" w:space="0" w:color="auto"/>
        <w:left w:val="none" w:sz="0" w:space="0" w:color="auto"/>
        <w:bottom w:val="none" w:sz="0" w:space="0" w:color="auto"/>
        <w:right w:val="none" w:sz="0" w:space="0" w:color="auto"/>
      </w:divBdr>
    </w:div>
    <w:div w:id="1789155411">
      <w:marLeft w:val="480"/>
      <w:marRight w:val="0"/>
      <w:marTop w:val="0"/>
      <w:marBottom w:val="0"/>
      <w:divBdr>
        <w:top w:val="none" w:sz="0" w:space="0" w:color="auto"/>
        <w:left w:val="none" w:sz="0" w:space="0" w:color="auto"/>
        <w:bottom w:val="none" w:sz="0" w:space="0" w:color="auto"/>
        <w:right w:val="none" w:sz="0" w:space="0" w:color="auto"/>
      </w:divBdr>
    </w:div>
    <w:div w:id="1791431830">
      <w:marLeft w:val="480"/>
      <w:marRight w:val="0"/>
      <w:marTop w:val="0"/>
      <w:marBottom w:val="0"/>
      <w:divBdr>
        <w:top w:val="none" w:sz="0" w:space="0" w:color="auto"/>
        <w:left w:val="none" w:sz="0" w:space="0" w:color="auto"/>
        <w:bottom w:val="none" w:sz="0" w:space="0" w:color="auto"/>
        <w:right w:val="none" w:sz="0" w:space="0" w:color="auto"/>
      </w:divBdr>
    </w:div>
    <w:div w:id="1791893315">
      <w:marLeft w:val="480"/>
      <w:marRight w:val="0"/>
      <w:marTop w:val="0"/>
      <w:marBottom w:val="0"/>
      <w:divBdr>
        <w:top w:val="none" w:sz="0" w:space="0" w:color="auto"/>
        <w:left w:val="none" w:sz="0" w:space="0" w:color="auto"/>
        <w:bottom w:val="none" w:sz="0" w:space="0" w:color="auto"/>
        <w:right w:val="none" w:sz="0" w:space="0" w:color="auto"/>
      </w:divBdr>
    </w:div>
    <w:div w:id="1793402417">
      <w:marLeft w:val="480"/>
      <w:marRight w:val="0"/>
      <w:marTop w:val="0"/>
      <w:marBottom w:val="0"/>
      <w:divBdr>
        <w:top w:val="none" w:sz="0" w:space="0" w:color="auto"/>
        <w:left w:val="none" w:sz="0" w:space="0" w:color="auto"/>
        <w:bottom w:val="none" w:sz="0" w:space="0" w:color="auto"/>
        <w:right w:val="none" w:sz="0" w:space="0" w:color="auto"/>
      </w:divBdr>
    </w:div>
    <w:div w:id="1794325610">
      <w:marLeft w:val="480"/>
      <w:marRight w:val="0"/>
      <w:marTop w:val="0"/>
      <w:marBottom w:val="0"/>
      <w:divBdr>
        <w:top w:val="none" w:sz="0" w:space="0" w:color="auto"/>
        <w:left w:val="none" w:sz="0" w:space="0" w:color="auto"/>
        <w:bottom w:val="none" w:sz="0" w:space="0" w:color="auto"/>
        <w:right w:val="none" w:sz="0" w:space="0" w:color="auto"/>
      </w:divBdr>
    </w:div>
    <w:div w:id="1795781964">
      <w:marLeft w:val="480"/>
      <w:marRight w:val="0"/>
      <w:marTop w:val="0"/>
      <w:marBottom w:val="0"/>
      <w:divBdr>
        <w:top w:val="none" w:sz="0" w:space="0" w:color="auto"/>
        <w:left w:val="none" w:sz="0" w:space="0" w:color="auto"/>
        <w:bottom w:val="none" w:sz="0" w:space="0" w:color="auto"/>
        <w:right w:val="none" w:sz="0" w:space="0" w:color="auto"/>
      </w:divBdr>
    </w:div>
    <w:div w:id="1797677246">
      <w:marLeft w:val="480"/>
      <w:marRight w:val="0"/>
      <w:marTop w:val="0"/>
      <w:marBottom w:val="0"/>
      <w:divBdr>
        <w:top w:val="none" w:sz="0" w:space="0" w:color="auto"/>
        <w:left w:val="none" w:sz="0" w:space="0" w:color="auto"/>
        <w:bottom w:val="none" w:sz="0" w:space="0" w:color="auto"/>
        <w:right w:val="none" w:sz="0" w:space="0" w:color="auto"/>
      </w:divBdr>
    </w:div>
    <w:div w:id="1797748129">
      <w:marLeft w:val="480"/>
      <w:marRight w:val="0"/>
      <w:marTop w:val="0"/>
      <w:marBottom w:val="0"/>
      <w:divBdr>
        <w:top w:val="none" w:sz="0" w:space="0" w:color="auto"/>
        <w:left w:val="none" w:sz="0" w:space="0" w:color="auto"/>
        <w:bottom w:val="none" w:sz="0" w:space="0" w:color="auto"/>
        <w:right w:val="none" w:sz="0" w:space="0" w:color="auto"/>
      </w:divBdr>
    </w:div>
    <w:div w:id="1797748519">
      <w:marLeft w:val="480"/>
      <w:marRight w:val="0"/>
      <w:marTop w:val="0"/>
      <w:marBottom w:val="0"/>
      <w:divBdr>
        <w:top w:val="none" w:sz="0" w:space="0" w:color="auto"/>
        <w:left w:val="none" w:sz="0" w:space="0" w:color="auto"/>
        <w:bottom w:val="none" w:sz="0" w:space="0" w:color="auto"/>
        <w:right w:val="none" w:sz="0" w:space="0" w:color="auto"/>
      </w:divBdr>
    </w:div>
    <w:div w:id="1798832930">
      <w:marLeft w:val="480"/>
      <w:marRight w:val="0"/>
      <w:marTop w:val="0"/>
      <w:marBottom w:val="0"/>
      <w:divBdr>
        <w:top w:val="none" w:sz="0" w:space="0" w:color="auto"/>
        <w:left w:val="none" w:sz="0" w:space="0" w:color="auto"/>
        <w:bottom w:val="none" w:sz="0" w:space="0" w:color="auto"/>
        <w:right w:val="none" w:sz="0" w:space="0" w:color="auto"/>
      </w:divBdr>
    </w:div>
    <w:div w:id="1800030453">
      <w:marLeft w:val="480"/>
      <w:marRight w:val="0"/>
      <w:marTop w:val="0"/>
      <w:marBottom w:val="0"/>
      <w:divBdr>
        <w:top w:val="none" w:sz="0" w:space="0" w:color="auto"/>
        <w:left w:val="none" w:sz="0" w:space="0" w:color="auto"/>
        <w:bottom w:val="none" w:sz="0" w:space="0" w:color="auto"/>
        <w:right w:val="none" w:sz="0" w:space="0" w:color="auto"/>
      </w:divBdr>
    </w:div>
    <w:div w:id="1807162939">
      <w:marLeft w:val="480"/>
      <w:marRight w:val="0"/>
      <w:marTop w:val="0"/>
      <w:marBottom w:val="0"/>
      <w:divBdr>
        <w:top w:val="none" w:sz="0" w:space="0" w:color="auto"/>
        <w:left w:val="none" w:sz="0" w:space="0" w:color="auto"/>
        <w:bottom w:val="none" w:sz="0" w:space="0" w:color="auto"/>
        <w:right w:val="none" w:sz="0" w:space="0" w:color="auto"/>
      </w:divBdr>
    </w:div>
    <w:div w:id="1808426058">
      <w:marLeft w:val="480"/>
      <w:marRight w:val="0"/>
      <w:marTop w:val="0"/>
      <w:marBottom w:val="0"/>
      <w:divBdr>
        <w:top w:val="none" w:sz="0" w:space="0" w:color="auto"/>
        <w:left w:val="none" w:sz="0" w:space="0" w:color="auto"/>
        <w:bottom w:val="none" w:sz="0" w:space="0" w:color="auto"/>
        <w:right w:val="none" w:sz="0" w:space="0" w:color="auto"/>
      </w:divBdr>
    </w:div>
    <w:div w:id="1811243140">
      <w:marLeft w:val="480"/>
      <w:marRight w:val="0"/>
      <w:marTop w:val="0"/>
      <w:marBottom w:val="0"/>
      <w:divBdr>
        <w:top w:val="none" w:sz="0" w:space="0" w:color="auto"/>
        <w:left w:val="none" w:sz="0" w:space="0" w:color="auto"/>
        <w:bottom w:val="none" w:sz="0" w:space="0" w:color="auto"/>
        <w:right w:val="none" w:sz="0" w:space="0" w:color="auto"/>
      </w:divBdr>
    </w:div>
    <w:div w:id="1811481178">
      <w:marLeft w:val="480"/>
      <w:marRight w:val="0"/>
      <w:marTop w:val="0"/>
      <w:marBottom w:val="0"/>
      <w:divBdr>
        <w:top w:val="none" w:sz="0" w:space="0" w:color="auto"/>
        <w:left w:val="none" w:sz="0" w:space="0" w:color="auto"/>
        <w:bottom w:val="none" w:sz="0" w:space="0" w:color="auto"/>
        <w:right w:val="none" w:sz="0" w:space="0" w:color="auto"/>
      </w:divBdr>
    </w:div>
    <w:div w:id="1811635246">
      <w:marLeft w:val="480"/>
      <w:marRight w:val="0"/>
      <w:marTop w:val="0"/>
      <w:marBottom w:val="0"/>
      <w:divBdr>
        <w:top w:val="none" w:sz="0" w:space="0" w:color="auto"/>
        <w:left w:val="none" w:sz="0" w:space="0" w:color="auto"/>
        <w:bottom w:val="none" w:sz="0" w:space="0" w:color="auto"/>
        <w:right w:val="none" w:sz="0" w:space="0" w:color="auto"/>
      </w:divBdr>
    </w:div>
    <w:div w:id="1811943825">
      <w:marLeft w:val="480"/>
      <w:marRight w:val="0"/>
      <w:marTop w:val="0"/>
      <w:marBottom w:val="0"/>
      <w:divBdr>
        <w:top w:val="none" w:sz="0" w:space="0" w:color="auto"/>
        <w:left w:val="none" w:sz="0" w:space="0" w:color="auto"/>
        <w:bottom w:val="none" w:sz="0" w:space="0" w:color="auto"/>
        <w:right w:val="none" w:sz="0" w:space="0" w:color="auto"/>
      </w:divBdr>
    </w:div>
    <w:div w:id="1816483857">
      <w:marLeft w:val="480"/>
      <w:marRight w:val="0"/>
      <w:marTop w:val="0"/>
      <w:marBottom w:val="0"/>
      <w:divBdr>
        <w:top w:val="none" w:sz="0" w:space="0" w:color="auto"/>
        <w:left w:val="none" w:sz="0" w:space="0" w:color="auto"/>
        <w:bottom w:val="none" w:sz="0" w:space="0" w:color="auto"/>
        <w:right w:val="none" w:sz="0" w:space="0" w:color="auto"/>
      </w:divBdr>
    </w:div>
    <w:div w:id="1819567351">
      <w:marLeft w:val="480"/>
      <w:marRight w:val="0"/>
      <w:marTop w:val="0"/>
      <w:marBottom w:val="0"/>
      <w:divBdr>
        <w:top w:val="none" w:sz="0" w:space="0" w:color="auto"/>
        <w:left w:val="none" w:sz="0" w:space="0" w:color="auto"/>
        <w:bottom w:val="none" w:sz="0" w:space="0" w:color="auto"/>
        <w:right w:val="none" w:sz="0" w:space="0" w:color="auto"/>
      </w:divBdr>
    </w:div>
    <w:div w:id="1821730970">
      <w:marLeft w:val="480"/>
      <w:marRight w:val="0"/>
      <w:marTop w:val="0"/>
      <w:marBottom w:val="0"/>
      <w:divBdr>
        <w:top w:val="none" w:sz="0" w:space="0" w:color="auto"/>
        <w:left w:val="none" w:sz="0" w:space="0" w:color="auto"/>
        <w:bottom w:val="none" w:sz="0" w:space="0" w:color="auto"/>
        <w:right w:val="none" w:sz="0" w:space="0" w:color="auto"/>
      </w:divBdr>
    </w:div>
    <w:div w:id="1822040996">
      <w:marLeft w:val="480"/>
      <w:marRight w:val="0"/>
      <w:marTop w:val="0"/>
      <w:marBottom w:val="0"/>
      <w:divBdr>
        <w:top w:val="none" w:sz="0" w:space="0" w:color="auto"/>
        <w:left w:val="none" w:sz="0" w:space="0" w:color="auto"/>
        <w:bottom w:val="none" w:sz="0" w:space="0" w:color="auto"/>
        <w:right w:val="none" w:sz="0" w:space="0" w:color="auto"/>
      </w:divBdr>
    </w:div>
    <w:div w:id="1822232934">
      <w:marLeft w:val="480"/>
      <w:marRight w:val="0"/>
      <w:marTop w:val="0"/>
      <w:marBottom w:val="0"/>
      <w:divBdr>
        <w:top w:val="none" w:sz="0" w:space="0" w:color="auto"/>
        <w:left w:val="none" w:sz="0" w:space="0" w:color="auto"/>
        <w:bottom w:val="none" w:sz="0" w:space="0" w:color="auto"/>
        <w:right w:val="none" w:sz="0" w:space="0" w:color="auto"/>
      </w:divBdr>
    </w:div>
    <w:div w:id="1822573485">
      <w:marLeft w:val="480"/>
      <w:marRight w:val="0"/>
      <w:marTop w:val="0"/>
      <w:marBottom w:val="0"/>
      <w:divBdr>
        <w:top w:val="none" w:sz="0" w:space="0" w:color="auto"/>
        <w:left w:val="none" w:sz="0" w:space="0" w:color="auto"/>
        <w:bottom w:val="none" w:sz="0" w:space="0" w:color="auto"/>
        <w:right w:val="none" w:sz="0" w:space="0" w:color="auto"/>
      </w:divBdr>
    </w:div>
    <w:div w:id="1824353327">
      <w:marLeft w:val="480"/>
      <w:marRight w:val="0"/>
      <w:marTop w:val="0"/>
      <w:marBottom w:val="0"/>
      <w:divBdr>
        <w:top w:val="none" w:sz="0" w:space="0" w:color="auto"/>
        <w:left w:val="none" w:sz="0" w:space="0" w:color="auto"/>
        <w:bottom w:val="none" w:sz="0" w:space="0" w:color="auto"/>
        <w:right w:val="none" w:sz="0" w:space="0" w:color="auto"/>
      </w:divBdr>
    </w:div>
    <w:div w:id="1827747355">
      <w:marLeft w:val="480"/>
      <w:marRight w:val="0"/>
      <w:marTop w:val="0"/>
      <w:marBottom w:val="0"/>
      <w:divBdr>
        <w:top w:val="none" w:sz="0" w:space="0" w:color="auto"/>
        <w:left w:val="none" w:sz="0" w:space="0" w:color="auto"/>
        <w:bottom w:val="none" w:sz="0" w:space="0" w:color="auto"/>
        <w:right w:val="none" w:sz="0" w:space="0" w:color="auto"/>
      </w:divBdr>
    </w:div>
    <w:div w:id="1830824700">
      <w:marLeft w:val="480"/>
      <w:marRight w:val="0"/>
      <w:marTop w:val="0"/>
      <w:marBottom w:val="0"/>
      <w:divBdr>
        <w:top w:val="none" w:sz="0" w:space="0" w:color="auto"/>
        <w:left w:val="none" w:sz="0" w:space="0" w:color="auto"/>
        <w:bottom w:val="none" w:sz="0" w:space="0" w:color="auto"/>
        <w:right w:val="none" w:sz="0" w:space="0" w:color="auto"/>
      </w:divBdr>
    </w:div>
    <w:div w:id="1833594808">
      <w:marLeft w:val="480"/>
      <w:marRight w:val="0"/>
      <w:marTop w:val="0"/>
      <w:marBottom w:val="0"/>
      <w:divBdr>
        <w:top w:val="none" w:sz="0" w:space="0" w:color="auto"/>
        <w:left w:val="none" w:sz="0" w:space="0" w:color="auto"/>
        <w:bottom w:val="none" w:sz="0" w:space="0" w:color="auto"/>
        <w:right w:val="none" w:sz="0" w:space="0" w:color="auto"/>
      </w:divBdr>
    </w:div>
    <w:div w:id="1833715971">
      <w:marLeft w:val="480"/>
      <w:marRight w:val="0"/>
      <w:marTop w:val="0"/>
      <w:marBottom w:val="0"/>
      <w:divBdr>
        <w:top w:val="none" w:sz="0" w:space="0" w:color="auto"/>
        <w:left w:val="none" w:sz="0" w:space="0" w:color="auto"/>
        <w:bottom w:val="none" w:sz="0" w:space="0" w:color="auto"/>
        <w:right w:val="none" w:sz="0" w:space="0" w:color="auto"/>
      </w:divBdr>
    </w:div>
    <w:div w:id="1834056486">
      <w:marLeft w:val="480"/>
      <w:marRight w:val="0"/>
      <w:marTop w:val="0"/>
      <w:marBottom w:val="0"/>
      <w:divBdr>
        <w:top w:val="none" w:sz="0" w:space="0" w:color="auto"/>
        <w:left w:val="none" w:sz="0" w:space="0" w:color="auto"/>
        <w:bottom w:val="none" w:sz="0" w:space="0" w:color="auto"/>
        <w:right w:val="none" w:sz="0" w:space="0" w:color="auto"/>
      </w:divBdr>
    </w:div>
    <w:div w:id="1834757128">
      <w:marLeft w:val="480"/>
      <w:marRight w:val="0"/>
      <w:marTop w:val="0"/>
      <w:marBottom w:val="0"/>
      <w:divBdr>
        <w:top w:val="none" w:sz="0" w:space="0" w:color="auto"/>
        <w:left w:val="none" w:sz="0" w:space="0" w:color="auto"/>
        <w:bottom w:val="none" w:sz="0" w:space="0" w:color="auto"/>
        <w:right w:val="none" w:sz="0" w:space="0" w:color="auto"/>
      </w:divBdr>
    </w:div>
    <w:div w:id="1836337797">
      <w:marLeft w:val="480"/>
      <w:marRight w:val="0"/>
      <w:marTop w:val="0"/>
      <w:marBottom w:val="0"/>
      <w:divBdr>
        <w:top w:val="none" w:sz="0" w:space="0" w:color="auto"/>
        <w:left w:val="none" w:sz="0" w:space="0" w:color="auto"/>
        <w:bottom w:val="none" w:sz="0" w:space="0" w:color="auto"/>
        <w:right w:val="none" w:sz="0" w:space="0" w:color="auto"/>
      </w:divBdr>
    </w:div>
    <w:div w:id="1839808089">
      <w:marLeft w:val="480"/>
      <w:marRight w:val="0"/>
      <w:marTop w:val="0"/>
      <w:marBottom w:val="0"/>
      <w:divBdr>
        <w:top w:val="none" w:sz="0" w:space="0" w:color="auto"/>
        <w:left w:val="none" w:sz="0" w:space="0" w:color="auto"/>
        <w:bottom w:val="none" w:sz="0" w:space="0" w:color="auto"/>
        <w:right w:val="none" w:sz="0" w:space="0" w:color="auto"/>
      </w:divBdr>
    </w:div>
    <w:div w:id="1842231673">
      <w:marLeft w:val="480"/>
      <w:marRight w:val="0"/>
      <w:marTop w:val="0"/>
      <w:marBottom w:val="0"/>
      <w:divBdr>
        <w:top w:val="none" w:sz="0" w:space="0" w:color="auto"/>
        <w:left w:val="none" w:sz="0" w:space="0" w:color="auto"/>
        <w:bottom w:val="none" w:sz="0" w:space="0" w:color="auto"/>
        <w:right w:val="none" w:sz="0" w:space="0" w:color="auto"/>
      </w:divBdr>
    </w:div>
    <w:div w:id="1842888326">
      <w:marLeft w:val="480"/>
      <w:marRight w:val="0"/>
      <w:marTop w:val="0"/>
      <w:marBottom w:val="0"/>
      <w:divBdr>
        <w:top w:val="none" w:sz="0" w:space="0" w:color="auto"/>
        <w:left w:val="none" w:sz="0" w:space="0" w:color="auto"/>
        <w:bottom w:val="none" w:sz="0" w:space="0" w:color="auto"/>
        <w:right w:val="none" w:sz="0" w:space="0" w:color="auto"/>
      </w:divBdr>
    </w:div>
    <w:div w:id="1845778789">
      <w:marLeft w:val="480"/>
      <w:marRight w:val="0"/>
      <w:marTop w:val="0"/>
      <w:marBottom w:val="0"/>
      <w:divBdr>
        <w:top w:val="none" w:sz="0" w:space="0" w:color="auto"/>
        <w:left w:val="none" w:sz="0" w:space="0" w:color="auto"/>
        <w:bottom w:val="none" w:sz="0" w:space="0" w:color="auto"/>
        <w:right w:val="none" w:sz="0" w:space="0" w:color="auto"/>
      </w:divBdr>
    </w:div>
    <w:div w:id="1846357766">
      <w:marLeft w:val="480"/>
      <w:marRight w:val="0"/>
      <w:marTop w:val="0"/>
      <w:marBottom w:val="0"/>
      <w:divBdr>
        <w:top w:val="none" w:sz="0" w:space="0" w:color="auto"/>
        <w:left w:val="none" w:sz="0" w:space="0" w:color="auto"/>
        <w:bottom w:val="none" w:sz="0" w:space="0" w:color="auto"/>
        <w:right w:val="none" w:sz="0" w:space="0" w:color="auto"/>
      </w:divBdr>
    </w:div>
    <w:div w:id="1846825314">
      <w:marLeft w:val="480"/>
      <w:marRight w:val="0"/>
      <w:marTop w:val="0"/>
      <w:marBottom w:val="0"/>
      <w:divBdr>
        <w:top w:val="none" w:sz="0" w:space="0" w:color="auto"/>
        <w:left w:val="none" w:sz="0" w:space="0" w:color="auto"/>
        <w:bottom w:val="none" w:sz="0" w:space="0" w:color="auto"/>
        <w:right w:val="none" w:sz="0" w:space="0" w:color="auto"/>
      </w:divBdr>
    </w:div>
    <w:div w:id="1847598258">
      <w:marLeft w:val="480"/>
      <w:marRight w:val="0"/>
      <w:marTop w:val="0"/>
      <w:marBottom w:val="0"/>
      <w:divBdr>
        <w:top w:val="none" w:sz="0" w:space="0" w:color="auto"/>
        <w:left w:val="none" w:sz="0" w:space="0" w:color="auto"/>
        <w:bottom w:val="none" w:sz="0" w:space="0" w:color="auto"/>
        <w:right w:val="none" w:sz="0" w:space="0" w:color="auto"/>
      </w:divBdr>
    </w:div>
    <w:div w:id="1847750490">
      <w:marLeft w:val="480"/>
      <w:marRight w:val="0"/>
      <w:marTop w:val="0"/>
      <w:marBottom w:val="0"/>
      <w:divBdr>
        <w:top w:val="none" w:sz="0" w:space="0" w:color="auto"/>
        <w:left w:val="none" w:sz="0" w:space="0" w:color="auto"/>
        <w:bottom w:val="none" w:sz="0" w:space="0" w:color="auto"/>
        <w:right w:val="none" w:sz="0" w:space="0" w:color="auto"/>
      </w:divBdr>
    </w:div>
    <w:div w:id="1847817145">
      <w:marLeft w:val="480"/>
      <w:marRight w:val="0"/>
      <w:marTop w:val="0"/>
      <w:marBottom w:val="0"/>
      <w:divBdr>
        <w:top w:val="none" w:sz="0" w:space="0" w:color="auto"/>
        <w:left w:val="none" w:sz="0" w:space="0" w:color="auto"/>
        <w:bottom w:val="none" w:sz="0" w:space="0" w:color="auto"/>
        <w:right w:val="none" w:sz="0" w:space="0" w:color="auto"/>
      </w:divBdr>
    </w:div>
    <w:div w:id="1849325228">
      <w:marLeft w:val="480"/>
      <w:marRight w:val="0"/>
      <w:marTop w:val="0"/>
      <w:marBottom w:val="0"/>
      <w:divBdr>
        <w:top w:val="none" w:sz="0" w:space="0" w:color="auto"/>
        <w:left w:val="none" w:sz="0" w:space="0" w:color="auto"/>
        <w:bottom w:val="none" w:sz="0" w:space="0" w:color="auto"/>
        <w:right w:val="none" w:sz="0" w:space="0" w:color="auto"/>
      </w:divBdr>
    </w:div>
    <w:div w:id="1853495020">
      <w:marLeft w:val="480"/>
      <w:marRight w:val="0"/>
      <w:marTop w:val="0"/>
      <w:marBottom w:val="0"/>
      <w:divBdr>
        <w:top w:val="none" w:sz="0" w:space="0" w:color="auto"/>
        <w:left w:val="none" w:sz="0" w:space="0" w:color="auto"/>
        <w:bottom w:val="none" w:sz="0" w:space="0" w:color="auto"/>
        <w:right w:val="none" w:sz="0" w:space="0" w:color="auto"/>
      </w:divBdr>
    </w:div>
    <w:div w:id="1856965152">
      <w:marLeft w:val="480"/>
      <w:marRight w:val="0"/>
      <w:marTop w:val="0"/>
      <w:marBottom w:val="0"/>
      <w:divBdr>
        <w:top w:val="none" w:sz="0" w:space="0" w:color="auto"/>
        <w:left w:val="none" w:sz="0" w:space="0" w:color="auto"/>
        <w:bottom w:val="none" w:sz="0" w:space="0" w:color="auto"/>
        <w:right w:val="none" w:sz="0" w:space="0" w:color="auto"/>
      </w:divBdr>
    </w:div>
    <w:div w:id="1859853389">
      <w:marLeft w:val="480"/>
      <w:marRight w:val="0"/>
      <w:marTop w:val="0"/>
      <w:marBottom w:val="0"/>
      <w:divBdr>
        <w:top w:val="none" w:sz="0" w:space="0" w:color="auto"/>
        <w:left w:val="none" w:sz="0" w:space="0" w:color="auto"/>
        <w:bottom w:val="none" w:sz="0" w:space="0" w:color="auto"/>
        <w:right w:val="none" w:sz="0" w:space="0" w:color="auto"/>
      </w:divBdr>
    </w:div>
    <w:div w:id="1861039736">
      <w:marLeft w:val="480"/>
      <w:marRight w:val="0"/>
      <w:marTop w:val="0"/>
      <w:marBottom w:val="0"/>
      <w:divBdr>
        <w:top w:val="none" w:sz="0" w:space="0" w:color="auto"/>
        <w:left w:val="none" w:sz="0" w:space="0" w:color="auto"/>
        <w:bottom w:val="none" w:sz="0" w:space="0" w:color="auto"/>
        <w:right w:val="none" w:sz="0" w:space="0" w:color="auto"/>
      </w:divBdr>
    </w:div>
    <w:div w:id="1862355535">
      <w:marLeft w:val="480"/>
      <w:marRight w:val="0"/>
      <w:marTop w:val="0"/>
      <w:marBottom w:val="0"/>
      <w:divBdr>
        <w:top w:val="none" w:sz="0" w:space="0" w:color="auto"/>
        <w:left w:val="none" w:sz="0" w:space="0" w:color="auto"/>
        <w:bottom w:val="none" w:sz="0" w:space="0" w:color="auto"/>
        <w:right w:val="none" w:sz="0" w:space="0" w:color="auto"/>
      </w:divBdr>
    </w:div>
    <w:div w:id="1869950900">
      <w:marLeft w:val="480"/>
      <w:marRight w:val="0"/>
      <w:marTop w:val="0"/>
      <w:marBottom w:val="0"/>
      <w:divBdr>
        <w:top w:val="none" w:sz="0" w:space="0" w:color="auto"/>
        <w:left w:val="none" w:sz="0" w:space="0" w:color="auto"/>
        <w:bottom w:val="none" w:sz="0" w:space="0" w:color="auto"/>
        <w:right w:val="none" w:sz="0" w:space="0" w:color="auto"/>
      </w:divBdr>
    </w:div>
    <w:div w:id="1872256895">
      <w:marLeft w:val="480"/>
      <w:marRight w:val="0"/>
      <w:marTop w:val="0"/>
      <w:marBottom w:val="0"/>
      <w:divBdr>
        <w:top w:val="none" w:sz="0" w:space="0" w:color="auto"/>
        <w:left w:val="none" w:sz="0" w:space="0" w:color="auto"/>
        <w:bottom w:val="none" w:sz="0" w:space="0" w:color="auto"/>
        <w:right w:val="none" w:sz="0" w:space="0" w:color="auto"/>
      </w:divBdr>
    </w:div>
    <w:div w:id="1872722950">
      <w:marLeft w:val="480"/>
      <w:marRight w:val="0"/>
      <w:marTop w:val="0"/>
      <w:marBottom w:val="0"/>
      <w:divBdr>
        <w:top w:val="none" w:sz="0" w:space="0" w:color="auto"/>
        <w:left w:val="none" w:sz="0" w:space="0" w:color="auto"/>
        <w:bottom w:val="none" w:sz="0" w:space="0" w:color="auto"/>
        <w:right w:val="none" w:sz="0" w:space="0" w:color="auto"/>
      </w:divBdr>
    </w:div>
    <w:div w:id="1873421682">
      <w:marLeft w:val="480"/>
      <w:marRight w:val="0"/>
      <w:marTop w:val="0"/>
      <w:marBottom w:val="0"/>
      <w:divBdr>
        <w:top w:val="none" w:sz="0" w:space="0" w:color="auto"/>
        <w:left w:val="none" w:sz="0" w:space="0" w:color="auto"/>
        <w:bottom w:val="none" w:sz="0" w:space="0" w:color="auto"/>
        <w:right w:val="none" w:sz="0" w:space="0" w:color="auto"/>
      </w:divBdr>
    </w:div>
    <w:div w:id="1875389945">
      <w:marLeft w:val="480"/>
      <w:marRight w:val="0"/>
      <w:marTop w:val="0"/>
      <w:marBottom w:val="0"/>
      <w:divBdr>
        <w:top w:val="none" w:sz="0" w:space="0" w:color="auto"/>
        <w:left w:val="none" w:sz="0" w:space="0" w:color="auto"/>
        <w:bottom w:val="none" w:sz="0" w:space="0" w:color="auto"/>
        <w:right w:val="none" w:sz="0" w:space="0" w:color="auto"/>
      </w:divBdr>
    </w:div>
    <w:div w:id="1876697958">
      <w:marLeft w:val="480"/>
      <w:marRight w:val="0"/>
      <w:marTop w:val="0"/>
      <w:marBottom w:val="0"/>
      <w:divBdr>
        <w:top w:val="none" w:sz="0" w:space="0" w:color="auto"/>
        <w:left w:val="none" w:sz="0" w:space="0" w:color="auto"/>
        <w:bottom w:val="none" w:sz="0" w:space="0" w:color="auto"/>
        <w:right w:val="none" w:sz="0" w:space="0" w:color="auto"/>
      </w:divBdr>
    </w:div>
    <w:div w:id="1880437295">
      <w:marLeft w:val="480"/>
      <w:marRight w:val="0"/>
      <w:marTop w:val="0"/>
      <w:marBottom w:val="0"/>
      <w:divBdr>
        <w:top w:val="none" w:sz="0" w:space="0" w:color="auto"/>
        <w:left w:val="none" w:sz="0" w:space="0" w:color="auto"/>
        <w:bottom w:val="none" w:sz="0" w:space="0" w:color="auto"/>
        <w:right w:val="none" w:sz="0" w:space="0" w:color="auto"/>
      </w:divBdr>
    </w:div>
    <w:div w:id="1880509815">
      <w:marLeft w:val="480"/>
      <w:marRight w:val="0"/>
      <w:marTop w:val="0"/>
      <w:marBottom w:val="0"/>
      <w:divBdr>
        <w:top w:val="none" w:sz="0" w:space="0" w:color="auto"/>
        <w:left w:val="none" w:sz="0" w:space="0" w:color="auto"/>
        <w:bottom w:val="none" w:sz="0" w:space="0" w:color="auto"/>
        <w:right w:val="none" w:sz="0" w:space="0" w:color="auto"/>
      </w:divBdr>
    </w:div>
    <w:div w:id="1880512918">
      <w:marLeft w:val="480"/>
      <w:marRight w:val="0"/>
      <w:marTop w:val="0"/>
      <w:marBottom w:val="0"/>
      <w:divBdr>
        <w:top w:val="none" w:sz="0" w:space="0" w:color="auto"/>
        <w:left w:val="none" w:sz="0" w:space="0" w:color="auto"/>
        <w:bottom w:val="none" w:sz="0" w:space="0" w:color="auto"/>
        <w:right w:val="none" w:sz="0" w:space="0" w:color="auto"/>
      </w:divBdr>
    </w:div>
    <w:div w:id="1887065197">
      <w:marLeft w:val="480"/>
      <w:marRight w:val="0"/>
      <w:marTop w:val="0"/>
      <w:marBottom w:val="0"/>
      <w:divBdr>
        <w:top w:val="none" w:sz="0" w:space="0" w:color="auto"/>
        <w:left w:val="none" w:sz="0" w:space="0" w:color="auto"/>
        <w:bottom w:val="none" w:sz="0" w:space="0" w:color="auto"/>
        <w:right w:val="none" w:sz="0" w:space="0" w:color="auto"/>
      </w:divBdr>
    </w:div>
    <w:div w:id="1891964419">
      <w:marLeft w:val="480"/>
      <w:marRight w:val="0"/>
      <w:marTop w:val="0"/>
      <w:marBottom w:val="0"/>
      <w:divBdr>
        <w:top w:val="none" w:sz="0" w:space="0" w:color="auto"/>
        <w:left w:val="none" w:sz="0" w:space="0" w:color="auto"/>
        <w:bottom w:val="none" w:sz="0" w:space="0" w:color="auto"/>
        <w:right w:val="none" w:sz="0" w:space="0" w:color="auto"/>
      </w:divBdr>
    </w:div>
    <w:div w:id="1893494452">
      <w:marLeft w:val="480"/>
      <w:marRight w:val="0"/>
      <w:marTop w:val="0"/>
      <w:marBottom w:val="0"/>
      <w:divBdr>
        <w:top w:val="none" w:sz="0" w:space="0" w:color="auto"/>
        <w:left w:val="none" w:sz="0" w:space="0" w:color="auto"/>
        <w:bottom w:val="none" w:sz="0" w:space="0" w:color="auto"/>
        <w:right w:val="none" w:sz="0" w:space="0" w:color="auto"/>
      </w:divBdr>
    </w:div>
    <w:div w:id="1899779061">
      <w:marLeft w:val="480"/>
      <w:marRight w:val="0"/>
      <w:marTop w:val="0"/>
      <w:marBottom w:val="0"/>
      <w:divBdr>
        <w:top w:val="none" w:sz="0" w:space="0" w:color="auto"/>
        <w:left w:val="none" w:sz="0" w:space="0" w:color="auto"/>
        <w:bottom w:val="none" w:sz="0" w:space="0" w:color="auto"/>
        <w:right w:val="none" w:sz="0" w:space="0" w:color="auto"/>
      </w:divBdr>
    </w:div>
    <w:div w:id="1902248943">
      <w:marLeft w:val="480"/>
      <w:marRight w:val="0"/>
      <w:marTop w:val="0"/>
      <w:marBottom w:val="0"/>
      <w:divBdr>
        <w:top w:val="none" w:sz="0" w:space="0" w:color="auto"/>
        <w:left w:val="none" w:sz="0" w:space="0" w:color="auto"/>
        <w:bottom w:val="none" w:sz="0" w:space="0" w:color="auto"/>
        <w:right w:val="none" w:sz="0" w:space="0" w:color="auto"/>
      </w:divBdr>
    </w:div>
    <w:div w:id="1903365506">
      <w:marLeft w:val="480"/>
      <w:marRight w:val="0"/>
      <w:marTop w:val="0"/>
      <w:marBottom w:val="0"/>
      <w:divBdr>
        <w:top w:val="none" w:sz="0" w:space="0" w:color="auto"/>
        <w:left w:val="none" w:sz="0" w:space="0" w:color="auto"/>
        <w:bottom w:val="none" w:sz="0" w:space="0" w:color="auto"/>
        <w:right w:val="none" w:sz="0" w:space="0" w:color="auto"/>
      </w:divBdr>
    </w:div>
    <w:div w:id="1908220089">
      <w:marLeft w:val="480"/>
      <w:marRight w:val="0"/>
      <w:marTop w:val="0"/>
      <w:marBottom w:val="0"/>
      <w:divBdr>
        <w:top w:val="none" w:sz="0" w:space="0" w:color="auto"/>
        <w:left w:val="none" w:sz="0" w:space="0" w:color="auto"/>
        <w:bottom w:val="none" w:sz="0" w:space="0" w:color="auto"/>
        <w:right w:val="none" w:sz="0" w:space="0" w:color="auto"/>
      </w:divBdr>
    </w:div>
    <w:div w:id="1910341168">
      <w:marLeft w:val="480"/>
      <w:marRight w:val="0"/>
      <w:marTop w:val="0"/>
      <w:marBottom w:val="0"/>
      <w:divBdr>
        <w:top w:val="none" w:sz="0" w:space="0" w:color="auto"/>
        <w:left w:val="none" w:sz="0" w:space="0" w:color="auto"/>
        <w:bottom w:val="none" w:sz="0" w:space="0" w:color="auto"/>
        <w:right w:val="none" w:sz="0" w:space="0" w:color="auto"/>
      </w:divBdr>
    </w:div>
    <w:div w:id="1911424118">
      <w:marLeft w:val="480"/>
      <w:marRight w:val="0"/>
      <w:marTop w:val="0"/>
      <w:marBottom w:val="0"/>
      <w:divBdr>
        <w:top w:val="none" w:sz="0" w:space="0" w:color="auto"/>
        <w:left w:val="none" w:sz="0" w:space="0" w:color="auto"/>
        <w:bottom w:val="none" w:sz="0" w:space="0" w:color="auto"/>
        <w:right w:val="none" w:sz="0" w:space="0" w:color="auto"/>
      </w:divBdr>
    </w:div>
    <w:div w:id="1912082478">
      <w:marLeft w:val="480"/>
      <w:marRight w:val="0"/>
      <w:marTop w:val="0"/>
      <w:marBottom w:val="0"/>
      <w:divBdr>
        <w:top w:val="none" w:sz="0" w:space="0" w:color="auto"/>
        <w:left w:val="none" w:sz="0" w:space="0" w:color="auto"/>
        <w:bottom w:val="none" w:sz="0" w:space="0" w:color="auto"/>
        <w:right w:val="none" w:sz="0" w:space="0" w:color="auto"/>
      </w:divBdr>
    </w:div>
    <w:div w:id="1913394350">
      <w:marLeft w:val="480"/>
      <w:marRight w:val="0"/>
      <w:marTop w:val="0"/>
      <w:marBottom w:val="0"/>
      <w:divBdr>
        <w:top w:val="none" w:sz="0" w:space="0" w:color="auto"/>
        <w:left w:val="none" w:sz="0" w:space="0" w:color="auto"/>
        <w:bottom w:val="none" w:sz="0" w:space="0" w:color="auto"/>
        <w:right w:val="none" w:sz="0" w:space="0" w:color="auto"/>
      </w:divBdr>
    </w:div>
    <w:div w:id="1914731851">
      <w:marLeft w:val="480"/>
      <w:marRight w:val="0"/>
      <w:marTop w:val="0"/>
      <w:marBottom w:val="0"/>
      <w:divBdr>
        <w:top w:val="none" w:sz="0" w:space="0" w:color="auto"/>
        <w:left w:val="none" w:sz="0" w:space="0" w:color="auto"/>
        <w:bottom w:val="none" w:sz="0" w:space="0" w:color="auto"/>
        <w:right w:val="none" w:sz="0" w:space="0" w:color="auto"/>
      </w:divBdr>
    </w:div>
    <w:div w:id="1916282245">
      <w:marLeft w:val="480"/>
      <w:marRight w:val="0"/>
      <w:marTop w:val="0"/>
      <w:marBottom w:val="0"/>
      <w:divBdr>
        <w:top w:val="none" w:sz="0" w:space="0" w:color="auto"/>
        <w:left w:val="none" w:sz="0" w:space="0" w:color="auto"/>
        <w:bottom w:val="none" w:sz="0" w:space="0" w:color="auto"/>
        <w:right w:val="none" w:sz="0" w:space="0" w:color="auto"/>
      </w:divBdr>
    </w:div>
    <w:div w:id="1919172161">
      <w:marLeft w:val="480"/>
      <w:marRight w:val="0"/>
      <w:marTop w:val="0"/>
      <w:marBottom w:val="0"/>
      <w:divBdr>
        <w:top w:val="none" w:sz="0" w:space="0" w:color="auto"/>
        <w:left w:val="none" w:sz="0" w:space="0" w:color="auto"/>
        <w:bottom w:val="none" w:sz="0" w:space="0" w:color="auto"/>
        <w:right w:val="none" w:sz="0" w:space="0" w:color="auto"/>
      </w:divBdr>
    </w:div>
    <w:div w:id="1921867056">
      <w:marLeft w:val="480"/>
      <w:marRight w:val="0"/>
      <w:marTop w:val="0"/>
      <w:marBottom w:val="0"/>
      <w:divBdr>
        <w:top w:val="none" w:sz="0" w:space="0" w:color="auto"/>
        <w:left w:val="none" w:sz="0" w:space="0" w:color="auto"/>
        <w:bottom w:val="none" w:sz="0" w:space="0" w:color="auto"/>
        <w:right w:val="none" w:sz="0" w:space="0" w:color="auto"/>
      </w:divBdr>
    </w:div>
    <w:div w:id="1922526225">
      <w:marLeft w:val="480"/>
      <w:marRight w:val="0"/>
      <w:marTop w:val="0"/>
      <w:marBottom w:val="0"/>
      <w:divBdr>
        <w:top w:val="none" w:sz="0" w:space="0" w:color="auto"/>
        <w:left w:val="none" w:sz="0" w:space="0" w:color="auto"/>
        <w:bottom w:val="none" w:sz="0" w:space="0" w:color="auto"/>
        <w:right w:val="none" w:sz="0" w:space="0" w:color="auto"/>
      </w:divBdr>
    </w:div>
    <w:div w:id="1925800342">
      <w:marLeft w:val="480"/>
      <w:marRight w:val="0"/>
      <w:marTop w:val="0"/>
      <w:marBottom w:val="0"/>
      <w:divBdr>
        <w:top w:val="none" w:sz="0" w:space="0" w:color="auto"/>
        <w:left w:val="none" w:sz="0" w:space="0" w:color="auto"/>
        <w:bottom w:val="none" w:sz="0" w:space="0" w:color="auto"/>
        <w:right w:val="none" w:sz="0" w:space="0" w:color="auto"/>
      </w:divBdr>
    </w:div>
    <w:div w:id="1925994732">
      <w:marLeft w:val="480"/>
      <w:marRight w:val="0"/>
      <w:marTop w:val="0"/>
      <w:marBottom w:val="0"/>
      <w:divBdr>
        <w:top w:val="none" w:sz="0" w:space="0" w:color="auto"/>
        <w:left w:val="none" w:sz="0" w:space="0" w:color="auto"/>
        <w:bottom w:val="none" w:sz="0" w:space="0" w:color="auto"/>
        <w:right w:val="none" w:sz="0" w:space="0" w:color="auto"/>
      </w:divBdr>
    </w:div>
    <w:div w:id="1927807396">
      <w:marLeft w:val="480"/>
      <w:marRight w:val="0"/>
      <w:marTop w:val="0"/>
      <w:marBottom w:val="0"/>
      <w:divBdr>
        <w:top w:val="none" w:sz="0" w:space="0" w:color="auto"/>
        <w:left w:val="none" w:sz="0" w:space="0" w:color="auto"/>
        <w:bottom w:val="none" w:sz="0" w:space="0" w:color="auto"/>
        <w:right w:val="none" w:sz="0" w:space="0" w:color="auto"/>
      </w:divBdr>
    </w:div>
    <w:div w:id="1928149385">
      <w:marLeft w:val="480"/>
      <w:marRight w:val="0"/>
      <w:marTop w:val="0"/>
      <w:marBottom w:val="0"/>
      <w:divBdr>
        <w:top w:val="none" w:sz="0" w:space="0" w:color="auto"/>
        <w:left w:val="none" w:sz="0" w:space="0" w:color="auto"/>
        <w:bottom w:val="none" w:sz="0" w:space="0" w:color="auto"/>
        <w:right w:val="none" w:sz="0" w:space="0" w:color="auto"/>
      </w:divBdr>
    </w:div>
    <w:div w:id="1930113147">
      <w:marLeft w:val="480"/>
      <w:marRight w:val="0"/>
      <w:marTop w:val="0"/>
      <w:marBottom w:val="0"/>
      <w:divBdr>
        <w:top w:val="none" w:sz="0" w:space="0" w:color="auto"/>
        <w:left w:val="none" w:sz="0" w:space="0" w:color="auto"/>
        <w:bottom w:val="none" w:sz="0" w:space="0" w:color="auto"/>
        <w:right w:val="none" w:sz="0" w:space="0" w:color="auto"/>
      </w:divBdr>
    </w:div>
    <w:div w:id="1935819443">
      <w:marLeft w:val="480"/>
      <w:marRight w:val="0"/>
      <w:marTop w:val="0"/>
      <w:marBottom w:val="0"/>
      <w:divBdr>
        <w:top w:val="none" w:sz="0" w:space="0" w:color="auto"/>
        <w:left w:val="none" w:sz="0" w:space="0" w:color="auto"/>
        <w:bottom w:val="none" w:sz="0" w:space="0" w:color="auto"/>
        <w:right w:val="none" w:sz="0" w:space="0" w:color="auto"/>
      </w:divBdr>
    </w:div>
    <w:div w:id="1936865452">
      <w:marLeft w:val="480"/>
      <w:marRight w:val="0"/>
      <w:marTop w:val="0"/>
      <w:marBottom w:val="0"/>
      <w:divBdr>
        <w:top w:val="none" w:sz="0" w:space="0" w:color="auto"/>
        <w:left w:val="none" w:sz="0" w:space="0" w:color="auto"/>
        <w:bottom w:val="none" w:sz="0" w:space="0" w:color="auto"/>
        <w:right w:val="none" w:sz="0" w:space="0" w:color="auto"/>
      </w:divBdr>
    </w:div>
    <w:div w:id="1938708176">
      <w:marLeft w:val="480"/>
      <w:marRight w:val="0"/>
      <w:marTop w:val="0"/>
      <w:marBottom w:val="0"/>
      <w:divBdr>
        <w:top w:val="none" w:sz="0" w:space="0" w:color="auto"/>
        <w:left w:val="none" w:sz="0" w:space="0" w:color="auto"/>
        <w:bottom w:val="none" w:sz="0" w:space="0" w:color="auto"/>
        <w:right w:val="none" w:sz="0" w:space="0" w:color="auto"/>
      </w:divBdr>
    </w:div>
    <w:div w:id="1939214767">
      <w:marLeft w:val="480"/>
      <w:marRight w:val="0"/>
      <w:marTop w:val="0"/>
      <w:marBottom w:val="0"/>
      <w:divBdr>
        <w:top w:val="none" w:sz="0" w:space="0" w:color="auto"/>
        <w:left w:val="none" w:sz="0" w:space="0" w:color="auto"/>
        <w:bottom w:val="none" w:sz="0" w:space="0" w:color="auto"/>
        <w:right w:val="none" w:sz="0" w:space="0" w:color="auto"/>
      </w:divBdr>
    </w:div>
    <w:div w:id="1939677268">
      <w:marLeft w:val="480"/>
      <w:marRight w:val="0"/>
      <w:marTop w:val="0"/>
      <w:marBottom w:val="0"/>
      <w:divBdr>
        <w:top w:val="none" w:sz="0" w:space="0" w:color="auto"/>
        <w:left w:val="none" w:sz="0" w:space="0" w:color="auto"/>
        <w:bottom w:val="none" w:sz="0" w:space="0" w:color="auto"/>
        <w:right w:val="none" w:sz="0" w:space="0" w:color="auto"/>
      </w:divBdr>
    </w:div>
    <w:div w:id="1941835732">
      <w:marLeft w:val="480"/>
      <w:marRight w:val="0"/>
      <w:marTop w:val="0"/>
      <w:marBottom w:val="0"/>
      <w:divBdr>
        <w:top w:val="none" w:sz="0" w:space="0" w:color="auto"/>
        <w:left w:val="none" w:sz="0" w:space="0" w:color="auto"/>
        <w:bottom w:val="none" w:sz="0" w:space="0" w:color="auto"/>
        <w:right w:val="none" w:sz="0" w:space="0" w:color="auto"/>
      </w:divBdr>
    </w:div>
    <w:div w:id="1943413536">
      <w:marLeft w:val="480"/>
      <w:marRight w:val="0"/>
      <w:marTop w:val="0"/>
      <w:marBottom w:val="0"/>
      <w:divBdr>
        <w:top w:val="none" w:sz="0" w:space="0" w:color="auto"/>
        <w:left w:val="none" w:sz="0" w:space="0" w:color="auto"/>
        <w:bottom w:val="none" w:sz="0" w:space="0" w:color="auto"/>
        <w:right w:val="none" w:sz="0" w:space="0" w:color="auto"/>
      </w:divBdr>
    </w:div>
    <w:div w:id="1944026776">
      <w:marLeft w:val="480"/>
      <w:marRight w:val="0"/>
      <w:marTop w:val="0"/>
      <w:marBottom w:val="0"/>
      <w:divBdr>
        <w:top w:val="none" w:sz="0" w:space="0" w:color="auto"/>
        <w:left w:val="none" w:sz="0" w:space="0" w:color="auto"/>
        <w:bottom w:val="none" w:sz="0" w:space="0" w:color="auto"/>
        <w:right w:val="none" w:sz="0" w:space="0" w:color="auto"/>
      </w:divBdr>
    </w:div>
    <w:div w:id="1945187956">
      <w:marLeft w:val="480"/>
      <w:marRight w:val="0"/>
      <w:marTop w:val="0"/>
      <w:marBottom w:val="0"/>
      <w:divBdr>
        <w:top w:val="none" w:sz="0" w:space="0" w:color="auto"/>
        <w:left w:val="none" w:sz="0" w:space="0" w:color="auto"/>
        <w:bottom w:val="none" w:sz="0" w:space="0" w:color="auto"/>
        <w:right w:val="none" w:sz="0" w:space="0" w:color="auto"/>
      </w:divBdr>
    </w:div>
    <w:div w:id="1945913896">
      <w:marLeft w:val="480"/>
      <w:marRight w:val="0"/>
      <w:marTop w:val="0"/>
      <w:marBottom w:val="0"/>
      <w:divBdr>
        <w:top w:val="none" w:sz="0" w:space="0" w:color="auto"/>
        <w:left w:val="none" w:sz="0" w:space="0" w:color="auto"/>
        <w:bottom w:val="none" w:sz="0" w:space="0" w:color="auto"/>
        <w:right w:val="none" w:sz="0" w:space="0" w:color="auto"/>
      </w:divBdr>
    </w:div>
    <w:div w:id="1947349488">
      <w:marLeft w:val="480"/>
      <w:marRight w:val="0"/>
      <w:marTop w:val="0"/>
      <w:marBottom w:val="0"/>
      <w:divBdr>
        <w:top w:val="none" w:sz="0" w:space="0" w:color="auto"/>
        <w:left w:val="none" w:sz="0" w:space="0" w:color="auto"/>
        <w:bottom w:val="none" w:sz="0" w:space="0" w:color="auto"/>
        <w:right w:val="none" w:sz="0" w:space="0" w:color="auto"/>
      </w:divBdr>
    </w:div>
    <w:div w:id="1947620013">
      <w:marLeft w:val="480"/>
      <w:marRight w:val="0"/>
      <w:marTop w:val="0"/>
      <w:marBottom w:val="0"/>
      <w:divBdr>
        <w:top w:val="none" w:sz="0" w:space="0" w:color="auto"/>
        <w:left w:val="none" w:sz="0" w:space="0" w:color="auto"/>
        <w:bottom w:val="none" w:sz="0" w:space="0" w:color="auto"/>
        <w:right w:val="none" w:sz="0" w:space="0" w:color="auto"/>
      </w:divBdr>
    </w:div>
    <w:div w:id="1948928925">
      <w:marLeft w:val="480"/>
      <w:marRight w:val="0"/>
      <w:marTop w:val="0"/>
      <w:marBottom w:val="0"/>
      <w:divBdr>
        <w:top w:val="none" w:sz="0" w:space="0" w:color="auto"/>
        <w:left w:val="none" w:sz="0" w:space="0" w:color="auto"/>
        <w:bottom w:val="none" w:sz="0" w:space="0" w:color="auto"/>
        <w:right w:val="none" w:sz="0" w:space="0" w:color="auto"/>
      </w:divBdr>
    </w:div>
    <w:div w:id="1949503783">
      <w:marLeft w:val="480"/>
      <w:marRight w:val="0"/>
      <w:marTop w:val="0"/>
      <w:marBottom w:val="0"/>
      <w:divBdr>
        <w:top w:val="none" w:sz="0" w:space="0" w:color="auto"/>
        <w:left w:val="none" w:sz="0" w:space="0" w:color="auto"/>
        <w:bottom w:val="none" w:sz="0" w:space="0" w:color="auto"/>
        <w:right w:val="none" w:sz="0" w:space="0" w:color="auto"/>
      </w:divBdr>
    </w:div>
    <w:div w:id="1949658051">
      <w:marLeft w:val="480"/>
      <w:marRight w:val="0"/>
      <w:marTop w:val="0"/>
      <w:marBottom w:val="0"/>
      <w:divBdr>
        <w:top w:val="none" w:sz="0" w:space="0" w:color="auto"/>
        <w:left w:val="none" w:sz="0" w:space="0" w:color="auto"/>
        <w:bottom w:val="none" w:sz="0" w:space="0" w:color="auto"/>
        <w:right w:val="none" w:sz="0" w:space="0" w:color="auto"/>
      </w:divBdr>
    </w:div>
    <w:div w:id="1949852422">
      <w:marLeft w:val="480"/>
      <w:marRight w:val="0"/>
      <w:marTop w:val="0"/>
      <w:marBottom w:val="0"/>
      <w:divBdr>
        <w:top w:val="none" w:sz="0" w:space="0" w:color="auto"/>
        <w:left w:val="none" w:sz="0" w:space="0" w:color="auto"/>
        <w:bottom w:val="none" w:sz="0" w:space="0" w:color="auto"/>
        <w:right w:val="none" w:sz="0" w:space="0" w:color="auto"/>
      </w:divBdr>
    </w:div>
    <w:div w:id="1950308344">
      <w:marLeft w:val="480"/>
      <w:marRight w:val="0"/>
      <w:marTop w:val="0"/>
      <w:marBottom w:val="0"/>
      <w:divBdr>
        <w:top w:val="none" w:sz="0" w:space="0" w:color="auto"/>
        <w:left w:val="none" w:sz="0" w:space="0" w:color="auto"/>
        <w:bottom w:val="none" w:sz="0" w:space="0" w:color="auto"/>
        <w:right w:val="none" w:sz="0" w:space="0" w:color="auto"/>
      </w:divBdr>
    </w:div>
    <w:div w:id="1951356662">
      <w:marLeft w:val="480"/>
      <w:marRight w:val="0"/>
      <w:marTop w:val="0"/>
      <w:marBottom w:val="0"/>
      <w:divBdr>
        <w:top w:val="none" w:sz="0" w:space="0" w:color="auto"/>
        <w:left w:val="none" w:sz="0" w:space="0" w:color="auto"/>
        <w:bottom w:val="none" w:sz="0" w:space="0" w:color="auto"/>
        <w:right w:val="none" w:sz="0" w:space="0" w:color="auto"/>
      </w:divBdr>
    </w:div>
    <w:div w:id="1951427721">
      <w:marLeft w:val="480"/>
      <w:marRight w:val="0"/>
      <w:marTop w:val="0"/>
      <w:marBottom w:val="0"/>
      <w:divBdr>
        <w:top w:val="none" w:sz="0" w:space="0" w:color="auto"/>
        <w:left w:val="none" w:sz="0" w:space="0" w:color="auto"/>
        <w:bottom w:val="none" w:sz="0" w:space="0" w:color="auto"/>
        <w:right w:val="none" w:sz="0" w:space="0" w:color="auto"/>
      </w:divBdr>
    </w:div>
    <w:div w:id="1952781117">
      <w:marLeft w:val="480"/>
      <w:marRight w:val="0"/>
      <w:marTop w:val="0"/>
      <w:marBottom w:val="0"/>
      <w:divBdr>
        <w:top w:val="none" w:sz="0" w:space="0" w:color="auto"/>
        <w:left w:val="none" w:sz="0" w:space="0" w:color="auto"/>
        <w:bottom w:val="none" w:sz="0" w:space="0" w:color="auto"/>
        <w:right w:val="none" w:sz="0" w:space="0" w:color="auto"/>
      </w:divBdr>
    </w:div>
    <w:div w:id="1953895674">
      <w:marLeft w:val="480"/>
      <w:marRight w:val="0"/>
      <w:marTop w:val="0"/>
      <w:marBottom w:val="0"/>
      <w:divBdr>
        <w:top w:val="none" w:sz="0" w:space="0" w:color="auto"/>
        <w:left w:val="none" w:sz="0" w:space="0" w:color="auto"/>
        <w:bottom w:val="none" w:sz="0" w:space="0" w:color="auto"/>
        <w:right w:val="none" w:sz="0" w:space="0" w:color="auto"/>
      </w:divBdr>
    </w:div>
    <w:div w:id="1954708989">
      <w:marLeft w:val="480"/>
      <w:marRight w:val="0"/>
      <w:marTop w:val="0"/>
      <w:marBottom w:val="0"/>
      <w:divBdr>
        <w:top w:val="none" w:sz="0" w:space="0" w:color="auto"/>
        <w:left w:val="none" w:sz="0" w:space="0" w:color="auto"/>
        <w:bottom w:val="none" w:sz="0" w:space="0" w:color="auto"/>
        <w:right w:val="none" w:sz="0" w:space="0" w:color="auto"/>
      </w:divBdr>
    </w:div>
    <w:div w:id="1954748766">
      <w:marLeft w:val="480"/>
      <w:marRight w:val="0"/>
      <w:marTop w:val="0"/>
      <w:marBottom w:val="0"/>
      <w:divBdr>
        <w:top w:val="none" w:sz="0" w:space="0" w:color="auto"/>
        <w:left w:val="none" w:sz="0" w:space="0" w:color="auto"/>
        <w:bottom w:val="none" w:sz="0" w:space="0" w:color="auto"/>
        <w:right w:val="none" w:sz="0" w:space="0" w:color="auto"/>
      </w:divBdr>
    </w:div>
    <w:div w:id="1957322446">
      <w:marLeft w:val="480"/>
      <w:marRight w:val="0"/>
      <w:marTop w:val="0"/>
      <w:marBottom w:val="0"/>
      <w:divBdr>
        <w:top w:val="none" w:sz="0" w:space="0" w:color="auto"/>
        <w:left w:val="none" w:sz="0" w:space="0" w:color="auto"/>
        <w:bottom w:val="none" w:sz="0" w:space="0" w:color="auto"/>
        <w:right w:val="none" w:sz="0" w:space="0" w:color="auto"/>
      </w:divBdr>
    </w:div>
    <w:div w:id="1958675276">
      <w:marLeft w:val="480"/>
      <w:marRight w:val="0"/>
      <w:marTop w:val="0"/>
      <w:marBottom w:val="0"/>
      <w:divBdr>
        <w:top w:val="none" w:sz="0" w:space="0" w:color="auto"/>
        <w:left w:val="none" w:sz="0" w:space="0" w:color="auto"/>
        <w:bottom w:val="none" w:sz="0" w:space="0" w:color="auto"/>
        <w:right w:val="none" w:sz="0" w:space="0" w:color="auto"/>
      </w:divBdr>
    </w:div>
    <w:div w:id="1958947765">
      <w:marLeft w:val="480"/>
      <w:marRight w:val="0"/>
      <w:marTop w:val="0"/>
      <w:marBottom w:val="0"/>
      <w:divBdr>
        <w:top w:val="none" w:sz="0" w:space="0" w:color="auto"/>
        <w:left w:val="none" w:sz="0" w:space="0" w:color="auto"/>
        <w:bottom w:val="none" w:sz="0" w:space="0" w:color="auto"/>
        <w:right w:val="none" w:sz="0" w:space="0" w:color="auto"/>
      </w:divBdr>
    </w:div>
    <w:div w:id="1959526438">
      <w:marLeft w:val="480"/>
      <w:marRight w:val="0"/>
      <w:marTop w:val="0"/>
      <w:marBottom w:val="0"/>
      <w:divBdr>
        <w:top w:val="none" w:sz="0" w:space="0" w:color="auto"/>
        <w:left w:val="none" w:sz="0" w:space="0" w:color="auto"/>
        <w:bottom w:val="none" w:sz="0" w:space="0" w:color="auto"/>
        <w:right w:val="none" w:sz="0" w:space="0" w:color="auto"/>
      </w:divBdr>
    </w:div>
    <w:div w:id="1962418037">
      <w:marLeft w:val="480"/>
      <w:marRight w:val="0"/>
      <w:marTop w:val="0"/>
      <w:marBottom w:val="0"/>
      <w:divBdr>
        <w:top w:val="none" w:sz="0" w:space="0" w:color="auto"/>
        <w:left w:val="none" w:sz="0" w:space="0" w:color="auto"/>
        <w:bottom w:val="none" w:sz="0" w:space="0" w:color="auto"/>
        <w:right w:val="none" w:sz="0" w:space="0" w:color="auto"/>
      </w:divBdr>
    </w:div>
    <w:div w:id="1962567335">
      <w:marLeft w:val="480"/>
      <w:marRight w:val="0"/>
      <w:marTop w:val="0"/>
      <w:marBottom w:val="0"/>
      <w:divBdr>
        <w:top w:val="none" w:sz="0" w:space="0" w:color="auto"/>
        <w:left w:val="none" w:sz="0" w:space="0" w:color="auto"/>
        <w:bottom w:val="none" w:sz="0" w:space="0" w:color="auto"/>
        <w:right w:val="none" w:sz="0" w:space="0" w:color="auto"/>
      </w:divBdr>
    </w:div>
    <w:div w:id="1962958204">
      <w:marLeft w:val="480"/>
      <w:marRight w:val="0"/>
      <w:marTop w:val="0"/>
      <w:marBottom w:val="0"/>
      <w:divBdr>
        <w:top w:val="none" w:sz="0" w:space="0" w:color="auto"/>
        <w:left w:val="none" w:sz="0" w:space="0" w:color="auto"/>
        <w:bottom w:val="none" w:sz="0" w:space="0" w:color="auto"/>
        <w:right w:val="none" w:sz="0" w:space="0" w:color="auto"/>
      </w:divBdr>
    </w:div>
    <w:div w:id="1963031044">
      <w:marLeft w:val="480"/>
      <w:marRight w:val="0"/>
      <w:marTop w:val="0"/>
      <w:marBottom w:val="0"/>
      <w:divBdr>
        <w:top w:val="none" w:sz="0" w:space="0" w:color="auto"/>
        <w:left w:val="none" w:sz="0" w:space="0" w:color="auto"/>
        <w:bottom w:val="none" w:sz="0" w:space="0" w:color="auto"/>
        <w:right w:val="none" w:sz="0" w:space="0" w:color="auto"/>
      </w:divBdr>
    </w:div>
    <w:div w:id="1964455934">
      <w:marLeft w:val="480"/>
      <w:marRight w:val="0"/>
      <w:marTop w:val="0"/>
      <w:marBottom w:val="0"/>
      <w:divBdr>
        <w:top w:val="none" w:sz="0" w:space="0" w:color="auto"/>
        <w:left w:val="none" w:sz="0" w:space="0" w:color="auto"/>
        <w:bottom w:val="none" w:sz="0" w:space="0" w:color="auto"/>
        <w:right w:val="none" w:sz="0" w:space="0" w:color="auto"/>
      </w:divBdr>
    </w:div>
    <w:div w:id="1965501207">
      <w:marLeft w:val="480"/>
      <w:marRight w:val="0"/>
      <w:marTop w:val="0"/>
      <w:marBottom w:val="0"/>
      <w:divBdr>
        <w:top w:val="none" w:sz="0" w:space="0" w:color="auto"/>
        <w:left w:val="none" w:sz="0" w:space="0" w:color="auto"/>
        <w:bottom w:val="none" w:sz="0" w:space="0" w:color="auto"/>
        <w:right w:val="none" w:sz="0" w:space="0" w:color="auto"/>
      </w:divBdr>
    </w:div>
    <w:div w:id="1965696433">
      <w:marLeft w:val="480"/>
      <w:marRight w:val="0"/>
      <w:marTop w:val="0"/>
      <w:marBottom w:val="0"/>
      <w:divBdr>
        <w:top w:val="none" w:sz="0" w:space="0" w:color="auto"/>
        <w:left w:val="none" w:sz="0" w:space="0" w:color="auto"/>
        <w:bottom w:val="none" w:sz="0" w:space="0" w:color="auto"/>
        <w:right w:val="none" w:sz="0" w:space="0" w:color="auto"/>
      </w:divBdr>
    </w:div>
    <w:div w:id="1968973864">
      <w:marLeft w:val="480"/>
      <w:marRight w:val="0"/>
      <w:marTop w:val="0"/>
      <w:marBottom w:val="0"/>
      <w:divBdr>
        <w:top w:val="none" w:sz="0" w:space="0" w:color="auto"/>
        <w:left w:val="none" w:sz="0" w:space="0" w:color="auto"/>
        <w:bottom w:val="none" w:sz="0" w:space="0" w:color="auto"/>
        <w:right w:val="none" w:sz="0" w:space="0" w:color="auto"/>
      </w:divBdr>
    </w:div>
    <w:div w:id="1969160228">
      <w:marLeft w:val="480"/>
      <w:marRight w:val="0"/>
      <w:marTop w:val="0"/>
      <w:marBottom w:val="0"/>
      <w:divBdr>
        <w:top w:val="none" w:sz="0" w:space="0" w:color="auto"/>
        <w:left w:val="none" w:sz="0" w:space="0" w:color="auto"/>
        <w:bottom w:val="none" w:sz="0" w:space="0" w:color="auto"/>
        <w:right w:val="none" w:sz="0" w:space="0" w:color="auto"/>
      </w:divBdr>
    </w:div>
    <w:div w:id="1970233782">
      <w:marLeft w:val="480"/>
      <w:marRight w:val="0"/>
      <w:marTop w:val="0"/>
      <w:marBottom w:val="0"/>
      <w:divBdr>
        <w:top w:val="none" w:sz="0" w:space="0" w:color="auto"/>
        <w:left w:val="none" w:sz="0" w:space="0" w:color="auto"/>
        <w:bottom w:val="none" w:sz="0" w:space="0" w:color="auto"/>
        <w:right w:val="none" w:sz="0" w:space="0" w:color="auto"/>
      </w:divBdr>
    </w:div>
    <w:div w:id="1973124974">
      <w:marLeft w:val="480"/>
      <w:marRight w:val="0"/>
      <w:marTop w:val="0"/>
      <w:marBottom w:val="0"/>
      <w:divBdr>
        <w:top w:val="none" w:sz="0" w:space="0" w:color="auto"/>
        <w:left w:val="none" w:sz="0" w:space="0" w:color="auto"/>
        <w:bottom w:val="none" w:sz="0" w:space="0" w:color="auto"/>
        <w:right w:val="none" w:sz="0" w:space="0" w:color="auto"/>
      </w:divBdr>
    </w:div>
    <w:div w:id="1975912517">
      <w:marLeft w:val="480"/>
      <w:marRight w:val="0"/>
      <w:marTop w:val="0"/>
      <w:marBottom w:val="0"/>
      <w:divBdr>
        <w:top w:val="none" w:sz="0" w:space="0" w:color="auto"/>
        <w:left w:val="none" w:sz="0" w:space="0" w:color="auto"/>
        <w:bottom w:val="none" w:sz="0" w:space="0" w:color="auto"/>
        <w:right w:val="none" w:sz="0" w:space="0" w:color="auto"/>
      </w:divBdr>
    </w:div>
    <w:div w:id="1976138312">
      <w:marLeft w:val="480"/>
      <w:marRight w:val="0"/>
      <w:marTop w:val="0"/>
      <w:marBottom w:val="0"/>
      <w:divBdr>
        <w:top w:val="none" w:sz="0" w:space="0" w:color="auto"/>
        <w:left w:val="none" w:sz="0" w:space="0" w:color="auto"/>
        <w:bottom w:val="none" w:sz="0" w:space="0" w:color="auto"/>
        <w:right w:val="none" w:sz="0" w:space="0" w:color="auto"/>
      </w:divBdr>
    </w:div>
    <w:div w:id="1976448481">
      <w:marLeft w:val="480"/>
      <w:marRight w:val="0"/>
      <w:marTop w:val="0"/>
      <w:marBottom w:val="0"/>
      <w:divBdr>
        <w:top w:val="none" w:sz="0" w:space="0" w:color="auto"/>
        <w:left w:val="none" w:sz="0" w:space="0" w:color="auto"/>
        <w:bottom w:val="none" w:sz="0" w:space="0" w:color="auto"/>
        <w:right w:val="none" w:sz="0" w:space="0" w:color="auto"/>
      </w:divBdr>
    </w:div>
    <w:div w:id="1977224534">
      <w:marLeft w:val="480"/>
      <w:marRight w:val="0"/>
      <w:marTop w:val="0"/>
      <w:marBottom w:val="0"/>
      <w:divBdr>
        <w:top w:val="none" w:sz="0" w:space="0" w:color="auto"/>
        <w:left w:val="none" w:sz="0" w:space="0" w:color="auto"/>
        <w:bottom w:val="none" w:sz="0" w:space="0" w:color="auto"/>
        <w:right w:val="none" w:sz="0" w:space="0" w:color="auto"/>
      </w:divBdr>
    </w:div>
    <w:div w:id="1979147589">
      <w:marLeft w:val="480"/>
      <w:marRight w:val="0"/>
      <w:marTop w:val="0"/>
      <w:marBottom w:val="0"/>
      <w:divBdr>
        <w:top w:val="none" w:sz="0" w:space="0" w:color="auto"/>
        <w:left w:val="none" w:sz="0" w:space="0" w:color="auto"/>
        <w:bottom w:val="none" w:sz="0" w:space="0" w:color="auto"/>
        <w:right w:val="none" w:sz="0" w:space="0" w:color="auto"/>
      </w:divBdr>
    </w:div>
    <w:div w:id="1979607240">
      <w:marLeft w:val="480"/>
      <w:marRight w:val="0"/>
      <w:marTop w:val="0"/>
      <w:marBottom w:val="0"/>
      <w:divBdr>
        <w:top w:val="none" w:sz="0" w:space="0" w:color="auto"/>
        <w:left w:val="none" w:sz="0" w:space="0" w:color="auto"/>
        <w:bottom w:val="none" w:sz="0" w:space="0" w:color="auto"/>
        <w:right w:val="none" w:sz="0" w:space="0" w:color="auto"/>
      </w:divBdr>
    </w:div>
    <w:div w:id="1980113197">
      <w:marLeft w:val="480"/>
      <w:marRight w:val="0"/>
      <w:marTop w:val="0"/>
      <w:marBottom w:val="0"/>
      <w:divBdr>
        <w:top w:val="none" w:sz="0" w:space="0" w:color="auto"/>
        <w:left w:val="none" w:sz="0" w:space="0" w:color="auto"/>
        <w:bottom w:val="none" w:sz="0" w:space="0" w:color="auto"/>
        <w:right w:val="none" w:sz="0" w:space="0" w:color="auto"/>
      </w:divBdr>
    </w:div>
    <w:div w:id="1982271329">
      <w:marLeft w:val="480"/>
      <w:marRight w:val="0"/>
      <w:marTop w:val="0"/>
      <w:marBottom w:val="0"/>
      <w:divBdr>
        <w:top w:val="none" w:sz="0" w:space="0" w:color="auto"/>
        <w:left w:val="none" w:sz="0" w:space="0" w:color="auto"/>
        <w:bottom w:val="none" w:sz="0" w:space="0" w:color="auto"/>
        <w:right w:val="none" w:sz="0" w:space="0" w:color="auto"/>
      </w:divBdr>
    </w:div>
    <w:div w:id="1988314720">
      <w:marLeft w:val="480"/>
      <w:marRight w:val="0"/>
      <w:marTop w:val="0"/>
      <w:marBottom w:val="0"/>
      <w:divBdr>
        <w:top w:val="none" w:sz="0" w:space="0" w:color="auto"/>
        <w:left w:val="none" w:sz="0" w:space="0" w:color="auto"/>
        <w:bottom w:val="none" w:sz="0" w:space="0" w:color="auto"/>
        <w:right w:val="none" w:sz="0" w:space="0" w:color="auto"/>
      </w:divBdr>
    </w:div>
    <w:div w:id="1993605828">
      <w:marLeft w:val="480"/>
      <w:marRight w:val="0"/>
      <w:marTop w:val="0"/>
      <w:marBottom w:val="0"/>
      <w:divBdr>
        <w:top w:val="none" w:sz="0" w:space="0" w:color="auto"/>
        <w:left w:val="none" w:sz="0" w:space="0" w:color="auto"/>
        <w:bottom w:val="none" w:sz="0" w:space="0" w:color="auto"/>
        <w:right w:val="none" w:sz="0" w:space="0" w:color="auto"/>
      </w:divBdr>
    </w:div>
    <w:div w:id="1994793565">
      <w:marLeft w:val="480"/>
      <w:marRight w:val="0"/>
      <w:marTop w:val="0"/>
      <w:marBottom w:val="0"/>
      <w:divBdr>
        <w:top w:val="none" w:sz="0" w:space="0" w:color="auto"/>
        <w:left w:val="none" w:sz="0" w:space="0" w:color="auto"/>
        <w:bottom w:val="none" w:sz="0" w:space="0" w:color="auto"/>
        <w:right w:val="none" w:sz="0" w:space="0" w:color="auto"/>
      </w:divBdr>
    </w:div>
    <w:div w:id="1995134538">
      <w:marLeft w:val="480"/>
      <w:marRight w:val="0"/>
      <w:marTop w:val="0"/>
      <w:marBottom w:val="0"/>
      <w:divBdr>
        <w:top w:val="none" w:sz="0" w:space="0" w:color="auto"/>
        <w:left w:val="none" w:sz="0" w:space="0" w:color="auto"/>
        <w:bottom w:val="none" w:sz="0" w:space="0" w:color="auto"/>
        <w:right w:val="none" w:sz="0" w:space="0" w:color="auto"/>
      </w:divBdr>
    </w:div>
    <w:div w:id="1995716135">
      <w:marLeft w:val="480"/>
      <w:marRight w:val="0"/>
      <w:marTop w:val="0"/>
      <w:marBottom w:val="0"/>
      <w:divBdr>
        <w:top w:val="none" w:sz="0" w:space="0" w:color="auto"/>
        <w:left w:val="none" w:sz="0" w:space="0" w:color="auto"/>
        <w:bottom w:val="none" w:sz="0" w:space="0" w:color="auto"/>
        <w:right w:val="none" w:sz="0" w:space="0" w:color="auto"/>
      </w:divBdr>
    </w:div>
    <w:div w:id="1998220848">
      <w:marLeft w:val="480"/>
      <w:marRight w:val="0"/>
      <w:marTop w:val="0"/>
      <w:marBottom w:val="0"/>
      <w:divBdr>
        <w:top w:val="none" w:sz="0" w:space="0" w:color="auto"/>
        <w:left w:val="none" w:sz="0" w:space="0" w:color="auto"/>
        <w:bottom w:val="none" w:sz="0" w:space="0" w:color="auto"/>
        <w:right w:val="none" w:sz="0" w:space="0" w:color="auto"/>
      </w:divBdr>
    </w:div>
    <w:div w:id="1999770227">
      <w:marLeft w:val="480"/>
      <w:marRight w:val="0"/>
      <w:marTop w:val="0"/>
      <w:marBottom w:val="0"/>
      <w:divBdr>
        <w:top w:val="none" w:sz="0" w:space="0" w:color="auto"/>
        <w:left w:val="none" w:sz="0" w:space="0" w:color="auto"/>
        <w:bottom w:val="none" w:sz="0" w:space="0" w:color="auto"/>
        <w:right w:val="none" w:sz="0" w:space="0" w:color="auto"/>
      </w:divBdr>
    </w:div>
    <w:div w:id="2000229015">
      <w:marLeft w:val="480"/>
      <w:marRight w:val="0"/>
      <w:marTop w:val="0"/>
      <w:marBottom w:val="0"/>
      <w:divBdr>
        <w:top w:val="none" w:sz="0" w:space="0" w:color="auto"/>
        <w:left w:val="none" w:sz="0" w:space="0" w:color="auto"/>
        <w:bottom w:val="none" w:sz="0" w:space="0" w:color="auto"/>
        <w:right w:val="none" w:sz="0" w:space="0" w:color="auto"/>
      </w:divBdr>
    </w:div>
    <w:div w:id="2000233190">
      <w:marLeft w:val="480"/>
      <w:marRight w:val="0"/>
      <w:marTop w:val="0"/>
      <w:marBottom w:val="0"/>
      <w:divBdr>
        <w:top w:val="none" w:sz="0" w:space="0" w:color="auto"/>
        <w:left w:val="none" w:sz="0" w:space="0" w:color="auto"/>
        <w:bottom w:val="none" w:sz="0" w:space="0" w:color="auto"/>
        <w:right w:val="none" w:sz="0" w:space="0" w:color="auto"/>
      </w:divBdr>
    </w:div>
    <w:div w:id="2000961457">
      <w:marLeft w:val="480"/>
      <w:marRight w:val="0"/>
      <w:marTop w:val="0"/>
      <w:marBottom w:val="0"/>
      <w:divBdr>
        <w:top w:val="none" w:sz="0" w:space="0" w:color="auto"/>
        <w:left w:val="none" w:sz="0" w:space="0" w:color="auto"/>
        <w:bottom w:val="none" w:sz="0" w:space="0" w:color="auto"/>
        <w:right w:val="none" w:sz="0" w:space="0" w:color="auto"/>
      </w:divBdr>
    </w:div>
    <w:div w:id="2004699609">
      <w:marLeft w:val="480"/>
      <w:marRight w:val="0"/>
      <w:marTop w:val="0"/>
      <w:marBottom w:val="0"/>
      <w:divBdr>
        <w:top w:val="none" w:sz="0" w:space="0" w:color="auto"/>
        <w:left w:val="none" w:sz="0" w:space="0" w:color="auto"/>
        <w:bottom w:val="none" w:sz="0" w:space="0" w:color="auto"/>
        <w:right w:val="none" w:sz="0" w:space="0" w:color="auto"/>
      </w:divBdr>
    </w:div>
    <w:div w:id="2005470502">
      <w:marLeft w:val="480"/>
      <w:marRight w:val="0"/>
      <w:marTop w:val="0"/>
      <w:marBottom w:val="0"/>
      <w:divBdr>
        <w:top w:val="none" w:sz="0" w:space="0" w:color="auto"/>
        <w:left w:val="none" w:sz="0" w:space="0" w:color="auto"/>
        <w:bottom w:val="none" w:sz="0" w:space="0" w:color="auto"/>
        <w:right w:val="none" w:sz="0" w:space="0" w:color="auto"/>
      </w:divBdr>
    </w:div>
    <w:div w:id="2008820580">
      <w:marLeft w:val="480"/>
      <w:marRight w:val="0"/>
      <w:marTop w:val="0"/>
      <w:marBottom w:val="0"/>
      <w:divBdr>
        <w:top w:val="none" w:sz="0" w:space="0" w:color="auto"/>
        <w:left w:val="none" w:sz="0" w:space="0" w:color="auto"/>
        <w:bottom w:val="none" w:sz="0" w:space="0" w:color="auto"/>
        <w:right w:val="none" w:sz="0" w:space="0" w:color="auto"/>
      </w:divBdr>
    </w:div>
    <w:div w:id="2011056790">
      <w:marLeft w:val="480"/>
      <w:marRight w:val="0"/>
      <w:marTop w:val="0"/>
      <w:marBottom w:val="0"/>
      <w:divBdr>
        <w:top w:val="none" w:sz="0" w:space="0" w:color="auto"/>
        <w:left w:val="none" w:sz="0" w:space="0" w:color="auto"/>
        <w:bottom w:val="none" w:sz="0" w:space="0" w:color="auto"/>
        <w:right w:val="none" w:sz="0" w:space="0" w:color="auto"/>
      </w:divBdr>
    </w:div>
    <w:div w:id="2011443547">
      <w:marLeft w:val="480"/>
      <w:marRight w:val="0"/>
      <w:marTop w:val="0"/>
      <w:marBottom w:val="0"/>
      <w:divBdr>
        <w:top w:val="none" w:sz="0" w:space="0" w:color="auto"/>
        <w:left w:val="none" w:sz="0" w:space="0" w:color="auto"/>
        <w:bottom w:val="none" w:sz="0" w:space="0" w:color="auto"/>
        <w:right w:val="none" w:sz="0" w:space="0" w:color="auto"/>
      </w:divBdr>
    </w:div>
    <w:div w:id="2012680912">
      <w:marLeft w:val="480"/>
      <w:marRight w:val="0"/>
      <w:marTop w:val="0"/>
      <w:marBottom w:val="0"/>
      <w:divBdr>
        <w:top w:val="none" w:sz="0" w:space="0" w:color="auto"/>
        <w:left w:val="none" w:sz="0" w:space="0" w:color="auto"/>
        <w:bottom w:val="none" w:sz="0" w:space="0" w:color="auto"/>
        <w:right w:val="none" w:sz="0" w:space="0" w:color="auto"/>
      </w:divBdr>
    </w:div>
    <w:div w:id="2016298766">
      <w:marLeft w:val="480"/>
      <w:marRight w:val="0"/>
      <w:marTop w:val="0"/>
      <w:marBottom w:val="0"/>
      <w:divBdr>
        <w:top w:val="none" w:sz="0" w:space="0" w:color="auto"/>
        <w:left w:val="none" w:sz="0" w:space="0" w:color="auto"/>
        <w:bottom w:val="none" w:sz="0" w:space="0" w:color="auto"/>
        <w:right w:val="none" w:sz="0" w:space="0" w:color="auto"/>
      </w:divBdr>
    </w:div>
    <w:div w:id="2016303184">
      <w:marLeft w:val="480"/>
      <w:marRight w:val="0"/>
      <w:marTop w:val="0"/>
      <w:marBottom w:val="0"/>
      <w:divBdr>
        <w:top w:val="none" w:sz="0" w:space="0" w:color="auto"/>
        <w:left w:val="none" w:sz="0" w:space="0" w:color="auto"/>
        <w:bottom w:val="none" w:sz="0" w:space="0" w:color="auto"/>
        <w:right w:val="none" w:sz="0" w:space="0" w:color="auto"/>
      </w:divBdr>
    </w:div>
    <w:div w:id="2016572566">
      <w:marLeft w:val="480"/>
      <w:marRight w:val="0"/>
      <w:marTop w:val="0"/>
      <w:marBottom w:val="0"/>
      <w:divBdr>
        <w:top w:val="none" w:sz="0" w:space="0" w:color="auto"/>
        <w:left w:val="none" w:sz="0" w:space="0" w:color="auto"/>
        <w:bottom w:val="none" w:sz="0" w:space="0" w:color="auto"/>
        <w:right w:val="none" w:sz="0" w:space="0" w:color="auto"/>
      </w:divBdr>
    </w:div>
    <w:div w:id="2018846442">
      <w:marLeft w:val="480"/>
      <w:marRight w:val="0"/>
      <w:marTop w:val="0"/>
      <w:marBottom w:val="0"/>
      <w:divBdr>
        <w:top w:val="none" w:sz="0" w:space="0" w:color="auto"/>
        <w:left w:val="none" w:sz="0" w:space="0" w:color="auto"/>
        <w:bottom w:val="none" w:sz="0" w:space="0" w:color="auto"/>
        <w:right w:val="none" w:sz="0" w:space="0" w:color="auto"/>
      </w:divBdr>
    </w:div>
    <w:div w:id="2020815919">
      <w:marLeft w:val="480"/>
      <w:marRight w:val="0"/>
      <w:marTop w:val="0"/>
      <w:marBottom w:val="0"/>
      <w:divBdr>
        <w:top w:val="none" w:sz="0" w:space="0" w:color="auto"/>
        <w:left w:val="none" w:sz="0" w:space="0" w:color="auto"/>
        <w:bottom w:val="none" w:sz="0" w:space="0" w:color="auto"/>
        <w:right w:val="none" w:sz="0" w:space="0" w:color="auto"/>
      </w:divBdr>
    </w:div>
    <w:div w:id="2021589243">
      <w:marLeft w:val="480"/>
      <w:marRight w:val="0"/>
      <w:marTop w:val="0"/>
      <w:marBottom w:val="0"/>
      <w:divBdr>
        <w:top w:val="none" w:sz="0" w:space="0" w:color="auto"/>
        <w:left w:val="none" w:sz="0" w:space="0" w:color="auto"/>
        <w:bottom w:val="none" w:sz="0" w:space="0" w:color="auto"/>
        <w:right w:val="none" w:sz="0" w:space="0" w:color="auto"/>
      </w:divBdr>
    </w:div>
    <w:div w:id="2021661138">
      <w:marLeft w:val="480"/>
      <w:marRight w:val="0"/>
      <w:marTop w:val="0"/>
      <w:marBottom w:val="0"/>
      <w:divBdr>
        <w:top w:val="none" w:sz="0" w:space="0" w:color="auto"/>
        <w:left w:val="none" w:sz="0" w:space="0" w:color="auto"/>
        <w:bottom w:val="none" w:sz="0" w:space="0" w:color="auto"/>
        <w:right w:val="none" w:sz="0" w:space="0" w:color="auto"/>
      </w:divBdr>
    </w:div>
    <w:div w:id="2025668997">
      <w:marLeft w:val="480"/>
      <w:marRight w:val="0"/>
      <w:marTop w:val="0"/>
      <w:marBottom w:val="0"/>
      <w:divBdr>
        <w:top w:val="none" w:sz="0" w:space="0" w:color="auto"/>
        <w:left w:val="none" w:sz="0" w:space="0" w:color="auto"/>
        <w:bottom w:val="none" w:sz="0" w:space="0" w:color="auto"/>
        <w:right w:val="none" w:sz="0" w:space="0" w:color="auto"/>
      </w:divBdr>
    </w:div>
    <w:div w:id="2027822402">
      <w:marLeft w:val="480"/>
      <w:marRight w:val="0"/>
      <w:marTop w:val="0"/>
      <w:marBottom w:val="0"/>
      <w:divBdr>
        <w:top w:val="none" w:sz="0" w:space="0" w:color="auto"/>
        <w:left w:val="none" w:sz="0" w:space="0" w:color="auto"/>
        <w:bottom w:val="none" w:sz="0" w:space="0" w:color="auto"/>
        <w:right w:val="none" w:sz="0" w:space="0" w:color="auto"/>
      </w:divBdr>
    </w:div>
    <w:div w:id="2030793448">
      <w:marLeft w:val="480"/>
      <w:marRight w:val="0"/>
      <w:marTop w:val="0"/>
      <w:marBottom w:val="0"/>
      <w:divBdr>
        <w:top w:val="none" w:sz="0" w:space="0" w:color="auto"/>
        <w:left w:val="none" w:sz="0" w:space="0" w:color="auto"/>
        <w:bottom w:val="none" w:sz="0" w:space="0" w:color="auto"/>
        <w:right w:val="none" w:sz="0" w:space="0" w:color="auto"/>
      </w:divBdr>
    </w:div>
    <w:div w:id="2030983731">
      <w:marLeft w:val="480"/>
      <w:marRight w:val="0"/>
      <w:marTop w:val="0"/>
      <w:marBottom w:val="0"/>
      <w:divBdr>
        <w:top w:val="none" w:sz="0" w:space="0" w:color="auto"/>
        <w:left w:val="none" w:sz="0" w:space="0" w:color="auto"/>
        <w:bottom w:val="none" w:sz="0" w:space="0" w:color="auto"/>
        <w:right w:val="none" w:sz="0" w:space="0" w:color="auto"/>
      </w:divBdr>
    </w:div>
    <w:div w:id="2032173051">
      <w:marLeft w:val="480"/>
      <w:marRight w:val="0"/>
      <w:marTop w:val="0"/>
      <w:marBottom w:val="0"/>
      <w:divBdr>
        <w:top w:val="none" w:sz="0" w:space="0" w:color="auto"/>
        <w:left w:val="none" w:sz="0" w:space="0" w:color="auto"/>
        <w:bottom w:val="none" w:sz="0" w:space="0" w:color="auto"/>
        <w:right w:val="none" w:sz="0" w:space="0" w:color="auto"/>
      </w:divBdr>
    </w:div>
    <w:div w:id="2034455679">
      <w:marLeft w:val="480"/>
      <w:marRight w:val="0"/>
      <w:marTop w:val="0"/>
      <w:marBottom w:val="0"/>
      <w:divBdr>
        <w:top w:val="none" w:sz="0" w:space="0" w:color="auto"/>
        <w:left w:val="none" w:sz="0" w:space="0" w:color="auto"/>
        <w:bottom w:val="none" w:sz="0" w:space="0" w:color="auto"/>
        <w:right w:val="none" w:sz="0" w:space="0" w:color="auto"/>
      </w:divBdr>
    </w:div>
    <w:div w:id="2034722374">
      <w:marLeft w:val="480"/>
      <w:marRight w:val="0"/>
      <w:marTop w:val="0"/>
      <w:marBottom w:val="0"/>
      <w:divBdr>
        <w:top w:val="none" w:sz="0" w:space="0" w:color="auto"/>
        <w:left w:val="none" w:sz="0" w:space="0" w:color="auto"/>
        <w:bottom w:val="none" w:sz="0" w:space="0" w:color="auto"/>
        <w:right w:val="none" w:sz="0" w:space="0" w:color="auto"/>
      </w:divBdr>
    </w:div>
    <w:div w:id="2035300341">
      <w:marLeft w:val="480"/>
      <w:marRight w:val="0"/>
      <w:marTop w:val="0"/>
      <w:marBottom w:val="0"/>
      <w:divBdr>
        <w:top w:val="none" w:sz="0" w:space="0" w:color="auto"/>
        <w:left w:val="none" w:sz="0" w:space="0" w:color="auto"/>
        <w:bottom w:val="none" w:sz="0" w:space="0" w:color="auto"/>
        <w:right w:val="none" w:sz="0" w:space="0" w:color="auto"/>
      </w:divBdr>
    </w:div>
    <w:div w:id="2046715305">
      <w:marLeft w:val="480"/>
      <w:marRight w:val="0"/>
      <w:marTop w:val="0"/>
      <w:marBottom w:val="0"/>
      <w:divBdr>
        <w:top w:val="none" w:sz="0" w:space="0" w:color="auto"/>
        <w:left w:val="none" w:sz="0" w:space="0" w:color="auto"/>
        <w:bottom w:val="none" w:sz="0" w:space="0" w:color="auto"/>
        <w:right w:val="none" w:sz="0" w:space="0" w:color="auto"/>
      </w:divBdr>
    </w:div>
    <w:div w:id="2047757164">
      <w:marLeft w:val="480"/>
      <w:marRight w:val="0"/>
      <w:marTop w:val="0"/>
      <w:marBottom w:val="0"/>
      <w:divBdr>
        <w:top w:val="none" w:sz="0" w:space="0" w:color="auto"/>
        <w:left w:val="none" w:sz="0" w:space="0" w:color="auto"/>
        <w:bottom w:val="none" w:sz="0" w:space="0" w:color="auto"/>
        <w:right w:val="none" w:sz="0" w:space="0" w:color="auto"/>
      </w:divBdr>
    </w:div>
    <w:div w:id="2047832074">
      <w:marLeft w:val="480"/>
      <w:marRight w:val="0"/>
      <w:marTop w:val="0"/>
      <w:marBottom w:val="0"/>
      <w:divBdr>
        <w:top w:val="none" w:sz="0" w:space="0" w:color="auto"/>
        <w:left w:val="none" w:sz="0" w:space="0" w:color="auto"/>
        <w:bottom w:val="none" w:sz="0" w:space="0" w:color="auto"/>
        <w:right w:val="none" w:sz="0" w:space="0" w:color="auto"/>
      </w:divBdr>
    </w:div>
    <w:div w:id="2050446970">
      <w:marLeft w:val="480"/>
      <w:marRight w:val="0"/>
      <w:marTop w:val="0"/>
      <w:marBottom w:val="0"/>
      <w:divBdr>
        <w:top w:val="none" w:sz="0" w:space="0" w:color="auto"/>
        <w:left w:val="none" w:sz="0" w:space="0" w:color="auto"/>
        <w:bottom w:val="none" w:sz="0" w:space="0" w:color="auto"/>
        <w:right w:val="none" w:sz="0" w:space="0" w:color="auto"/>
      </w:divBdr>
    </w:div>
    <w:div w:id="2050954833">
      <w:marLeft w:val="480"/>
      <w:marRight w:val="0"/>
      <w:marTop w:val="0"/>
      <w:marBottom w:val="0"/>
      <w:divBdr>
        <w:top w:val="none" w:sz="0" w:space="0" w:color="auto"/>
        <w:left w:val="none" w:sz="0" w:space="0" w:color="auto"/>
        <w:bottom w:val="none" w:sz="0" w:space="0" w:color="auto"/>
        <w:right w:val="none" w:sz="0" w:space="0" w:color="auto"/>
      </w:divBdr>
    </w:div>
    <w:div w:id="2051105384">
      <w:marLeft w:val="480"/>
      <w:marRight w:val="0"/>
      <w:marTop w:val="0"/>
      <w:marBottom w:val="0"/>
      <w:divBdr>
        <w:top w:val="none" w:sz="0" w:space="0" w:color="auto"/>
        <w:left w:val="none" w:sz="0" w:space="0" w:color="auto"/>
        <w:bottom w:val="none" w:sz="0" w:space="0" w:color="auto"/>
        <w:right w:val="none" w:sz="0" w:space="0" w:color="auto"/>
      </w:divBdr>
    </w:div>
    <w:div w:id="2053923463">
      <w:marLeft w:val="480"/>
      <w:marRight w:val="0"/>
      <w:marTop w:val="0"/>
      <w:marBottom w:val="0"/>
      <w:divBdr>
        <w:top w:val="none" w:sz="0" w:space="0" w:color="auto"/>
        <w:left w:val="none" w:sz="0" w:space="0" w:color="auto"/>
        <w:bottom w:val="none" w:sz="0" w:space="0" w:color="auto"/>
        <w:right w:val="none" w:sz="0" w:space="0" w:color="auto"/>
      </w:divBdr>
    </w:div>
    <w:div w:id="2054621172">
      <w:marLeft w:val="480"/>
      <w:marRight w:val="0"/>
      <w:marTop w:val="0"/>
      <w:marBottom w:val="0"/>
      <w:divBdr>
        <w:top w:val="none" w:sz="0" w:space="0" w:color="auto"/>
        <w:left w:val="none" w:sz="0" w:space="0" w:color="auto"/>
        <w:bottom w:val="none" w:sz="0" w:space="0" w:color="auto"/>
        <w:right w:val="none" w:sz="0" w:space="0" w:color="auto"/>
      </w:divBdr>
    </w:div>
    <w:div w:id="2056276743">
      <w:marLeft w:val="480"/>
      <w:marRight w:val="0"/>
      <w:marTop w:val="0"/>
      <w:marBottom w:val="0"/>
      <w:divBdr>
        <w:top w:val="none" w:sz="0" w:space="0" w:color="auto"/>
        <w:left w:val="none" w:sz="0" w:space="0" w:color="auto"/>
        <w:bottom w:val="none" w:sz="0" w:space="0" w:color="auto"/>
        <w:right w:val="none" w:sz="0" w:space="0" w:color="auto"/>
      </w:divBdr>
    </w:div>
    <w:div w:id="2056931860">
      <w:marLeft w:val="480"/>
      <w:marRight w:val="0"/>
      <w:marTop w:val="0"/>
      <w:marBottom w:val="0"/>
      <w:divBdr>
        <w:top w:val="none" w:sz="0" w:space="0" w:color="auto"/>
        <w:left w:val="none" w:sz="0" w:space="0" w:color="auto"/>
        <w:bottom w:val="none" w:sz="0" w:space="0" w:color="auto"/>
        <w:right w:val="none" w:sz="0" w:space="0" w:color="auto"/>
      </w:divBdr>
    </w:div>
    <w:div w:id="2057199355">
      <w:marLeft w:val="480"/>
      <w:marRight w:val="0"/>
      <w:marTop w:val="0"/>
      <w:marBottom w:val="0"/>
      <w:divBdr>
        <w:top w:val="none" w:sz="0" w:space="0" w:color="auto"/>
        <w:left w:val="none" w:sz="0" w:space="0" w:color="auto"/>
        <w:bottom w:val="none" w:sz="0" w:space="0" w:color="auto"/>
        <w:right w:val="none" w:sz="0" w:space="0" w:color="auto"/>
      </w:divBdr>
    </w:div>
    <w:div w:id="2061399618">
      <w:marLeft w:val="480"/>
      <w:marRight w:val="0"/>
      <w:marTop w:val="0"/>
      <w:marBottom w:val="0"/>
      <w:divBdr>
        <w:top w:val="none" w:sz="0" w:space="0" w:color="auto"/>
        <w:left w:val="none" w:sz="0" w:space="0" w:color="auto"/>
        <w:bottom w:val="none" w:sz="0" w:space="0" w:color="auto"/>
        <w:right w:val="none" w:sz="0" w:space="0" w:color="auto"/>
      </w:divBdr>
    </w:div>
    <w:div w:id="2061512840">
      <w:marLeft w:val="480"/>
      <w:marRight w:val="0"/>
      <w:marTop w:val="0"/>
      <w:marBottom w:val="0"/>
      <w:divBdr>
        <w:top w:val="none" w:sz="0" w:space="0" w:color="auto"/>
        <w:left w:val="none" w:sz="0" w:space="0" w:color="auto"/>
        <w:bottom w:val="none" w:sz="0" w:space="0" w:color="auto"/>
        <w:right w:val="none" w:sz="0" w:space="0" w:color="auto"/>
      </w:divBdr>
    </w:div>
    <w:div w:id="2062093793">
      <w:marLeft w:val="480"/>
      <w:marRight w:val="0"/>
      <w:marTop w:val="0"/>
      <w:marBottom w:val="0"/>
      <w:divBdr>
        <w:top w:val="none" w:sz="0" w:space="0" w:color="auto"/>
        <w:left w:val="none" w:sz="0" w:space="0" w:color="auto"/>
        <w:bottom w:val="none" w:sz="0" w:space="0" w:color="auto"/>
        <w:right w:val="none" w:sz="0" w:space="0" w:color="auto"/>
      </w:divBdr>
    </w:div>
    <w:div w:id="2063206703">
      <w:marLeft w:val="480"/>
      <w:marRight w:val="0"/>
      <w:marTop w:val="0"/>
      <w:marBottom w:val="0"/>
      <w:divBdr>
        <w:top w:val="none" w:sz="0" w:space="0" w:color="auto"/>
        <w:left w:val="none" w:sz="0" w:space="0" w:color="auto"/>
        <w:bottom w:val="none" w:sz="0" w:space="0" w:color="auto"/>
        <w:right w:val="none" w:sz="0" w:space="0" w:color="auto"/>
      </w:divBdr>
    </w:div>
    <w:div w:id="2063672399">
      <w:marLeft w:val="480"/>
      <w:marRight w:val="0"/>
      <w:marTop w:val="0"/>
      <w:marBottom w:val="0"/>
      <w:divBdr>
        <w:top w:val="none" w:sz="0" w:space="0" w:color="auto"/>
        <w:left w:val="none" w:sz="0" w:space="0" w:color="auto"/>
        <w:bottom w:val="none" w:sz="0" w:space="0" w:color="auto"/>
        <w:right w:val="none" w:sz="0" w:space="0" w:color="auto"/>
      </w:divBdr>
    </w:div>
    <w:div w:id="2064132449">
      <w:marLeft w:val="480"/>
      <w:marRight w:val="0"/>
      <w:marTop w:val="0"/>
      <w:marBottom w:val="0"/>
      <w:divBdr>
        <w:top w:val="none" w:sz="0" w:space="0" w:color="auto"/>
        <w:left w:val="none" w:sz="0" w:space="0" w:color="auto"/>
        <w:bottom w:val="none" w:sz="0" w:space="0" w:color="auto"/>
        <w:right w:val="none" w:sz="0" w:space="0" w:color="auto"/>
      </w:divBdr>
    </w:div>
    <w:div w:id="2064716664">
      <w:marLeft w:val="480"/>
      <w:marRight w:val="0"/>
      <w:marTop w:val="0"/>
      <w:marBottom w:val="0"/>
      <w:divBdr>
        <w:top w:val="none" w:sz="0" w:space="0" w:color="auto"/>
        <w:left w:val="none" w:sz="0" w:space="0" w:color="auto"/>
        <w:bottom w:val="none" w:sz="0" w:space="0" w:color="auto"/>
        <w:right w:val="none" w:sz="0" w:space="0" w:color="auto"/>
      </w:divBdr>
    </w:div>
    <w:div w:id="2065522198">
      <w:marLeft w:val="480"/>
      <w:marRight w:val="0"/>
      <w:marTop w:val="0"/>
      <w:marBottom w:val="0"/>
      <w:divBdr>
        <w:top w:val="none" w:sz="0" w:space="0" w:color="auto"/>
        <w:left w:val="none" w:sz="0" w:space="0" w:color="auto"/>
        <w:bottom w:val="none" w:sz="0" w:space="0" w:color="auto"/>
        <w:right w:val="none" w:sz="0" w:space="0" w:color="auto"/>
      </w:divBdr>
    </w:div>
    <w:div w:id="2066178616">
      <w:marLeft w:val="480"/>
      <w:marRight w:val="0"/>
      <w:marTop w:val="0"/>
      <w:marBottom w:val="0"/>
      <w:divBdr>
        <w:top w:val="none" w:sz="0" w:space="0" w:color="auto"/>
        <w:left w:val="none" w:sz="0" w:space="0" w:color="auto"/>
        <w:bottom w:val="none" w:sz="0" w:space="0" w:color="auto"/>
        <w:right w:val="none" w:sz="0" w:space="0" w:color="auto"/>
      </w:divBdr>
    </w:div>
    <w:div w:id="2066444197">
      <w:marLeft w:val="480"/>
      <w:marRight w:val="0"/>
      <w:marTop w:val="0"/>
      <w:marBottom w:val="0"/>
      <w:divBdr>
        <w:top w:val="none" w:sz="0" w:space="0" w:color="auto"/>
        <w:left w:val="none" w:sz="0" w:space="0" w:color="auto"/>
        <w:bottom w:val="none" w:sz="0" w:space="0" w:color="auto"/>
        <w:right w:val="none" w:sz="0" w:space="0" w:color="auto"/>
      </w:divBdr>
    </w:div>
    <w:div w:id="2068139793">
      <w:marLeft w:val="480"/>
      <w:marRight w:val="0"/>
      <w:marTop w:val="0"/>
      <w:marBottom w:val="0"/>
      <w:divBdr>
        <w:top w:val="none" w:sz="0" w:space="0" w:color="auto"/>
        <w:left w:val="none" w:sz="0" w:space="0" w:color="auto"/>
        <w:bottom w:val="none" w:sz="0" w:space="0" w:color="auto"/>
        <w:right w:val="none" w:sz="0" w:space="0" w:color="auto"/>
      </w:divBdr>
    </w:div>
    <w:div w:id="2072340965">
      <w:marLeft w:val="480"/>
      <w:marRight w:val="0"/>
      <w:marTop w:val="0"/>
      <w:marBottom w:val="0"/>
      <w:divBdr>
        <w:top w:val="none" w:sz="0" w:space="0" w:color="auto"/>
        <w:left w:val="none" w:sz="0" w:space="0" w:color="auto"/>
        <w:bottom w:val="none" w:sz="0" w:space="0" w:color="auto"/>
        <w:right w:val="none" w:sz="0" w:space="0" w:color="auto"/>
      </w:divBdr>
    </w:div>
    <w:div w:id="2073119902">
      <w:marLeft w:val="480"/>
      <w:marRight w:val="0"/>
      <w:marTop w:val="0"/>
      <w:marBottom w:val="0"/>
      <w:divBdr>
        <w:top w:val="none" w:sz="0" w:space="0" w:color="auto"/>
        <w:left w:val="none" w:sz="0" w:space="0" w:color="auto"/>
        <w:bottom w:val="none" w:sz="0" w:space="0" w:color="auto"/>
        <w:right w:val="none" w:sz="0" w:space="0" w:color="auto"/>
      </w:divBdr>
    </w:div>
    <w:div w:id="2073236089">
      <w:marLeft w:val="480"/>
      <w:marRight w:val="0"/>
      <w:marTop w:val="0"/>
      <w:marBottom w:val="0"/>
      <w:divBdr>
        <w:top w:val="none" w:sz="0" w:space="0" w:color="auto"/>
        <w:left w:val="none" w:sz="0" w:space="0" w:color="auto"/>
        <w:bottom w:val="none" w:sz="0" w:space="0" w:color="auto"/>
        <w:right w:val="none" w:sz="0" w:space="0" w:color="auto"/>
      </w:divBdr>
    </w:div>
    <w:div w:id="2074308833">
      <w:marLeft w:val="480"/>
      <w:marRight w:val="0"/>
      <w:marTop w:val="0"/>
      <w:marBottom w:val="0"/>
      <w:divBdr>
        <w:top w:val="none" w:sz="0" w:space="0" w:color="auto"/>
        <w:left w:val="none" w:sz="0" w:space="0" w:color="auto"/>
        <w:bottom w:val="none" w:sz="0" w:space="0" w:color="auto"/>
        <w:right w:val="none" w:sz="0" w:space="0" w:color="auto"/>
      </w:divBdr>
    </w:div>
    <w:div w:id="2075154291">
      <w:marLeft w:val="480"/>
      <w:marRight w:val="0"/>
      <w:marTop w:val="0"/>
      <w:marBottom w:val="0"/>
      <w:divBdr>
        <w:top w:val="none" w:sz="0" w:space="0" w:color="auto"/>
        <w:left w:val="none" w:sz="0" w:space="0" w:color="auto"/>
        <w:bottom w:val="none" w:sz="0" w:space="0" w:color="auto"/>
        <w:right w:val="none" w:sz="0" w:space="0" w:color="auto"/>
      </w:divBdr>
    </w:div>
    <w:div w:id="2075659051">
      <w:marLeft w:val="480"/>
      <w:marRight w:val="0"/>
      <w:marTop w:val="0"/>
      <w:marBottom w:val="0"/>
      <w:divBdr>
        <w:top w:val="none" w:sz="0" w:space="0" w:color="auto"/>
        <w:left w:val="none" w:sz="0" w:space="0" w:color="auto"/>
        <w:bottom w:val="none" w:sz="0" w:space="0" w:color="auto"/>
        <w:right w:val="none" w:sz="0" w:space="0" w:color="auto"/>
      </w:divBdr>
    </w:div>
    <w:div w:id="2078241394">
      <w:marLeft w:val="480"/>
      <w:marRight w:val="0"/>
      <w:marTop w:val="0"/>
      <w:marBottom w:val="0"/>
      <w:divBdr>
        <w:top w:val="none" w:sz="0" w:space="0" w:color="auto"/>
        <w:left w:val="none" w:sz="0" w:space="0" w:color="auto"/>
        <w:bottom w:val="none" w:sz="0" w:space="0" w:color="auto"/>
        <w:right w:val="none" w:sz="0" w:space="0" w:color="auto"/>
      </w:divBdr>
    </w:div>
    <w:div w:id="2078551870">
      <w:marLeft w:val="480"/>
      <w:marRight w:val="0"/>
      <w:marTop w:val="0"/>
      <w:marBottom w:val="0"/>
      <w:divBdr>
        <w:top w:val="none" w:sz="0" w:space="0" w:color="auto"/>
        <w:left w:val="none" w:sz="0" w:space="0" w:color="auto"/>
        <w:bottom w:val="none" w:sz="0" w:space="0" w:color="auto"/>
        <w:right w:val="none" w:sz="0" w:space="0" w:color="auto"/>
      </w:divBdr>
    </w:div>
    <w:div w:id="2079209253">
      <w:marLeft w:val="480"/>
      <w:marRight w:val="0"/>
      <w:marTop w:val="0"/>
      <w:marBottom w:val="0"/>
      <w:divBdr>
        <w:top w:val="none" w:sz="0" w:space="0" w:color="auto"/>
        <w:left w:val="none" w:sz="0" w:space="0" w:color="auto"/>
        <w:bottom w:val="none" w:sz="0" w:space="0" w:color="auto"/>
        <w:right w:val="none" w:sz="0" w:space="0" w:color="auto"/>
      </w:divBdr>
    </w:div>
    <w:div w:id="2084520260">
      <w:marLeft w:val="480"/>
      <w:marRight w:val="0"/>
      <w:marTop w:val="0"/>
      <w:marBottom w:val="0"/>
      <w:divBdr>
        <w:top w:val="none" w:sz="0" w:space="0" w:color="auto"/>
        <w:left w:val="none" w:sz="0" w:space="0" w:color="auto"/>
        <w:bottom w:val="none" w:sz="0" w:space="0" w:color="auto"/>
        <w:right w:val="none" w:sz="0" w:space="0" w:color="auto"/>
      </w:divBdr>
    </w:div>
    <w:div w:id="2084834740">
      <w:marLeft w:val="480"/>
      <w:marRight w:val="0"/>
      <w:marTop w:val="0"/>
      <w:marBottom w:val="0"/>
      <w:divBdr>
        <w:top w:val="none" w:sz="0" w:space="0" w:color="auto"/>
        <w:left w:val="none" w:sz="0" w:space="0" w:color="auto"/>
        <w:bottom w:val="none" w:sz="0" w:space="0" w:color="auto"/>
        <w:right w:val="none" w:sz="0" w:space="0" w:color="auto"/>
      </w:divBdr>
    </w:div>
    <w:div w:id="2086413017">
      <w:marLeft w:val="480"/>
      <w:marRight w:val="0"/>
      <w:marTop w:val="0"/>
      <w:marBottom w:val="0"/>
      <w:divBdr>
        <w:top w:val="none" w:sz="0" w:space="0" w:color="auto"/>
        <w:left w:val="none" w:sz="0" w:space="0" w:color="auto"/>
        <w:bottom w:val="none" w:sz="0" w:space="0" w:color="auto"/>
        <w:right w:val="none" w:sz="0" w:space="0" w:color="auto"/>
      </w:divBdr>
    </w:div>
    <w:div w:id="2087070565">
      <w:marLeft w:val="480"/>
      <w:marRight w:val="0"/>
      <w:marTop w:val="0"/>
      <w:marBottom w:val="0"/>
      <w:divBdr>
        <w:top w:val="none" w:sz="0" w:space="0" w:color="auto"/>
        <w:left w:val="none" w:sz="0" w:space="0" w:color="auto"/>
        <w:bottom w:val="none" w:sz="0" w:space="0" w:color="auto"/>
        <w:right w:val="none" w:sz="0" w:space="0" w:color="auto"/>
      </w:divBdr>
    </w:div>
    <w:div w:id="2089686280">
      <w:marLeft w:val="480"/>
      <w:marRight w:val="0"/>
      <w:marTop w:val="0"/>
      <w:marBottom w:val="0"/>
      <w:divBdr>
        <w:top w:val="none" w:sz="0" w:space="0" w:color="auto"/>
        <w:left w:val="none" w:sz="0" w:space="0" w:color="auto"/>
        <w:bottom w:val="none" w:sz="0" w:space="0" w:color="auto"/>
        <w:right w:val="none" w:sz="0" w:space="0" w:color="auto"/>
      </w:divBdr>
    </w:div>
    <w:div w:id="2089812472">
      <w:marLeft w:val="480"/>
      <w:marRight w:val="0"/>
      <w:marTop w:val="0"/>
      <w:marBottom w:val="0"/>
      <w:divBdr>
        <w:top w:val="none" w:sz="0" w:space="0" w:color="auto"/>
        <w:left w:val="none" w:sz="0" w:space="0" w:color="auto"/>
        <w:bottom w:val="none" w:sz="0" w:space="0" w:color="auto"/>
        <w:right w:val="none" w:sz="0" w:space="0" w:color="auto"/>
      </w:divBdr>
    </w:div>
    <w:div w:id="2090930268">
      <w:marLeft w:val="480"/>
      <w:marRight w:val="0"/>
      <w:marTop w:val="0"/>
      <w:marBottom w:val="0"/>
      <w:divBdr>
        <w:top w:val="none" w:sz="0" w:space="0" w:color="auto"/>
        <w:left w:val="none" w:sz="0" w:space="0" w:color="auto"/>
        <w:bottom w:val="none" w:sz="0" w:space="0" w:color="auto"/>
        <w:right w:val="none" w:sz="0" w:space="0" w:color="auto"/>
      </w:divBdr>
    </w:div>
    <w:div w:id="2091001615">
      <w:marLeft w:val="480"/>
      <w:marRight w:val="0"/>
      <w:marTop w:val="0"/>
      <w:marBottom w:val="0"/>
      <w:divBdr>
        <w:top w:val="none" w:sz="0" w:space="0" w:color="auto"/>
        <w:left w:val="none" w:sz="0" w:space="0" w:color="auto"/>
        <w:bottom w:val="none" w:sz="0" w:space="0" w:color="auto"/>
        <w:right w:val="none" w:sz="0" w:space="0" w:color="auto"/>
      </w:divBdr>
    </w:div>
    <w:div w:id="2091459461">
      <w:marLeft w:val="480"/>
      <w:marRight w:val="0"/>
      <w:marTop w:val="0"/>
      <w:marBottom w:val="0"/>
      <w:divBdr>
        <w:top w:val="none" w:sz="0" w:space="0" w:color="auto"/>
        <w:left w:val="none" w:sz="0" w:space="0" w:color="auto"/>
        <w:bottom w:val="none" w:sz="0" w:space="0" w:color="auto"/>
        <w:right w:val="none" w:sz="0" w:space="0" w:color="auto"/>
      </w:divBdr>
    </w:div>
    <w:div w:id="2092965339">
      <w:marLeft w:val="480"/>
      <w:marRight w:val="0"/>
      <w:marTop w:val="0"/>
      <w:marBottom w:val="0"/>
      <w:divBdr>
        <w:top w:val="none" w:sz="0" w:space="0" w:color="auto"/>
        <w:left w:val="none" w:sz="0" w:space="0" w:color="auto"/>
        <w:bottom w:val="none" w:sz="0" w:space="0" w:color="auto"/>
        <w:right w:val="none" w:sz="0" w:space="0" w:color="auto"/>
      </w:divBdr>
    </w:div>
    <w:div w:id="2092966913">
      <w:marLeft w:val="480"/>
      <w:marRight w:val="0"/>
      <w:marTop w:val="0"/>
      <w:marBottom w:val="0"/>
      <w:divBdr>
        <w:top w:val="none" w:sz="0" w:space="0" w:color="auto"/>
        <w:left w:val="none" w:sz="0" w:space="0" w:color="auto"/>
        <w:bottom w:val="none" w:sz="0" w:space="0" w:color="auto"/>
        <w:right w:val="none" w:sz="0" w:space="0" w:color="auto"/>
      </w:divBdr>
    </w:div>
    <w:div w:id="2093164758">
      <w:marLeft w:val="480"/>
      <w:marRight w:val="0"/>
      <w:marTop w:val="0"/>
      <w:marBottom w:val="0"/>
      <w:divBdr>
        <w:top w:val="none" w:sz="0" w:space="0" w:color="auto"/>
        <w:left w:val="none" w:sz="0" w:space="0" w:color="auto"/>
        <w:bottom w:val="none" w:sz="0" w:space="0" w:color="auto"/>
        <w:right w:val="none" w:sz="0" w:space="0" w:color="auto"/>
      </w:divBdr>
    </w:div>
    <w:div w:id="2094663977">
      <w:marLeft w:val="480"/>
      <w:marRight w:val="0"/>
      <w:marTop w:val="0"/>
      <w:marBottom w:val="0"/>
      <w:divBdr>
        <w:top w:val="none" w:sz="0" w:space="0" w:color="auto"/>
        <w:left w:val="none" w:sz="0" w:space="0" w:color="auto"/>
        <w:bottom w:val="none" w:sz="0" w:space="0" w:color="auto"/>
        <w:right w:val="none" w:sz="0" w:space="0" w:color="auto"/>
      </w:divBdr>
    </w:div>
    <w:div w:id="2095516431">
      <w:marLeft w:val="480"/>
      <w:marRight w:val="0"/>
      <w:marTop w:val="0"/>
      <w:marBottom w:val="0"/>
      <w:divBdr>
        <w:top w:val="none" w:sz="0" w:space="0" w:color="auto"/>
        <w:left w:val="none" w:sz="0" w:space="0" w:color="auto"/>
        <w:bottom w:val="none" w:sz="0" w:space="0" w:color="auto"/>
        <w:right w:val="none" w:sz="0" w:space="0" w:color="auto"/>
      </w:divBdr>
    </w:div>
    <w:div w:id="2096512502">
      <w:marLeft w:val="480"/>
      <w:marRight w:val="0"/>
      <w:marTop w:val="0"/>
      <w:marBottom w:val="0"/>
      <w:divBdr>
        <w:top w:val="none" w:sz="0" w:space="0" w:color="auto"/>
        <w:left w:val="none" w:sz="0" w:space="0" w:color="auto"/>
        <w:bottom w:val="none" w:sz="0" w:space="0" w:color="auto"/>
        <w:right w:val="none" w:sz="0" w:space="0" w:color="auto"/>
      </w:divBdr>
    </w:div>
    <w:div w:id="2096706527">
      <w:marLeft w:val="480"/>
      <w:marRight w:val="0"/>
      <w:marTop w:val="0"/>
      <w:marBottom w:val="0"/>
      <w:divBdr>
        <w:top w:val="none" w:sz="0" w:space="0" w:color="auto"/>
        <w:left w:val="none" w:sz="0" w:space="0" w:color="auto"/>
        <w:bottom w:val="none" w:sz="0" w:space="0" w:color="auto"/>
        <w:right w:val="none" w:sz="0" w:space="0" w:color="auto"/>
      </w:divBdr>
    </w:div>
    <w:div w:id="2101215579">
      <w:marLeft w:val="480"/>
      <w:marRight w:val="0"/>
      <w:marTop w:val="0"/>
      <w:marBottom w:val="0"/>
      <w:divBdr>
        <w:top w:val="none" w:sz="0" w:space="0" w:color="auto"/>
        <w:left w:val="none" w:sz="0" w:space="0" w:color="auto"/>
        <w:bottom w:val="none" w:sz="0" w:space="0" w:color="auto"/>
        <w:right w:val="none" w:sz="0" w:space="0" w:color="auto"/>
      </w:divBdr>
    </w:div>
    <w:div w:id="2103724211">
      <w:marLeft w:val="480"/>
      <w:marRight w:val="0"/>
      <w:marTop w:val="0"/>
      <w:marBottom w:val="0"/>
      <w:divBdr>
        <w:top w:val="none" w:sz="0" w:space="0" w:color="auto"/>
        <w:left w:val="none" w:sz="0" w:space="0" w:color="auto"/>
        <w:bottom w:val="none" w:sz="0" w:space="0" w:color="auto"/>
        <w:right w:val="none" w:sz="0" w:space="0" w:color="auto"/>
      </w:divBdr>
    </w:div>
    <w:div w:id="2107922635">
      <w:marLeft w:val="480"/>
      <w:marRight w:val="0"/>
      <w:marTop w:val="0"/>
      <w:marBottom w:val="0"/>
      <w:divBdr>
        <w:top w:val="none" w:sz="0" w:space="0" w:color="auto"/>
        <w:left w:val="none" w:sz="0" w:space="0" w:color="auto"/>
        <w:bottom w:val="none" w:sz="0" w:space="0" w:color="auto"/>
        <w:right w:val="none" w:sz="0" w:space="0" w:color="auto"/>
      </w:divBdr>
    </w:div>
    <w:div w:id="2108114711">
      <w:marLeft w:val="480"/>
      <w:marRight w:val="0"/>
      <w:marTop w:val="0"/>
      <w:marBottom w:val="0"/>
      <w:divBdr>
        <w:top w:val="none" w:sz="0" w:space="0" w:color="auto"/>
        <w:left w:val="none" w:sz="0" w:space="0" w:color="auto"/>
        <w:bottom w:val="none" w:sz="0" w:space="0" w:color="auto"/>
        <w:right w:val="none" w:sz="0" w:space="0" w:color="auto"/>
      </w:divBdr>
    </w:div>
    <w:div w:id="2108964750">
      <w:marLeft w:val="480"/>
      <w:marRight w:val="0"/>
      <w:marTop w:val="0"/>
      <w:marBottom w:val="0"/>
      <w:divBdr>
        <w:top w:val="none" w:sz="0" w:space="0" w:color="auto"/>
        <w:left w:val="none" w:sz="0" w:space="0" w:color="auto"/>
        <w:bottom w:val="none" w:sz="0" w:space="0" w:color="auto"/>
        <w:right w:val="none" w:sz="0" w:space="0" w:color="auto"/>
      </w:divBdr>
    </w:div>
    <w:div w:id="2111394234">
      <w:marLeft w:val="480"/>
      <w:marRight w:val="0"/>
      <w:marTop w:val="0"/>
      <w:marBottom w:val="0"/>
      <w:divBdr>
        <w:top w:val="none" w:sz="0" w:space="0" w:color="auto"/>
        <w:left w:val="none" w:sz="0" w:space="0" w:color="auto"/>
        <w:bottom w:val="none" w:sz="0" w:space="0" w:color="auto"/>
        <w:right w:val="none" w:sz="0" w:space="0" w:color="auto"/>
      </w:divBdr>
    </w:div>
    <w:div w:id="2114477179">
      <w:marLeft w:val="480"/>
      <w:marRight w:val="0"/>
      <w:marTop w:val="0"/>
      <w:marBottom w:val="0"/>
      <w:divBdr>
        <w:top w:val="none" w:sz="0" w:space="0" w:color="auto"/>
        <w:left w:val="none" w:sz="0" w:space="0" w:color="auto"/>
        <w:bottom w:val="none" w:sz="0" w:space="0" w:color="auto"/>
        <w:right w:val="none" w:sz="0" w:space="0" w:color="auto"/>
      </w:divBdr>
    </w:div>
    <w:div w:id="2116292650">
      <w:marLeft w:val="480"/>
      <w:marRight w:val="0"/>
      <w:marTop w:val="0"/>
      <w:marBottom w:val="0"/>
      <w:divBdr>
        <w:top w:val="none" w:sz="0" w:space="0" w:color="auto"/>
        <w:left w:val="none" w:sz="0" w:space="0" w:color="auto"/>
        <w:bottom w:val="none" w:sz="0" w:space="0" w:color="auto"/>
        <w:right w:val="none" w:sz="0" w:space="0" w:color="auto"/>
      </w:divBdr>
    </w:div>
    <w:div w:id="2116706917">
      <w:marLeft w:val="480"/>
      <w:marRight w:val="0"/>
      <w:marTop w:val="0"/>
      <w:marBottom w:val="0"/>
      <w:divBdr>
        <w:top w:val="none" w:sz="0" w:space="0" w:color="auto"/>
        <w:left w:val="none" w:sz="0" w:space="0" w:color="auto"/>
        <w:bottom w:val="none" w:sz="0" w:space="0" w:color="auto"/>
        <w:right w:val="none" w:sz="0" w:space="0" w:color="auto"/>
      </w:divBdr>
    </w:div>
    <w:div w:id="2117434150">
      <w:marLeft w:val="480"/>
      <w:marRight w:val="0"/>
      <w:marTop w:val="0"/>
      <w:marBottom w:val="0"/>
      <w:divBdr>
        <w:top w:val="none" w:sz="0" w:space="0" w:color="auto"/>
        <w:left w:val="none" w:sz="0" w:space="0" w:color="auto"/>
        <w:bottom w:val="none" w:sz="0" w:space="0" w:color="auto"/>
        <w:right w:val="none" w:sz="0" w:space="0" w:color="auto"/>
      </w:divBdr>
    </w:div>
    <w:div w:id="2120950078">
      <w:marLeft w:val="480"/>
      <w:marRight w:val="0"/>
      <w:marTop w:val="0"/>
      <w:marBottom w:val="0"/>
      <w:divBdr>
        <w:top w:val="none" w:sz="0" w:space="0" w:color="auto"/>
        <w:left w:val="none" w:sz="0" w:space="0" w:color="auto"/>
        <w:bottom w:val="none" w:sz="0" w:space="0" w:color="auto"/>
        <w:right w:val="none" w:sz="0" w:space="0" w:color="auto"/>
      </w:divBdr>
    </w:div>
    <w:div w:id="2121794988">
      <w:marLeft w:val="480"/>
      <w:marRight w:val="0"/>
      <w:marTop w:val="0"/>
      <w:marBottom w:val="0"/>
      <w:divBdr>
        <w:top w:val="none" w:sz="0" w:space="0" w:color="auto"/>
        <w:left w:val="none" w:sz="0" w:space="0" w:color="auto"/>
        <w:bottom w:val="none" w:sz="0" w:space="0" w:color="auto"/>
        <w:right w:val="none" w:sz="0" w:space="0" w:color="auto"/>
      </w:divBdr>
    </w:div>
    <w:div w:id="2122140039">
      <w:marLeft w:val="480"/>
      <w:marRight w:val="0"/>
      <w:marTop w:val="0"/>
      <w:marBottom w:val="0"/>
      <w:divBdr>
        <w:top w:val="none" w:sz="0" w:space="0" w:color="auto"/>
        <w:left w:val="none" w:sz="0" w:space="0" w:color="auto"/>
        <w:bottom w:val="none" w:sz="0" w:space="0" w:color="auto"/>
        <w:right w:val="none" w:sz="0" w:space="0" w:color="auto"/>
      </w:divBdr>
    </w:div>
    <w:div w:id="2122603917">
      <w:marLeft w:val="480"/>
      <w:marRight w:val="0"/>
      <w:marTop w:val="0"/>
      <w:marBottom w:val="0"/>
      <w:divBdr>
        <w:top w:val="none" w:sz="0" w:space="0" w:color="auto"/>
        <w:left w:val="none" w:sz="0" w:space="0" w:color="auto"/>
        <w:bottom w:val="none" w:sz="0" w:space="0" w:color="auto"/>
        <w:right w:val="none" w:sz="0" w:space="0" w:color="auto"/>
      </w:divBdr>
    </w:div>
    <w:div w:id="2126537185">
      <w:marLeft w:val="480"/>
      <w:marRight w:val="0"/>
      <w:marTop w:val="0"/>
      <w:marBottom w:val="0"/>
      <w:divBdr>
        <w:top w:val="none" w:sz="0" w:space="0" w:color="auto"/>
        <w:left w:val="none" w:sz="0" w:space="0" w:color="auto"/>
        <w:bottom w:val="none" w:sz="0" w:space="0" w:color="auto"/>
        <w:right w:val="none" w:sz="0" w:space="0" w:color="auto"/>
      </w:divBdr>
    </w:div>
    <w:div w:id="2126537191">
      <w:marLeft w:val="480"/>
      <w:marRight w:val="0"/>
      <w:marTop w:val="0"/>
      <w:marBottom w:val="0"/>
      <w:divBdr>
        <w:top w:val="none" w:sz="0" w:space="0" w:color="auto"/>
        <w:left w:val="none" w:sz="0" w:space="0" w:color="auto"/>
        <w:bottom w:val="none" w:sz="0" w:space="0" w:color="auto"/>
        <w:right w:val="none" w:sz="0" w:space="0" w:color="auto"/>
      </w:divBdr>
    </w:div>
    <w:div w:id="2127966148">
      <w:bodyDiv w:val="1"/>
      <w:marLeft w:val="0"/>
      <w:marRight w:val="0"/>
      <w:marTop w:val="0"/>
      <w:marBottom w:val="0"/>
      <w:divBdr>
        <w:top w:val="none" w:sz="0" w:space="0" w:color="auto"/>
        <w:left w:val="none" w:sz="0" w:space="0" w:color="auto"/>
        <w:bottom w:val="none" w:sz="0" w:space="0" w:color="auto"/>
        <w:right w:val="none" w:sz="0" w:space="0" w:color="auto"/>
      </w:divBdr>
    </w:div>
    <w:div w:id="2128696805">
      <w:marLeft w:val="480"/>
      <w:marRight w:val="0"/>
      <w:marTop w:val="0"/>
      <w:marBottom w:val="0"/>
      <w:divBdr>
        <w:top w:val="none" w:sz="0" w:space="0" w:color="auto"/>
        <w:left w:val="none" w:sz="0" w:space="0" w:color="auto"/>
        <w:bottom w:val="none" w:sz="0" w:space="0" w:color="auto"/>
        <w:right w:val="none" w:sz="0" w:space="0" w:color="auto"/>
      </w:divBdr>
    </w:div>
    <w:div w:id="2132165844">
      <w:marLeft w:val="480"/>
      <w:marRight w:val="0"/>
      <w:marTop w:val="0"/>
      <w:marBottom w:val="0"/>
      <w:divBdr>
        <w:top w:val="none" w:sz="0" w:space="0" w:color="auto"/>
        <w:left w:val="none" w:sz="0" w:space="0" w:color="auto"/>
        <w:bottom w:val="none" w:sz="0" w:space="0" w:color="auto"/>
        <w:right w:val="none" w:sz="0" w:space="0" w:color="auto"/>
      </w:divBdr>
    </w:div>
    <w:div w:id="2133937671">
      <w:marLeft w:val="480"/>
      <w:marRight w:val="0"/>
      <w:marTop w:val="0"/>
      <w:marBottom w:val="0"/>
      <w:divBdr>
        <w:top w:val="none" w:sz="0" w:space="0" w:color="auto"/>
        <w:left w:val="none" w:sz="0" w:space="0" w:color="auto"/>
        <w:bottom w:val="none" w:sz="0" w:space="0" w:color="auto"/>
        <w:right w:val="none" w:sz="0" w:space="0" w:color="auto"/>
      </w:divBdr>
    </w:div>
    <w:div w:id="2134327531">
      <w:marLeft w:val="480"/>
      <w:marRight w:val="0"/>
      <w:marTop w:val="0"/>
      <w:marBottom w:val="0"/>
      <w:divBdr>
        <w:top w:val="none" w:sz="0" w:space="0" w:color="auto"/>
        <w:left w:val="none" w:sz="0" w:space="0" w:color="auto"/>
        <w:bottom w:val="none" w:sz="0" w:space="0" w:color="auto"/>
        <w:right w:val="none" w:sz="0" w:space="0" w:color="auto"/>
      </w:divBdr>
    </w:div>
    <w:div w:id="2134594908">
      <w:marLeft w:val="480"/>
      <w:marRight w:val="0"/>
      <w:marTop w:val="0"/>
      <w:marBottom w:val="0"/>
      <w:divBdr>
        <w:top w:val="none" w:sz="0" w:space="0" w:color="auto"/>
        <w:left w:val="none" w:sz="0" w:space="0" w:color="auto"/>
        <w:bottom w:val="none" w:sz="0" w:space="0" w:color="auto"/>
        <w:right w:val="none" w:sz="0" w:space="0" w:color="auto"/>
      </w:divBdr>
    </w:div>
    <w:div w:id="2135444135">
      <w:marLeft w:val="480"/>
      <w:marRight w:val="0"/>
      <w:marTop w:val="0"/>
      <w:marBottom w:val="0"/>
      <w:divBdr>
        <w:top w:val="none" w:sz="0" w:space="0" w:color="auto"/>
        <w:left w:val="none" w:sz="0" w:space="0" w:color="auto"/>
        <w:bottom w:val="none" w:sz="0" w:space="0" w:color="auto"/>
        <w:right w:val="none" w:sz="0" w:space="0" w:color="auto"/>
      </w:divBdr>
    </w:div>
    <w:div w:id="2135753967">
      <w:marLeft w:val="480"/>
      <w:marRight w:val="0"/>
      <w:marTop w:val="0"/>
      <w:marBottom w:val="0"/>
      <w:divBdr>
        <w:top w:val="none" w:sz="0" w:space="0" w:color="auto"/>
        <w:left w:val="none" w:sz="0" w:space="0" w:color="auto"/>
        <w:bottom w:val="none" w:sz="0" w:space="0" w:color="auto"/>
        <w:right w:val="none" w:sz="0" w:space="0" w:color="auto"/>
      </w:divBdr>
    </w:div>
    <w:div w:id="2136411104">
      <w:marLeft w:val="480"/>
      <w:marRight w:val="0"/>
      <w:marTop w:val="0"/>
      <w:marBottom w:val="0"/>
      <w:divBdr>
        <w:top w:val="none" w:sz="0" w:space="0" w:color="auto"/>
        <w:left w:val="none" w:sz="0" w:space="0" w:color="auto"/>
        <w:bottom w:val="none" w:sz="0" w:space="0" w:color="auto"/>
        <w:right w:val="none" w:sz="0" w:space="0" w:color="auto"/>
      </w:divBdr>
    </w:div>
    <w:div w:id="2139298451">
      <w:marLeft w:val="480"/>
      <w:marRight w:val="0"/>
      <w:marTop w:val="0"/>
      <w:marBottom w:val="0"/>
      <w:divBdr>
        <w:top w:val="none" w:sz="0" w:space="0" w:color="auto"/>
        <w:left w:val="none" w:sz="0" w:space="0" w:color="auto"/>
        <w:bottom w:val="none" w:sz="0" w:space="0" w:color="auto"/>
        <w:right w:val="none" w:sz="0" w:space="0" w:color="auto"/>
      </w:divBdr>
    </w:div>
    <w:div w:id="2139831133">
      <w:marLeft w:val="480"/>
      <w:marRight w:val="0"/>
      <w:marTop w:val="0"/>
      <w:marBottom w:val="0"/>
      <w:divBdr>
        <w:top w:val="none" w:sz="0" w:space="0" w:color="auto"/>
        <w:left w:val="none" w:sz="0" w:space="0" w:color="auto"/>
        <w:bottom w:val="none" w:sz="0" w:space="0" w:color="auto"/>
        <w:right w:val="none" w:sz="0" w:space="0" w:color="auto"/>
      </w:divBdr>
    </w:div>
    <w:div w:id="2142533215">
      <w:marLeft w:val="480"/>
      <w:marRight w:val="0"/>
      <w:marTop w:val="0"/>
      <w:marBottom w:val="0"/>
      <w:divBdr>
        <w:top w:val="none" w:sz="0" w:space="0" w:color="auto"/>
        <w:left w:val="none" w:sz="0" w:space="0" w:color="auto"/>
        <w:bottom w:val="none" w:sz="0" w:space="0" w:color="auto"/>
        <w:right w:val="none" w:sz="0" w:space="0" w:color="auto"/>
      </w:divBdr>
    </w:div>
    <w:div w:id="2143229653">
      <w:marLeft w:val="480"/>
      <w:marRight w:val="0"/>
      <w:marTop w:val="0"/>
      <w:marBottom w:val="0"/>
      <w:divBdr>
        <w:top w:val="none" w:sz="0" w:space="0" w:color="auto"/>
        <w:left w:val="none" w:sz="0" w:space="0" w:color="auto"/>
        <w:bottom w:val="none" w:sz="0" w:space="0" w:color="auto"/>
        <w:right w:val="none" w:sz="0" w:space="0" w:color="auto"/>
      </w:divBdr>
    </w:div>
    <w:div w:id="2144107598">
      <w:marLeft w:val="480"/>
      <w:marRight w:val="0"/>
      <w:marTop w:val="0"/>
      <w:marBottom w:val="0"/>
      <w:divBdr>
        <w:top w:val="none" w:sz="0" w:space="0" w:color="auto"/>
        <w:left w:val="none" w:sz="0" w:space="0" w:color="auto"/>
        <w:bottom w:val="none" w:sz="0" w:space="0" w:color="auto"/>
        <w:right w:val="none" w:sz="0" w:space="0" w:color="auto"/>
      </w:divBdr>
    </w:div>
    <w:div w:id="2144881247">
      <w:marLeft w:val="480"/>
      <w:marRight w:val="0"/>
      <w:marTop w:val="0"/>
      <w:marBottom w:val="0"/>
      <w:divBdr>
        <w:top w:val="none" w:sz="0" w:space="0" w:color="auto"/>
        <w:left w:val="none" w:sz="0" w:space="0" w:color="auto"/>
        <w:bottom w:val="none" w:sz="0" w:space="0" w:color="auto"/>
        <w:right w:val="none" w:sz="0" w:space="0" w:color="auto"/>
      </w:divBdr>
    </w:div>
    <w:div w:id="2145267721">
      <w:marLeft w:val="480"/>
      <w:marRight w:val="0"/>
      <w:marTop w:val="0"/>
      <w:marBottom w:val="0"/>
      <w:divBdr>
        <w:top w:val="none" w:sz="0" w:space="0" w:color="auto"/>
        <w:left w:val="none" w:sz="0" w:space="0" w:color="auto"/>
        <w:bottom w:val="none" w:sz="0" w:space="0" w:color="auto"/>
        <w:right w:val="none" w:sz="0" w:space="0" w:color="auto"/>
      </w:divBdr>
    </w:div>
    <w:div w:id="2146845770">
      <w:marLeft w:val="48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3.bin"/><Relationship Id="rId21" Type="http://schemas.openxmlformats.org/officeDocument/2006/relationships/oleObject" Target="embeddings/oleObject5.bin"/><Relationship Id="rId42" Type="http://schemas.openxmlformats.org/officeDocument/2006/relationships/image" Target="media/image16.wmf"/><Relationship Id="rId63" Type="http://schemas.openxmlformats.org/officeDocument/2006/relationships/oleObject" Target="embeddings/oleObject26.bin"/><Relationship Id="rId84" Type="http://schemas.openxmlformats.org/officeDocument/2006/relationships/image" Target="media/image37.wmf"/><Relationship Id="rId138" Type="http://schemas.openxmlformats.org/officeDocument/2006/relationships/hyperlink" Target="https://doi.org/10.1016/j.cities.2024.104842" TargetMode="External"/><Relationship Id="rId159" Type="http://schemas.openxmlformats.org/officeDocument/2006/relationships/hyperlink" Target="https://doi.org/10.1016/S2542-5196(24)00201-8" TargetMode="External"/><Relationship Id="rId170" Type="http://schemas.openxmlformats.org/officeDocument/2006/relationships/hyperlink" Target="https://doi.org/10.1016/j.ypmed.2007.07.010" TargetMode="External"/><Relationship Id="rId191" Type="http://schemas.openxmlformats.org/officeDocument/2006/relationships/hyperlink" Target="https://doi.org/10.1186/s12966-019-0856-8" TargetMode="External"/><Relationship Id="rId205" Type="http://schemas.openxmlformats.org/officeDocument/2006/relationships/hyperlink" Target="https://doi.org/10.1073/pnas.2422334122" TargetMode="External"/><Relationship Id="rId226" Type="http://schemas.openxmlformats.org/officeDocument/2006/relationships/hyperlink" Target="https://doi.org/10.1016/j.tra.2020.07.009" TargetMode="External"/><Relationship Id="rId247" Type="http://schemas.openxmlformats.org/officeDocument/2006/relationships/hyperlink" Target="https://www.who.int/publications/i/item/9789241565042" TargetMode="External"/><Relationship Id="rId107" Type="http://schemas.openxmlformats.org/officeDocument/2006/relationships/oleObject" Target="embeddings/oleObject48.bin"/><Relationship Id="rId11" Type="http://schemas.openxmlformats.org/officeDocument/2006/relationships/footer" Target="footer1.xml"/><Relationship Id="rId32" Type="http://schemas.openxmlformats.org/officeDocument/2006/relationships/image" Target="media/image11.wmf"/><Relationship Id="rId53" Type="http://schemas.openxmlformats.org/officeDocument/2006/relationships/oleObject" Target="embeddings/oleObject21.bin"/><Relationship Id="rId74" Type="http://schemas.openxmlformats.org/officeDocument/2006/relationships/image" Target="media/image32.wmf"/><Relationship Id="rId128" Type="http://schemas.openxmlformats.org/officeDocument/2006/relationships/hyperlink" Target="https://doi.org/10.1016/j.jth.2024.101772" TargetMode="External"/><Relationship Id="rId149" Type="http://schemas.openxmlformats.org/officeDocument/2006/relationships/hyperlink" Target="https://doi.org/10.1016/j.tra.2024.104065" TargetMode="External"/><Relationship Id="rId5" Type="http://schemas.openxmlformats.org/officeDocument/2006/relationships/webSettings" Target="webSettings.xml"/><Relationship Id="rId95" Type="http://schemas.openxmlformats.org/officeDocument/2006/relationships/oleObject" Target="embeddings/oleObject42.bin"/><Relationship Id="rId160" Type="http://schemas.openxmlformats.org/officeDocument/2006/relationships/hyperlink" Target="https://doi.org/10.1016/j.jth.2017.02.001" TargetMode="External"/><Relationship Id="rId181" Type="http://schemas.openxmlformats.org/officeDocument/2006/relationships/hyperlink" Target="https://doi.org/10.1177/08901171241254940" TargetMode="External"/><Relationship Id="rId216" Type="http://schemas.openxmlformats.org/officeDocument/2006/relationships/hyperlink" Target="https://doi.org/10.1016/j.jth.2020.100820" TargetMode="External"/><Relationship Id="rId237" Type="http://schemas.openxmlformats.org/officeDocument/2006/relationships/hyperlink" Target="https://doi.org/10.1186/1479-5868-9-85" TargetMode="External"/><Relationship Id="rId22" Type="http://schemas.openxmlformats.org/officeDocument/2006/relationships/image" Target="media/image6.wmf"/><Relationship Id="rId43" Type="http://schemas.openxmlformats.org/officeDocument/2006/relationships/oleObject" Target="embeddings/oleObject16.bin"/><Relationship Id="rId64" Type="http://schemas.openxmlformats.org/officeDocument/2006/relationships/image" Target="media/image27.wmf"/><Relationship Id="rId118" Type="http://schemas.openxmlformats.org/officeDocument/2006/relationships/image" Target="media/image54.wmf"/><Relationship Id="rId139" Type="http://schemas.openxmlformats.org/officeDocument/2006/relationships/hyperlink" Target="https://doi.org/10.1175/WCAS-D-13-00066.1" TargetMode="External"/><Relationship Id="rId85" Type="http://schemas.openxmlformats.org/officeDocument/2006/relationships/oleObject" Target="embeddings/oleObject37.bin"/><Relationship Id="rId150" Type="http://schemas.openxmlformats.org/officeDocument/2006/relationships/hyperlink" Target="https://doi.org/10.3390/ijerph18168398" TargetMode="External"/><Relationship Id="rId171" Type="http://schemas.openxmlformats.org/officeDocument/2006/relationships/hyperlink" Target="https://doi.org/10.1016/j.trd.2023.103847" TargetMode="External"/><Relationship Id="rId192" Type="http://schemas.openxmlformats.org/officeDocument/2006/relationships/hyperlink" Target="https://doi.org/10.1289/ehp.1409466" TargetMode="External"/><Relationship Id="rId206" Type="http://schemas.openxmlformats.org/officeDocument/2006/relationships/hyperlink" Target="https://doi.org/10.1016/j.jtrangeo.2017.09.016" TargetMode="External"/><Relationship Id="rId227" Type="http://schemas.openxmlformats.org/officeDocument/2006/relationships/hyperlink" Target="https://doi.org/10.1177/03611981221086646" TargetMode="External"/><Relationship Id="rId248" Type="http://schemas.openxmlformats.org/officeDocument/2006/relationships/hyperlink" Target="https://www.who.int/publications/i/item/9789240015128" TargetMode="External"/><Relationship Id="rId12" Type="http://schemas.openxmlformats.org/officeDocument/2006/relationships/image" Target="media/image1.wmf"/><Relationship Id="rId33" Type="http://schemas.openxmlformats.org/officeDocument/2006/relationships/oleObject" Target="embeddings/oleObject11.bin"/><Relationship Id="rId108" Type="http://schemas.openxmlformats.org/officeDocument/2006/relationships/image" Target="media/image49.wmf"/><Relationship Id="rId129" Type="http://schemas.openxmlformats.org/officeDocument/2006/relationships/hyperlink" Target="https://doi.org/10.3390/jfmk9030125" TargetMode="External"/><Relationship Id="rId54" Type="http://schemas.openxmlformats.org/officeDocument/2006/relationships/image" Target="media/image22.wmf"/><Relationship Id="rId75" Type="http://schemas.openxmlformats.org/officeDocument/2006/relationships/oleObject" Target="embeddings/oleObject32.bin"/><Relationship Id="rId96" Type="http://schemas.openxmlformats.org/officeDocument/2006/relationships/image" Target="media/image43.wmf"/><Relationship Id="rId140" Type="http://schemas.openxmlformats.org/officeDocument/2006/relationships/hyperlink" Target="https://doi.org/10.1073/pnas.1718503115" TargetMode="External"/><Relationship Id="rId161" Type="http://schemas.openxmlformats.org/officeDocument/2006/relationships/hyperlink" Target="https://doi.org/10.3390/safety9040075" TargetMode="External"/><Relationship Id="rId182" Type="http://schemas.openxmlformats.org/officeDocument/2006/relationships/hyperlink" Target="https://doi.org/10.1080/01441640903187001" TargetMode="External"/><Relationship Id="rId217" Type="http://schemas.openxmlformats.org/officeDocument/2006/relationships/hyperlink" Target="https://doi.org/10.1016/j.jtrangeo.2019.05.006" TargetMode="External"/><Relationship Id="rId6" Type="http://schemas.openxmlformats.org/officeDocument/2006/relationships/footnotes" Target="footnotes.xml"/><Relationship Id="rId238" Type="http://schemas.openxmlformats.org/officeDocument/2006/relationships/hyperlink" Target="https://doi.org/10.1016/j.tbs.2021.11.002" TargetMode="External"/><Relationship Id="rId23" Type="http://schemas.openxmlformats.org/officeDocument/2006/relationships/oleObject" Target="embeddings/oleObject6.bin"/><Relationship Id="rId119" Type="http://schemas.openxmlformats.org/officeDocument/2006/relationships/oleObject" Target="embeddings/oleObject54.bin"/><Relationship Id="rId44" Type="http://schemas.openxmlformats.org/officeDocument/2006/relationships/image" Target="media/image17.wmf"/><Relationship Id="rId65" Type="http://schemas.openxmlformats.org/officeDocument/2006/relationships/oleObject" Target="embeddings/oleObject27.bin"/><Relationship Id="rId86" Type="http://schemas.openxmlformats.org/officeDocument/2006/relationships/image" Target="media/image38.wmf"/><Relationship Id="rId130" Type="http://schemas.openxmlformats.org/officeDocument/2006/relationships/hyperlink" Target="https://doi.org/10.1093/geront/gnw031" TargetMode="External"/><Relationship Id="rId151" Type="http://schemas.openxmlformats.org/officeDocument/2006/relationships/hyperlink" Target="https://doi.org/10.1016/j.trd.2020.102396" TargetMode="External"/><Relationship Id="rId172" Type="http://schemas.openxmlformats.org/officeDocument/2006/relationships/hyperlink" Target="https://doi.org/10.1016/j.trd.2023.103627" TargetMode="External"/><Relationship Id="rId193" Type="http://schemas.openxmlformats.org/officeDocument/2006/relationships/hyperlink" Target="https://doi.org/10.1123/japa.2020-0091" TargetMode="External"/><Relationship Id="rId207" Type="http://schemas.openxmlformats.org/officeDocument/2006/relationships/hyperlink" Target="https://doi.org/10.2105/AJPH.2011.300528" TargetMode="External"/><Relationship Id="rId228" Type="http://schemas.openxmlformats.org/officeDocument/2006/relationships/hyperlink" Target="https://doi.org/10.3368/jhr.50.2.301" TargetMode="External"/><Relationship Id="rId249" Type="http://schemas.openxmlformats.org/officeDocument/2006/relationships/hyperlink" Target="https://doi.org/10.1038/s44284-025-00267-1" TargetMode="External"/><Relationship Id="rId13" Type="http://schemas.openxmlformats.org/officeDocument/2006/relationships/oleObject" Target="embeddings/oleObject1.bin"/><Relationship Id="rId109" Type="http://schemas.openxmlformats.org/officeDocument/2006/relationships/oleObject" Target="embeddings/oleObject49.bin"/><Relationship Id="rId34" Type="http://schemas.openxmlformats.org/officeDocument/2006/relationships/image" Target="media/image12.wmf"/><Relationship Id="rId55" Type="http://schemas.openxmlformats.org/officeDocument/2006/relationships/oleObject" Target="embeddings/oleObject22.bin"/><Relationship Id="rId76" Type="http://schemas.openxmlformats.org/officeDocument/2006/relationships/image" Target="media/image33.wmf"/><Relationship Id="rId97" Type="http://schemas.openxmlformats.org/officeDocument/2006/relationships/oleObject" Target="embeddings/oleObject43.bin"/><Relationship Id="rId120" Type="http://schemas.openxmlformats.org/officeDocument/2006/relationships/footer" Target="footer2.xml"/><Relationship Id="rId141" Type="http://schemas.openxmlformats.org/officeDocument/2006/relationships/hyperlink" Target="https://doi.org/10.1016/j.gloenvcha.2021.102224" TargetMode="External"/><Relationship Id="rId7" Type="http://schemas.openxmlformats.org/officeDocument/2006/relationships/endnotes" Target="endnotes.xml"/><Relationship Id="rId162" Type="http://schemas.openxmlformats.org/officeDocument/2006/relationships/hyperlink" Target="https://doi.org/10.1016/j.ssci.2015.07.017" TargetMode="External"/><Relationship Id="rId183" Type="http://schemas.openxmlformats.org/officeDocument/2006/relationships/hyperlink" Target="https://doi.org/10.1016/j.jsr.2023.11.004" TargetMode="External"/><Relationship Id="rId218" Type="http://schemas.openxmlformats.org/officeDocument/2006/relationships/hyperlink" Target="https://doi.org/10.2105/AJPH.2010.300067" TargetMode="External"/><Relationship Id="rId239" Type="http://schemas.openxmlformats.org/officeDocument/2006/relationships/hyperlink" Target="https://doi.org/10.1016/j.ufug.2020.126768" TargetMode="External"/><Relationship Id="rId250" Type="http://schemas.openxmlformats.org/officeDocument/2006/relationships/hyperlink" Target="https://doi.org/10.5888/pcd22.240394" TargetMode="External"/><Relationship Id="rId24" Type="http://schemas.openxmlformats.org/officeDocument/2006/relationships/image" Target="media/image7.wmf"/><Relationship Id="rId45" Type="http://schemas.openxmlformats.org/officeDocument/2006/relationships/oleObject" Target="embeddings/oleObject17.bin"/><Relationship Id="rId66" Type="http://schemas.openxmlformats.org/officeDocument/2006/relationships/image" Target="media/image28.wmf"/><Relationship Id="rId87" Type="http://schemas.openxmlformats.org/officeDocument/2006/relationships/oleObject" Target="embeddings/oleObject38.bin"/><Relationship Id="rId110" Type="http://schemas.openxmlformats.org/officeDocument/2006/relationships/image" Target="media/image50.wmf"/><Relationship Id="rId131" Type="http://schemas.openxmlformats.org/officeDocument/2006/relationships/hyperlink" Target="https://doi.org/10.1016/j.aap.2026.108465" TargetMode="External"/><Relationship Id="rId152" Type="http://schemas.openxmlformats.org/officeDocument/2006/relationships/hyperlink" Target="https://doi.org/10.1016/j.socscimed.2009.01.008" TargetMode="External"/><Relationship Id="rId173" Type="http://schemas.openxmlformats.org/officeDocument/2006/relationships/hyperlink" Target="https://doi.org/10.1016/j.trf.2015.06.002" TargetMode="External"/><Relationship Id="rId194" Type="http://schemas.openxmlformats.org/officeDocument/2006/relationships/hyperlink" Target="https://doi.org/10.1016/j.retrec.2018.06.002" TargetMode="External"/><Relationship Id="rId208" Type="http://schemas.openxmlformats.org/officeDocument/2006/relationships/hyperlink" Target="https://doi.org/10.1016/j.trip.2025.101825" TargetMode="External"/><Relationship Id="rId229" Type="http://schemas.openxmlformats.org/officeDocument/2006/relationships/hyperlink" Target="https://doi.org/10.1016/j.pmedr.2022.102003" TargetMode="External"/><Relationship Id="rId240" Type="http://schemas.openxmlformats.org/officeDocument/2006/relationships/hyperlink" Target="https://doi.org/10.1016/j.jtrangeo.2017.10.022" TargetMode="External"/><Relationship Id="rId14" Type="http://schemas.openxmlformats.org/officeDocument/2006/relationships/image" Target="media/image2.wmf"/><Relationship Id="rId35" Type="http://schemas.openxmlformats.org/officeDocument/2006/relationships/oleObject" Target="embeddings/oleObject12.bin"/><Relationship Id="rId56" Type="http://schemas.openxmlformats.org/officeDocument/2006/relationships/image" Target="media/image23.wmf"/><Relationship Id="rId77" Type="http://schemas.openxmlformats.org/officeDocument/2006/relationships/oleObject" Target="embeddings/oleObject33.bin"/><Relationship Id="rId100" Type="http://schemas.openxmlformats.org/officeDocument/2006/relationships/image" Target="media/image45.wmf"/><Relationship Id="rId8" Type="http://schemas.openxmlformats.org/officeDocument/2006/relationships/hyperlink" Target="mailto:ih6446@my.utexas.edu" TargetMode="External"/><Relationship Id="rId98" Type="http://schemas.openxmlformats.org/officeDocument/2006/relationships/image" Target="media/image44.wmf"/><Relationship Id="rId121" Type="http://schemas.openxmlformats.org/officeDocument/2006/relationships/image" Target="media/image55.wmf"/><Relationship Id="rId142" Type="http://schemas.openxmlformats.org/officeDocument/2006/relationships/hyperlink" Target="https://doi.org/10.3310/phr09040" TargetMode="External"/><Relationship Id="rId163" Type="http://schemas.openxmlformats.org/officeDocument/2006/relationships/hyperlink" Target="https://doi.org/10.1186/1479-5868-9-146" TargetMode="External"/><Relationship Id="rId184" Type="http://schemas.openxmlformats.org/officeDocument/2006/relationships/hyperlink" Target="https://doi.org/10.1177/00420980231172313" TargetMode="External"/><Relationship Id="rId219" Type="http://schemas.openxmlformats.org/officeDocument/2006/relationships/hyperlink" Target="https://doi.org/10.1016/j.tra.2020.02.014" TargetMode="External"/><Relationship Id="rId230" Type="http://schemas.openxmlformats.org/officeDocument/2006/relationships/hyperlink" Target="https://doi.org/10.1016/j.erss.2017.12.005" TargetMode="External"/><Relationship Id="rId251" Type="http://schemas.openxmlformats.org/officeDocument/2006/relationships/fontTable" Target="fontTable.xml"/><Relationship Id="rId25" Type="http://schemas.openxmlformats.org/officeDocument/2006/relationships/oleObject" Target="embeddings/oleObject7.bin"/><Relationship Id="rId46" Type="http://schemas.openxmlformats.org/officeDocument/2006/relationships/image" Target="media/image18.wmf"/><Relationship Id="rId67" Type="http://schemas.openxmlformats.org/officeDocument/2006/relationships/oleObject" Target="embeddings/oleObject28.bin"/><Relationship Id="rId88" Type="http://schemas.openxmlformats.org/officeDocument/2006/relationships/image" Target="media/image39.wmf"/><Relationship Id="rId111" Type="http://schemas.openxmlformats.org/officeDocument/2006/relationships/oleObject" Target="embeddings/oleObject50.bin"/><Relationship Id="rId132" Type="http://schemas.openxmlformats.org/officeDocument/2006/relationships/hyperlink" Target="https://doi.org/10.1111/jors.12764" TargetMode="External"/><Relationship Id="rId153" Type="http://schemas.openxmlformats.org/officeDocument/2006/relationships/hyperlink" Target="https://doi.org/10.1186/s12966-017-0471-5" TargetMode="External"/><Relationship Id="rId174" Type="http://schemas.openxmlformats.org/officeDocument/2006/relationships/hyperlink" Target="https://doi.org/10.1016/j.jtrangeo.2022.103340" TargetMode="External"/><Relationship Id="rId195" Type="http://schemas.openxmlformats.org/officeDocument/2006/relationships/hyperlink" Target="https://doi.org/10.1016/j.landurbplan.2022.104676" TargetMode="External"/><Relationship Id="rId209" Type="http://schemas.openxmlformats.org/officeDocument/2006/relationships/hyperlink" Target="https://doi.org/10.1016/j.tra.2018.08.022" TargetMode="External"/><Relationship Id="rId220" Type="http://schemas.openxmlformats.org/officeDocument/2006/relationships/hyperlink" Target="https://doi.org/10.1016/j.jtrangeo.2020.102813" TargetMode="External"/><Relationship Id="rId241" Type="http://schemas.openxmlformats.org/officeDocument/2006/relationships/hyperlink" Target="https://doi.org/10.1007/s11116-021-10252-x" TargetMode="External"/><Relationship Id="rId15" Type="http://schemas.openxmlformats.org/officeDocument/2006/relationships/oleObject" Target="embeddings/oleObject2.bin"/><Relationship Id="rId36" Type="http://schemas.openxmlformats.org/officeDocument/2006/relationships/image" Target="media/image13.wmf"/><Relationship Id="rId57" Type="http://schemas.openxmlformats.org/officeDocument/2006/relationships/oleObject" Target="embeddings/oleObject23.bin"/><Relationship Id="rId78" Type="http://schemas.openxmlformats.org/officeDocument/2006/relationships/image" Target="media/image34.wmf"/><Relationship Id="rId99" Type="http://schemas.openxmlformats.org/officeDocument/2006/relationships/oleObject" Target="embeddings/oleObject44.bin"/><Relationship Id="rId101" Type="http://schemas.openxmlformats.org/officeDocument/2006/relationships/oleObject" Target="embeddings/oleObject45.bin"/><Relationship Id="rId122" Type="http://schemas.openxmlformats.org/officeDocument/2006/relationships/oleObject" Target="embeddings/oleObject55.bin"/><Relationship Id="rId143" Type="http://schemas.openxmlformats.org/officeDocument/2006/relationships/hyperlink" Target="https://rosap.ntl.bts.gov/view/dot/73764" TargetMode="External"/><Relationship Id="rId164" Type="http://schemas.openxmlformats.org/officeDocument/2006/relationships/hyperlink" Target="https://doi.org/10.1080/01944361003766766" TargetMode="External"/><Relationship Id="rId185" Type="http://schemas.openxmlformats.org/officeDocument/2006/relationships/hyperlink" Target="https://doi.org/10.1016/j.jth.2025.102161" TargetMode="External"/><Relationship Id="rId9" Type="http://schemas.openxmlformats.org/officeDocument/2006/relationships/hyperlink" Target="mailto:dar4836@utexas.edu" TargetMode="External"/><Relationship Id="rId210" Type="http://schemas.openxmlformats.org/officeDocument/2006/relationships/hyperlink" Target="https://nabsa.net/2025/08/07/2024industryreport/" TargetMode="External"/><Relationship Id="rId26" Type="http://schemas.openxmlformats.org/officeDocument/2006/relationships/image" Target="media/image8.wmf"/><Relationship Id="rId231" Type="http://schemas.openxmlformats.org/officeDocument/2006/relationships/hyperlink" Target="https://doi.org/10.1016/j.trf.2018.02.017" TargetMode="External"/><Relationship Id="rId252" Type="http://schemas.openxmlformats.org/officeDocument/2006/relationships/glossaryDocument" Target="glossary/document.xml"/><Relationship Id="rId47" Type="http://schemas.openxmlformats.org/officeDocument/2006/relationships/oleObject" Target="embeddings/oleObject18.bin"/><Relationship Id="rId68" Type="http://schemas.openxmlformats.org/officeDocument/2006/relationships/image" Target="media/image29.wmf"/><Relationship Id="rId89" Type="http://schemas.openxmlformats.org/officeDocument/2006/relationships/oleObject" Target="embeddings/oleObject39.bin"/><Relationship Id="rId112" Type="http://schemas.openxmlformats.org/officeDocument/2006/relationships/image" Target="media/image51.wmf"/><Relationship Id="rId133" Type="http://schemas.openxmlformats.org/officeDocument/2006/relationships/hyperlink" Target="https://doi.org/10.1093/ije/dyad153" TargetMode="External"/><Relationship Id="rId154" Type="http://schemas.openxmlformats.org/officeDocument/2006/relationships/hyperlink" Target="https://doi.org/10.1016/j.jtrangeo.2025.104147" TargetMode="External"/><Relationship Id="rId175" Type="http://schemas.openxmlformats.org/officeDocument/2006/relationships/hyperlink" Target="https://doi.org/10.1016/j.trd.2022.103237" TargetMode="External"/><Relationship Id="rId196" Type="http://schemas.openxmlformats.org/officeDocument/2006/relationships/hyperlink" Target="https://doi.org/10.1016/j.jtrangeo.2021.103078" TargetMode="External"/><Relationship Id="rId200" Type="http://schemas.openxmlformats.org/officeDocument/2006/relationships/hyperlink" Target="https://doi.org/10.1016/j.socscimed.2013.04.011" TargetMode="External"/><Relationship Id="rId16" Type="http://schemas.openxmlformats.org/officeDocument/2006/relationships/image" Target="media/image3.wmf"/><Relationship Id="rId221" Type="http://schemas.openxmlformats.org/officeDocument/2006/relationships/hyperlink" Target="https://doi.org/10.1016/j.ypmed.2017.11.017" TargetMode="External"/><Relationship Id="rId242" Type="http://schemas.openxmlformats.org/officeDocument/2006/relationships/hyperlink" Target="https://doi.org/10.1080/00031305.2016.1154108" TargetMode="External"/><Relationship Id="rId37" Type="http://schemas.openxmlformats.org/officeDocument/2006/relationships/oleObject" Target="embeddings/oleObject13.bin"/><Relationship Id="rId58" Type="http://schemas.openxmlformats.org/officeDocument/2006/relationships/image" Target="media/image24.wmf"/><Relationship Id="rId79" Type="http://schemas.openxmlformats.org/officeDocument/2006/relationships/oleObject" Target="embeddings/oleObject34.bin"/><Relationship Id="rId102" Type="http://schemas.openxmlformats.org/officeDocument/2006/relationships/image" Target="media/image46.wmf"/><Relationship Id="rId123" Type="http://schemas.openxmlformats.org/officeDocument/2006/relationships/hyperlink" Target="https://doi.org/10.15620/cdc/158783" TargetMode="External"/><Relationship Id="rId144" Type="http://schemas.openxmlformats.org/officeDocument/2006/relationships/hyperlink" Target="https://doi.org/10.1371/journal.pone.0267314" TargetMode="External"/><Relationship Id="rId90" Type="http://schemas.openxmlformats.org/officeDocument/2006/relationships/image" Target="media/image40.wmf"/><Relationship Id="rId165" Type="http://schemas.openxmlformats.org/officeDocument/2006/relationships/hyperlink" Target="https://doi.org/10.1016/j.jtrangeo.2022.103474" TargetMode="External"/><Relationship Id="rId186" Type="http://schemas.openxmlformats.org/officeDocument/2006/relationships/hyperlink" Target="https://doi.org/10.1016/j.jth.2017.10.001" TargetMode="External"/><Relationship Id="rId211" Type="http://schemas.openxmlformats.org/officeDocument/2006/relationships/hyperlink" Target="https://doi.org/10.1016/j.tra.2014.04.012" TargetMode="External"/><Relationship Id="rId232" Type="http://schemas.openxmlformats.org/officeDocument/2006/relationships/hyperlink" Target="https://doi.org/10.3389/phrs.2023.1605474" TargetMode="External"/><Relationship Id="rId253" Type="http://schemas.openxmlformats.org/officeDocument/2006/relationships/theme" Target="theme/theme1.xml"/><Relationship Id="rId27" Type="http://schemas.openxmlformats.org/officeDocument/2006/relationships/oleObject" Target="embeddings/oleObject8.bin"/><Relationship Id="rId48" Type="http://schemas.openxmlformats.org/officeDocument/2006/relationships/image" Target="media/image19.wmf"/><Relationship Id="rId69" Type="http://schemas.openxmlformats.org/officeDocument/2006/relationships/oleObject" Target="embeddings/oleObject29.bin"/><Relationship Id="rId113" Type="http://schemas.openxmlformats.org/officeDocument/2006/relationships/oleObject" Target="embeddings/oleObject51.bin"/><Relationship Id="rId134" Type="http://schemas.openxmlformats.org/officeDocument/2006/relationships/hyperlink" Target="https://doi.org/10.1016/j.trb.2018.01.011" TargetMode="External"/><Relationship Id="rId80" Type="http://schemas.openxmlformats.org/officeDocument/2006/relationships/image" Target="media/image35.wmf"/><Relationship Id="rId155" Type="http://schemas.openxmlformats.org/officeDocument/2006/relationships/hyperlink" Target="https://doi.org/10.1007/s10940-020-09490-6" TargetMode="External"/><Relationship Id="rId176" Type="http://schemas.openxmlformats.org/officeDocument/2006/relationships/hyperlink" Target="https://doi.org/10.1080/23748834.2025.2513779" TargetMode="External"/><Relationship Id="rId197" Type="http://schemas.openxmlformats.org/officeDocument/2006/relationships/hyperlink" Target="https://doi.org/10.1016/j.jeconom.2013.08.016" TargetMode="External"/><Relationship Id="rId201" Type="http://schemas.openxmlformats.org/officeDocument/2006/relationships/hyperlink" Target="https://doi.org/10.5822/978-1-61091-432-1" TargetMode="External"/><Relationship Id="rId222" Type="http://schemas.openxmlformats.org/officeDocument/2006/relationships/hyperlink" Target="https://doi.org/10.1016/j.trb.2025.103349" TargetMode="External"/><Relationship Id="rId243" Type="http://schemas.openxmlformats.org/officeDocument/2006/relationships/hyperlink" Target="https://doi.org/10.1080/00031305.2019.1583913" TargetMode="External"/><Relationship Id="rId17" Type="http://schemas.openxmlformats.org/officeDocument/2006/relationships/oleObject" Target="embeddings/oleObject3.bin"/><Relationship Id="rId38" Type="http://schemas.openxmlformats.org/officeDocument/2006/relationships/image" Target="media/image14.wmf"/><Relationship Id="rId59" Type="http://schemas.openxmlformats.org/officeDocument/2006/relationships/oleObject" Target="embeddings/oleObject24.bin"/><Relationship Id="rId103" Type="http://schemas.openxmlformats.org/officeDocument/2006/relationships/oleObject" Target="embeddings/oleObject46.bin"/><Relationship Id="rId124" Type="http://schemas.openxmlformats.org/officeDocument/2006/relationships/hyperlink" Target="https://doi.org/10.1016/j.cities.2023.104785" TargetMode="External"/><Relationship Id="rId70" Type="http://schemas.openxmlformats.org/officeDocument/2006/relationships/image" Target="media/image30.wmf"/><Relationship Id="rId91" Type="http://schemas.openxmlformats.org/officeDocument/2006/relationships/oleObject" Target="embeddings/oleObject40.bin"/><Relationship Id="rId145" Type="http://schemas.openxmlformats.org/officeDocument/2006/relationships/hyperlink" Target="https://doi.org/10.1016/j.jth.2023.101708" TargetMode="External"/><Relationship Id="rId166" Type="http://schemas.openxmlformats.org/officeDocument/2006/relationships/hyperlink" Target="https://doi.org/10.1177/08854122231160796" TargetMode="External"/><Relationship Id="rId187" Type="http://schemas.openxmlformats.org/officeDocument/2006/relationships/hyperlink" Target="https://doi.org/10.1016/j.tra.2024.104286" TargetMode="External"/><Relationship Id="rId1" Type="http://schemas.openxmlformats.org/officeDocument/2006/relationships/customXml" Target="../customXml/item1.xml"/><Relationship Id="rId212" Type="http://schemas.openxmlformats.org/officeDocument/2006/relationships/hyperlink" Target="https://doi.org/10.1186/1479-5868-7-43" TargetMode="External"/><Relationship Id="rId233" Type="http://schemas.openxmlformats.org/officeDocument/2006/relationships/hyperlink" Target="https://doi.org/10.3390/su151410817" TargetMode="External"/><Relationship Id="rId28" Type="http://schemas.openxmlformats.org/officeDocument/2006/relationships/image" Target="media/image9.wmf"/><Relationship Id="rId49" Type="http://schemas.openxmlformats.org/officeDocument/2006/relationships/oleObject" Target="embeddings/oleObject19.bin"/><Relationship Id="rId114" Type="http://schemas.openxmlformats.org/officeDocument/2006/relationships/image" Target="media/image52.wmf"/><Relationship Id="rId60" Type="http://schemas.openxmlformats.org/officeDocument/2006/relationships/image" Target="media/image25.wmf"/><Relationship Id="rId81" Type="http://schemas.openxmlformats.org/officeDocument/2006/relationships/oleObject" Target="embeddings/oleObject35.bin"/><Relationship Id="rId135" Type="http://schemas.openxmlformats.org/officeDocument/2006/relationships/hyperlink" Target="https://doi.org/10.1016/j.trf.2018.06.016" TargetMode="External"/><Relationship Id="rId156" Type="http://schemas.openxmlformats.org/officeDocument/2006/relationships/hyperlink" Target="https://doi.org/10.1080/01441647.2024.2350613" TargetMode="External"/><Relationship Id="rId177" Type="http://schemas.openxmlformats.org/officeDocument/2006/relationships/hyperlink" Target="https://doi.org/10.1177/0361198120988006" TargetMode="External"/><Relationship Id="rId198" Type="http://schemas.openxmlformats.org/officeDocument/2006/relationships/hyperlink" Target="https://doi.org/10.5198/jtlu.2015.796" TargetMode="External"/><Relationship Id="rId202" Type="http://schemas.openxmlformats.org/officeDocument/2006/relationships/hyperlink" Target="https://doi.org/10.3141/1693-12" TargetMode="External"/><Relationship Id="rId223" Type="http://schemas.openxmlformats.org/officeDocument/2006/relationships/hyperlink" Target="https://doi.org/10.1249/MSS.0b013e31817c67a4" TargetMode="External"/><Relationship Id="rId244" Type="http://schemas.openxmlformats.org/officeDocument/2006/relationships/hyperlink" Target="https://doi.org/10.1016/j.ypmed.2020.106122" TargetMode="External"/><Relationship Id="rId18" Type="http://schemas.openxmlformats.org/officeDocument/2006/relationships/image" Target="media/image4.wmf"/><Relationship Id="rId39" Type="http://schemas.openxmlformats.org/officeDocument/2006/relationships/oleObject" Target="embeddings/oleObject14.bin"/><Relationship Id="rId50" Type="http://schemas.openxmlformats.org/officeDocument/2006/relationships/image" Target="media/image20.wmf"/><Relationship Id="rId104" Type="http://schemas.openxmlformats.org/officeDocument/2006/relationships/image" Target="media/image47.wmf"/><Relationship Id="rId125" Type="http://schemas.openxmlformats.org/officeDocument/2006/relationships/hyperlink" Target="https://doi.org/10.1016/j.tra.2016.04.016" TargetMode="External"/><Relationship Id="rId146" Type="http://schemas.openxmlformats.org/officeDocument/2006/relationships/hyperlink" Target="https://doi.org/10.1016/j.jtrangeo.2010.07.005" TargetMode="External"/><Relationship Id="rId167" Type="http://schemas.openxmlformats.org/officeDocument/2006/relationships/hyperlink" Target="https://doi.org/10.1177/0013916512465176" TargetMode="External"/><Relationship Id="rId188" Type="http://schemas.openxmlformats.org/officeDocument/2006/relationships/hyperlink" Target="https://doi.org/10.1177/10778012251362225" TargetMode="External"/><Relationship Id="rId71" Type="http://schemas.openxmlformats.org/officeDocument/2006/relationships/oleObject" Target="embeddings/oleObject30.bin"/><Relationship Id="rId92" Type="http://schemas.openxmlformats.org/officeDocument/2006/relationships/image" Target="media/image41.wmf"/><Relationship Id="rId213" Type="http://schemas.openxmlformats.org/officeDocument/2006/relationships/hyperlink" Target="https://doi.org/10.1186/1479-5868-11-32" TargetMode="External"/><Relationship Id="rId234" Type="http://schemas.openxmlformats.org/officeDocument/2006/relationships/hyperlink" Target="https://doi.org/10.1016/j.jtrangeo.2023.103599" TargetMode="External"/><Relationship Id="rId2" Type="http://schemas.openxmlformats.org/officeDocument/2006/relationships/numbering" Target="numbering.xml"/><Relationship Id="rId29" Type="http://schemas.openxmlformats.org/officeDocument/2006/relationships/oleObject" Target="embeddings/oleObject9.bin"/><Relationship Id="rId40" Type="http://schemas.openxmlformats.org/officeDocument/2006/relationships/image" Target="media/image15.wmf"/><Relationship Id="rId115" Type="http://schemas.openxmlformats.org/officeDocument/2006/relationships/oleObject" Target="embeddings/oleObject52.bin"/><Relationship Id="rId136" Type="http://schemas.openxmlformats.org/officeDocument/2006/relationships/hyperlink" Target="https://doi.org/10.1080/15568318.2023.2296952" TargetMode="External"/><Relationship Id="rId157" Type="http://schemas.openxmlformats.org/officeDocument/2006/relationships/hyperlink" Target="https://doi.org/10.1080/01441647.2022.2101072" TargetMode="External"/><Relationship Id="rId178" Type="http://schemas.openxmlformats.org/officeDocument/2006/relationships/hyperlink" Target="https://doi.org/10.1080/01944363.2026.2646482" TargetMode="External"/><Relationship Id="rId61" Type="http://schemas.openxmlformats.org/officeDocument/2006/relationships/oleObject" Target="embeddings/oleObject25.bin"/><Relationship Id="rId82" Type="http://schemas.openxmlformats.org/officeDocument/2006/relationships/image" Target="media/image36.wmf"/><Relationship Id="rId199" Type="http://schemas.openxmlformats.org/officeDocument/2006/relationships/hyperlink" Target="https://doi.org/10.1007/s11116-014-9520-y" TargetMode="External"/><Relationship Id="rId203" Type="http://schemas.openxmlformats.org/officeDocument/2006/relationships/hyperlink" Target="https://doi.org/10.1177/0361198105191700122" TargetMode="External"/><Relationship Id="rId19" Type="http://schemas.openxmlformats.org/officeDocument/2006/relationships/oleObject" Target="embeddings/oleObject4.bin"/><Relationship Id="rId224" Type="http://schemas.openxmlformats.org/officeDocument/2006/relationships/hyperlink" Target="https://doi.org/10.1016/j.ypmed.2012.06.028" TargetMode="External"/><Relationship Id="rId245" Type="http://schemas.openxmlformats.org/officeDocument/2006/relationships/hyperlink" Target="https://doi.org/10.1093/ageing/afaf345" TargetMode="External"/><Relationship Id="rId30" Type="http://schemas.openxmlformats.org/officeDocument/2006/relationships/image" Target="media/image10.wmf"/><Relationship Id="rId105" Type="http://schemas.openxmlformats.org/officeDocument/2006/relationships/oleObject" Target="embeddings/oleObject47.bin"/><Relationship Id="rId126" Type="http://schemas.openxmlformats.org/officeDocument/2006/relationships/hyperlink" Target="https://doi.org/10.1007/s40572-019-00254-4" TargetMode="External"/><Relationship Id="rId147" Type="http://schemas.openxmlformats.org/officeDocument/2006/relationships/hyperlink" Target="https://doi.org/10.1080/01441647.2020.1823521" TargetMode="External"/><Relationship Id="rId168" Type="http://schemas.openxmlformats.org/officeDocument/2006/relationships/hyperlink" Target="https://doi.org/10.1177/0013916519853300" TargetMode="External"/><Relationship Id="rId51" Type="http://schemas.openxmlformats.org/officeDocument/2006/relationships/oleObject" Target="embeddings/oleObject20.bin"/><Relationship Id="rId72" Type="http://schemas.openxmlformats.org/officeDocument/2006/relationships/image" Target="media/image31.wmf"/><Relationship Id="rId93" Type="http://schemas.openxmlformats.org/officeDocument/2006/relationships/oleObject" Target="embeddings/oleObject41.bin"/><Relationship Id="rId189" Type="http://schemas.openxmlformats.org/officeDocument/2006/relationships/hyperlink" Target="https://doi.org/10.1016/j.tranpol.2023.06.014" TargetMode="External"/><Relationship Id="rId3" Type="http://schemas.openxmlformats.org/officeDocument/2006/relationships/styles" Target="styles.xml"/><Relationship Id="rId214" Type="http://schemas.openxmlformats.org/officeDocument/2006/relationships/hyperlink" Target="https://doi.org/10.1186/s12877-016-0327-x" TargetMode="External"/><Relationship Id="rId235" Type="http://schemas.openxmlformats.org/officeDocument/2006/relationships/hyperlink" Target="https://doi.org/10.1177/0739456X20915765" TargetMode="External"/><Relationship Id="rId116" Type="http://schemas.openxmlformats.org/officeDocument/2006/relationships/image" Target="media/image53.wmf"/><Relationship Id="rId137" Type="http://schemas.openxmlformats.org/officeDocument/2006/relationships/hyperlink" Target="https://doi.org/10.1016/j.trc.2021.103515" TargetMode="External"/><Relationship Id="rId158" Type="http://schemas.openxmlformats.org/officeDocument/2006/relationships/hyperlink" Target="https://doi.org/10.3141/2587-11" TargetMode="External"/><Relationship Id="rId20" Type="http://schemas.openxmlformats.org/officeDocument/2006/relationships/image" Target="media/image5.wmf"/><Relationship Id="rId41" Type="http://schemas.openxmlformats.org/officeDocument/2006/relationships/oleObject" Target="embeddings/oleObject15.bin"/><Relationship Id="rId62" Type="http://schemas.openxmlformats.org/officeDocument/2006/relationships/image" Target="media/image26.wmf"/><Relationship Id="rId83" Type="http://schemas.openxmlformats.org/officeDocument/2006/relationships/oleObject" Target="embeddings/oleObject36.bin"/><Relationship Id="rId179" Type="http://schemas.openxmlformats.org/officeDocument/2006/relationships/hyperlink" Target="https://doi.org/10.1016/j.landurbplan.2014.04.021" TargetMode="External"/><Relationship Id="rId190" Type="http://schemas.openxmlformats.org/officeDocument/2006/relationships/hyperlink" Target="https://doi.org/10.1016/j.pmedr.2018.07.002" TargetMode="External"/><Relationship Id="rId204" Type="http://schemas.openxmlformats.org/officeDocument/2006/relationships/hyperlink" Target="https://doi.org/10.1016/j.cstp.2025.101594" TargetMode="External"/><Relationship Id="rId225" Type="http://schemas.openxmlformats.org/officeDocument/2006/relationships/hyperlink" Target="https://doi.org/10.1016/j.aap.2014.11.004" TargetMode="External"/><Relationship Id="rId246" Type="http://schemas.openxmlformats.org/officeDocument/2006/relationships/hyperlink" Target="https://doi.org/10.1007/s11116-010-9284-y" TargetMode="External"/><Relationship Id="rId106" Type="http://schemas.openxmlformats.org/officeDocument/2006/relationships/image" Target="media/image48.wmf"/><Relationship Id="rId127" Type="http://schemas.openxmlformats.org/officeDocument/2006/relationships/hyperlink" Target="https://doi.org/10.1080/01441647.2023.2171500" TargetMode="External"/><Relationship Id="rId10" Type="http://schemas.openxmlformats.org/officeDocument/2006/relationships/hyperlink" Target="mailto:bhat@mail.utexas.edu" TargetMode="External"/><Relationship Id="rId31" Type="http://schemas.openxmlformats.org/officeDocument/2006/relationships/oleObject" Target="embeddings/oleObject10.bin"/><Relationship Id="rId52" Type="http://schemas.openxmlformats.org/officeDocument/2006/relationships/image" Target="media/image21.wmf"/><Relationship Id="rId73" Type="http://schemas.openxmlformats.org/officeDocument/2006/relationships/oleObject" Target="embeddings/oleObject31.bin"/><Relationship Id="rId94" Type="http://schemas.openxmlformats.org/officeDocument/2006/relationships/image" Target="media/image42.wmf"/><Relationship Id="rId148" Type="http://schemas.openxmlformats.org/officeDocument/2006/relationships/hyperlink" Target="https://doi.org/10.1016/j.jth.2024.101875" TargetMode="External"/><Relationship Id="rId169" Type="http://schemas.openxmlformats.org/officeDocument/2006/relationships/hyperlink" Target="https://doi.org/10.3389/fphys.2020.00881" TargetMode="External"/><Relationship Id="rId4" Type="http://schemas.openxmlformats.org/officeDocument/2006/relationships/settings" Target="settings.xml"/><Relationship Id="rId180" Type="http://schemas.openxmlformats.org/officeDocument/2006/relationships/hyperlink" Target="https://doi.org/10.1016/j.jeem.2017.03.007" TargetMode="External"/><Relationship Id="rId215" Type="http://schemas.openxmlformats.org/officeDocument/2006/relationships/hyperlink" Target="https://doi.org/10.1080/01441647.2025.2480292" TargetMode="External"/><Relationship Id="rId236" Type="http://schemas.openxmlformats.org/officeDocument/2006/relationships/hyperlink" Target="https://doi.org/10.1016/j.trd.2025.10494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29F7653-DCA4-4427-B8F3-53FF4D9FC1DB}"/>
      </w:docPartPr>
      <w:docPartBody>
        <w:p w:rsidR="00E266F7" w:rsidRDefault="002C0C69">
          <w:r w:rsidRPr="004B40E2">
            <w:rPr>
              <w:rStyle w:val="PlaceholderText"/>
            </w:rPr>
            <w:t>Click or tap here to enter text.</w:t>
          </w:r>
        </w:p>
      </w:docPartBody>
    </w:docPart>
    <w:docPart>
      <w:docPartPr>
        <w:name w:val="7A803038CB5746A789F58EDBFBFC392A"/>
        <w:category>
          <w:name w:val="General"/>
          <w:gallery w:val="placeholder"/>
        </w:category>
        <w:types>
          <w:type w:val="bbPlcHdr"/>
        </w:types>
        <w:behaviors>
          <w:behavior w:val="content"/>
        </w:behaviors>
        <w:guid w:val="{EE8A5FCE-D094-4552-B208-BAECF3AC91CA}"/>
      </w:docPartPr>
      <w:docPartBody>
        <w:p w:rsidR="00E266F7" w:rsidRDefault="002C0C69" w:rsidP="002C0C69">
          <w:pPr>
            <w:pStyle w:val="7A803038CB5746A789F58EDBFBFC392A"/>
          </w:pPr>
          <w:r w:rsidRPr="00282007">
            <w:rPr>
              <w:rStyle w:val="PlaceholderText"/>
            </w:rPr>
            <w:t>Click or tap here to enter text.</w:t>
          </w:r>
        </w:p>
      </w:docPartBody>
    </w:docPart>
    <w:docPart>
      <w:docPartPr>
        <w:name w:val="82511B405D4B4E688E88B598C98ACDFB"/>
        <w:category>
          <w:name w:val="General"/>
          <w:gallery w:val="placeholder"/>
        </w:category>
        <w:types>
          <w:type w:val="bbPlcHdr"/>
        </w:types>
        <w:behaviors>
          <w:behavior w:val="content"/>
        </w:behaviors>
        <w:guid w:val="{77E8EA4F-940F-42C5-B9AF-9A654A79DA9A}"/>
      </w:docPartPr>
      <w:docPartBody>
        <w:p w:rsidR="006051AB" w:rsidRDefault="00E266F7" w:rsidP="00E266F7">
          <w:pPr>
            <w:pStyle w:val="82511B405D4B4E688E88B598C98ACDFB"/>
          </w:pPr>
          <w:r w:rsidRPr="00282007">
            <w:rPr>
              <w:rStyle w:val="PlaceholderText"/>
            </w:rPr>
            <w:t>Click or tap here to enter text.</w:t>
          </w:r>
        </w:p>
      </w:docPartBody>
    </w:docPart>
    <w:docPart>
      <w:docPartPr>
        <w:name w:val="8F3F689738FC412397646AB21D9331DF"/>
        <w:category>
          <w:name w:val="General"/>
          <w:gallery w:val="placeholder"/>
        </w:category>
        <w:types>
          <w:type w:val="bbPlcHdr"/>
        </w:types>
        <w:behaviors>
          <w:behavior w:val="content"/>
        </w:behaviors>
        <w:guid w:val="{D1616CB8-B5CF-4040-BA2D-C1EBDB5EB237}"/>
      </w:docPartPr>
      <w:docPartBody>
        <w:p w:rsidR="00CF57D2" w:rsidRDefault="00CB63E1" w:rsidP="00CB63E1">
          <w:pPr>
            <w:pStyle w:val="8F3F689738FC412397646AB21D9331DF"/>
          </w:pPr>
          <w:r w:rsidRPr="004B40E2">
            <w:rPr>
              <w:rStyle w:val="PlaceholderText"/>
            </w:rPr>
            <w:t>Click or tap here to enter text.</w:t>
          </w:r>
        </w:p>
      </w:docPartBody>
    </w:docPart>
    <w:docPart>
      <w:docPartPr>
        <w:name w:val="3DEE35AA847B4848BE2F73636126D344"/>
        <w:category>
          <w:name w:val="General"/>
          <w:gallery w:val="placeholder"/>
        </w:category>
        <w:types>
          <w:type w:val="bbPlcHdr"/>
        </w:types>
        <w:behaviors>
          <w:behavior w:val="content"/>
        </w:behaviors>
        <w:guid w:val="{27076626-FC4D-4AB6-A479-323E827D7450}"/>
      </w:docPartPr>
      <w:docPartBody>
        <w:p w:rsidR="00D94A67" w:rsidRDefault="00327C3B" w:rsidP="00327C3B">
          <w:pPr>
            <w:pStyle w:val="3DEE35AA847B4848BE2F73636126D344"/>
          </w:pPr>
          <w:r w:rsidRPr="004B40E2">
            <w:rPr>
              <w:rStyle w:val="PlaceholderText"/>
            </w:rPr>
            <w:t>Click or tap here to enter text.</w:t>
          </w:r>
        </w:p>
      </w:docPartBody>
    </w:docPart>
    <w:docPart>
      <w:docPartPr>
        <w:name w:val="625AE8D702504BCFA898116C60302CC7"/>
        <w:category>
          <w:name w:val="General"/>
          <w:gallery w:val="placeholder"/>
        </w:category>
        <w:types>
          <w:type w:val="bbPlcHdr"/>
        </w:types>
        <w:behaviors>
          <w:behavior w:val="content"/>
        </w:behaviors>
        <w:guid w:val="{20590E52-28FC-44C4-9DD6-E3171D302219}"/>
      </w:docPartPr>
      <w:docPartBody>
        <w:p w:rsidR="00052C8C" w:rsidRDefault="00D94A67" w:rsidP="00D94A67">
          <w:pPr>
            <w:pStyle w:val="625AE8D702504BCFA898116C60302CC7"/>
          </w:pPr>
          <w:r w:rsidRPr="004B40E2">
            <w:rPr>
              <w:rStyle w:val="PlaceholderText"/>
            </w:rPr>
            <w:t>Click or tap here to enter text.</w:t>
          </w:r>
        </w:p>
      </w:docPartBody>
    </w:docPart>
    <w:docPart>
      <w:docPartPr>
        <w:name w:val="6A31DD834A334B029E6C6E527380D6C5"/>
        <w:category>
          <w:name w:val="General"/>
          <w:gallery w:val="placeholder"/>
        </w:category>
        <w:types>
          <w:type w:val="bbPlcHdr"/>
        </w:types>
        <w:behaviors>
          <w:behavior w:val="content"/>
        </w:behaviors>
        <w:guid w:val="{A8853551-E998-408E-952C-69C9B19B9445}"/>
      </w:docPartPr>
      <w:docPartBody>
        <w:p w:rsidR="00052C8C" w:rsidRDefault="00D94A67" w:rsidP="00D94A67">
          <w:pPr>
            <w:pStyle w:val="6A31DD834A334B029E6C6E527380D6C5"/>
          </w:pPr>
          <w:r w:rsidRPr="004B40E2">
            <w:rPr>
              <w:rStyle w:val="PlaceholderText"/>
            </w:rPr>
            <w:t>Click or tap here to enter text.</w:t>
          </w:r>
        </w:p>
      </w:docPartBody>
    </w:docPart>
    <w:docPart>
      <w:docPartPr>
        <w:name w:val="ED384934DADF465496D942625B67F846"/>
        <w:category>
          <w:name w:val="General"/>
          <w:gallery w:val="placeholder"/>
        </w:category>
        <w:types>
          <w:type w:val="bbPlcHdr"/>
        </w:types>
        <w:behaviors>
          <w:behavior w:val="content"/>
        </w:behaviors>
        <w:guid w:val="{DB16A898-6193-4FD7-BBC4-061E2CD6580D}"/>
      </w:docPartPr>
      <w:docPartBody>
        <w:p w:rsidR="00052C8C" w:rsidRDefault="00D94A67" w:rsidP="00D94A67">
          <w:pPr>
            <w:pStyle w:val="ED384934DADF465496D942625B67F846"/>
          </w:pPr>
          <w:r w:rsidRPr="004B40E2">
            <w:rPr>
              <w:rStyle w:val="PlaceholderText"/>
            </w:rPr>
            <w:t>Click or tap here to enter text.</w:t>
          </w:r>
        </w:p>
      </w:docPartBody>
    </w:docPart>
    <w:docPart>
      <w:docPartPr>
        <w:name w:val="F99CC8F426B64329BCC9861014896E03"/>
        <w:category>
          <w:name w:val="General"/>
          <w:gallery w:val="placeholder"/>
        </w:category>
        <w:types>
          <w:type w:val="bbPlcHdr"/>
        </w:types>
        <w:behaviors>
          <w:behavior w:val="content"/>
        </w:behaviors>
        <w:guid w:val="{3E607956-043E-4A91-9C4A-5BCCDD6C495C}"/>
      </w:docPartPr>
      <w:docPartBody>
        <w:p w:rsidR="00EE0072" w:rsidRDefault="00DF7B3F" w:rsidP="00DF7B3F">
          <w:pPr>
            <w:pStyle w:val="F99CC8F426B64329BCC9861014896E03"/>
          </w:pPr>
          <w:r w:rsidRPr="004B40E2">
            <w:rPr>
              <w:rStyle w:val="PlaceholderText"/>
            </w:rPr>
            <w:t>Click or tap here to enter text.</w:t>
          </w:r>
        </w:p>
      </w:docPartBody>
    </w:docPart>
    <w:docPart>
      <w:docPartPr>
        <w:name w:val="06106D81650E4A4EB0CF737FAB5D00E6"/>
        <w:category>
          <w:name w:val="General"/>
          <w:gallery w:val="placeholder"/>
        </w:category>
        <w:types>
          <w:type w:val="bbPlcHdr"/>
        </w:types>
        <w:behaviors>
          <w:behavior w:val="content"/>
        </w:behaviors>
        <w:guid w:val="{219CD40F-4D89-4933-BFAF-29FA2649346F}"/>
      </w:docPartPr>
      <w:docPartBody>
        <w:p w:rsidR="00EE0072" w:rsidRDefault="00DF7B3F" w:rsidP="00DF7B3F">
          <w:pPr>
            <w:pStyle w:val="06106D81650E4A4EB0CF737FAB5D00E6"/>
          </w:pPr>
          <w:r w:rsidRPr="004B40E2">
            <w:rPr>
              <w:rStyle w:val="PlaceholderText"/>
            </w:rPr>
            <w:t>Click or tap here to enter text.</w:t>
          </w:r>
        </w:p>
      </w:docPartBody>
    </w:docPart>
    <w:docPart>
      <w:docPartPr>
        <w:name w:val="A1DDF9BC0B654B2D978122F60D86878F"/>
        <w:category>
          <w:name w:val="General"/>
          <w:gallery w:val="placeholder"/>
        </w:category>
        <w:types>
          <w:type w:val="bbPlcHdr"/>
        </w:types>
        <w:behaviors>
          <w:behavior w:val="content"/>
        </w:behaviors>
        <w:guid w:val="{B4FEA461-F6E3-4AE4-8877-B1E0C777FA20}"/>
      </w:docPartPr>
      <w:docPartBody>
        <w:p w:rsidR="00EE0072" w:rsidRDefault="00DF7B3F" w:rsidP="00DF7B3F">
          <w:pPr>
            <w:pStyle w:val="A1DDF9BC0B654B2D978122F60D86878F"/>
          </w:pPr>
          <w:r w:rsidRPr="004B40E2">
            <w:rPr>
              <w:rStyle w:val="PlaceholderText"/>
            </w:rPr>
            <w:t>Click or tap here to enter text.</w:t>
          </w:r>
        </w:p>
      </w:docPartBody>
    </w:docPart>
    <w:docPart>
      <w:docPartPr>
        <w:name w:val="C9B8CDEB0DA74720BFEDF0EA4B954B2F"/>
        <w:category>
          <w:name w:val="General"/>
          <w:gallery w:val="placeholder"/>
        </w:category>
        <w:types>
          <w:type w:val="bbPlcHdr"/>
        </w:types>
        <w:behaviors>
          <w:behavior w:val="content"/>
        </w:behaviors>
        <w:guid w:val="{76A59B40-E05D-4B52-AACE-4117D7CC3C75}"/>
      </w:docPartPr>
      <w:docPartBody>
        <w:p w:rsidR="00BB5F29" w:rsidRDefault="00212443" w:rsidP="00212443">
          <w:pPr>
            <w:pStyle w:val="C9B8CDEB0DA74720BFEDF0EA4B954B2F"/>
          </w:pPr>
          <w:r w:rsidRPr="004B40E2">
            <w:rPr>
              <w:rStyle w:val="PlaceholderText"/>
            </w:rPr>
            <w:t>Click or tap here to enter text.</w:t>
          </w:r>
        </w:p>
      </w:docPartBody>
    </w:docPart>
    <w:docPart>
      <w:docPartPr>
        <w:name w:val="F114209483354314AB3FCA8240A826CD"/>
        <w:category>
          <w:name w:val="General"/>
          <w:gallery w:val="placeholder"/>
        </w:category>
        <w:types>
          <w:type w:val="bbPlcHdr"/>
        </w:types>
        <w:behaviors>
          <w:behavior w:val="content"/>
        </w:behaviors>
        <w:guid w:val="{A592A4CB-A21A-417D-BE35-52967F0D2691}"/>
      </w:docPartPr>
      <w:docPartBody>
        <w:p w:rsidR="00203F34" w:rsidRDefault="00561549" w:rsidP="00561549">
          <w:pPr>
            <w:pStyle w:val="F114209483354314AB3FCA8240A826CD"/>
          </w:pPr>
          <w:r w:rsidRPr="004B40E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C69"/>
    <w:rsid w:val="00005165"/>
    <w:rsid w:val="000237E1"/>
    <w:rsid w:val="000345E1"/>
    <w:rsid w:val="000370B4"/>
    <w:rsid w:val="0003715C"/>
    <w:rsid w:val="00052C8C"/>
    <w:rsid w:val="00064414"/>
    <w:rsid w:val="00083DBF"/>
    <w:rsid w:val="00086BF6"/>
    <w:rsid w:val="000934BF"/>
    <w:rsid w:val="000B0220"/>
    <w:rsid w:val="000C1FCF"/>
    <w:rsid w:val="000D7097"/>
    <w:rsid w:val="001372D3"/>
    <w:rsid w:val="00145D39"/>
    <w:rsid w:val="00187609"/>
    <w:rsid w:val="001A6BF7"/>
    <w:rsid w:val="001B2DB8"/>
    <w:rsid w:val="001C063F"/>
    <w:rsid w:val="001C1503"/>
    <w:rsid w:val="00203F34"/>
    <w:rsid w:val="00212443"/>
    <w:rsid w:val="00213050"/>
    <w:rsid w:val="00227B03"/>
    <w:rsid w:val="00237F5F"/>
    <w:rsid w:val="002757F1"/>
    <w:rsid w:val="002C06A8"/>
    <w:rsid w:val="002C0C69"/>
    <w:rsid w:val="00324CDF"/>
    <w:rsid w:val="00327C3B"/>
    <w:rsid w:val="003525C0"/>
    <w:rsid w:val="003826A0"/>
    <w:rsid w:val="003D39ED"/>
    <w:rsid w:val="00404CED"/>
    <w:rsid w:val="00412AF9"/>
    <w:rsid w:val="004159BD"/>
    <w:rsid w:val="00424F95"/>
    <w:rsid w:val="00436A23"/>
    <w:rsid w:val="00447971"/>
    <w:rsid w:val="00451545"/>
    <w:rsid w:val="00485324"/>
    <w:rsid w:val="00487F41"/>
    <w:rsid w:val="00495CC0"/>
    <w:rsid w:val="004B3F42"/>
    <w:rsid w:val="004D001D"/>
    <w:rsid w:val="004D160B"/>
    <w:rsid w:val="004D6BB7"/>
    <w:rsid w:val="004F68AB"/>
    <w:rsid w:val="00500945"/>
    <w:rsid w:val="00502270"/>
    <w:rsid w:val="005333D5"/>
    <w:rsid w:val="00535737"/>
    <w:rsid w:val="00561549"/>
    <w:rsid w:val="0058717A"/>
    <w:rsid w:val="005B71F2"/>
    <w:rsid w:val="005D6D88"/>
    <w:rsid w:val="005D7581"/>
    <w:rsid w:val="005F110F"/>
    <w:rsid w:val="006015B3"/>
    <w:rsid w:val="006051AB"/>
    <w:rsid w:val="00613671"/>
    <w:rsid w:val="00614173"/>
    <w:rsid w:val="00633608"/>
    <w:rsid w:val="006706F0"/>
    <w:rsid w:val="006752ED"/>
    <w:rsid w:val="00680CED"/>
    <w:rsid w:val="006C5942"/>
    <w:rsid w:val="006D0C0A"/>
    <w:rsid w:val="006D75D3"/>
    <w:rsid w:val="006E02DD"/>
    <w:rsid w:val="00705DF0"/>
    <w:rsid w:val="007075CA"/>
    <w:rsid w:val="00713239"/>
    <w:rsid w:val="00717FBB"/>
    <w:rsid w:val="007237A1"/>
    <w:rsid w:val="00723B50"/>
    <w:rsid w:val="00730CC3"/>
    <w:rsid w:val="00756669"/>
    <w:rsid w:val="007925AF"/>
    <w:rsid w:val="007C709A"/>
    <w:rsid w:val="007D7838"/>
    <w:rsid w:val="007E5EC8"/>
    <w:rsid w:val="007F40DC"/>
    <w:rsid w:val="007F4BE9"/>
    <w:rsid w:val="00830427"/>
    <w:rsid w:val="00860F05"/>
    <w:rsid w:val="0087533F"/>
    <w:rsid w:val="00884AE5"/>
    <w:rsid w:val="008B6A8D"/>
    <w:rsid w:val="008C7AAD"/>
    <w:rsid w:val="008D3691"/>
    <w:rsid w:val="008F54CC"/>
    <w:rsid w:val="00920B50"/>
    <w:rsid w:val="0093038E"/>
    <w:rsid w:val="00944C71"/>
    <w:rsid w:val="0095148D"/>
    <w:rsid w:val="00955E25"/>
    <w:rsid w:val="00974667"/>
    <w:rsid w:val="00980B07"/>
    <w:rsid w:val="00991BE8"/>
    <w:rsid w:val="009B6777"/>
    <w:rsid w:val="009E0674"/>
    <w:rsid w:val="00A002A3"/>
    <w:rsid w:val="00A07465"/>
    <w:rsid w:val="00A261FD"/>
    <w:rsid w:val="00A34BB7"/>
    <w:rsid w:val="00A45162"/>
    <w:rsid w:val="00A6766C"/>
    <w:rsid w:val="00A81A07"/>
    <w:rsid w:val="00A86933"/>
    <w:rsid w:val="00AB2883"/>
    <w:rsid w:val="00AC2478"/>
    <w:rsid w:val="00AC346D"/>
    <w:rsid w:val="00AD2B1C"/>
    <w:rsid w:val="00AE5BC2"/>
    <w:rsid w:val="00AF5814"/>
    <w:rsid w:val="00B06408"/>
    <w:rsid w:val="00B10459"/>
    <w:rsid w:val="00B21178"/>
    <w:rsid w:val="00B30F6C"/>
    <w:rsid w:val="00B470B9"/>
    <w:rsid w:val="00B93141"/>
    <w:rsid w:val="00B93B0D"/>
    <w:rsid w:val="00B95C54"/>
    <w:rsid w:val="00BA3481"/>
    <w:rsid w:val="00BB5F29"/>
    <w:rsid w:val="00BC060A"/>
    <w:rsid w:val="00BD1A57"/>
    <w:rsid w:val="00BD5482"/>
    <w:rsid w:val="00BE25E3"/>
    <w:rsid w:val="00C252FA"/>
    <w:rsid w:val="00C355AC"/>
    <w:rsid w:val="00C357E0"/>
    <w:rsid w:val="00C60FAC"/>
    <w:rsid w:val="00C87763"/>
    <w:rsid w:val="00CA25BA"/>
    <w:rsid w:val="00CB423B"/>
    <w:rsid w:val="00CB63E1"/>
    <w:rsid w:val="00CD7EF9"/>
    <w:rsid w:val="00CF57D2"/>
    <w:rsid w:val="00D00231"/>
    <w:rsid w:val="00D12658"/>
    <w:rsid w:val="00D16B88"/>
    <w:rsid w:val="00D22D4E"/>
    <w:rsid w:val="00D323EB"/>
    <w:rsid w:val="00D46058"/>
    <w:rsid w:val="00D6280E"/>
    <w:rsid w:val="00D63ED6"/>
    <w:rsid w:val="00D94A67"/>
    <w:rsid w:val="00DD5308"/>
    <w:rsid w:val="00DE757E"/>
    <w:rsid w:val="00DE7AF1"/>
    <w:rsid w:val="00DF7B3F"/>
    <w:rsid w:val="00E046DB"/>
    <w:rsid w:val="00E23FBC"/>
    <w:rsid w:val="00E266F7"/>
    <w:rsid w:val="00E45791"/>
    <w:rsid w:val="00E53B3B"/>
    <w:rsid w:val="00E54A36"/>
    <w:rsid w:val="00E73D58"/>
    <w:rsid w:val="00E77205"/>
    <w:rsid w:val="00E926FB"/>
    <w:rsid w:val="00EB0E47"/>
    <w:rsid w:val="00EE0072"/>
    <w:rsid w:val="00F0007F"/>
    <w:rsid w:val="00F028AC"/>
    <w:rsid w:val="00F432FE"/>
    <w:rsid w:val="00F5456B"/>
    <w:rsid w:val="00F75619"/>
    <w:rsid w:val="00F773AD"/>
    <w:rsid w:val="00FA3529"/>
    <w:rsid w:val="00FF0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61549"/>
    <w:rPr>
      <w:color w:val="666666"/>
    </w:rPr>
  </w:style>
  <w:style w:type="paragraph" w:customStyle="1" w:styleId="82511B405D4B4E688E88B598C98ACDFB">
    <w:name w:val="82511B405D4B4E688E88B598C98ACDFB"/>
    <w:rsid w:val="00E266F7"/>
  </w:style>
  <w:style w:type="paragraph" w:customStyle="1" w:styleId="7A803038CB5746A789F58EDBFBFC392A">
    <w:name w:val="7A803038CB5746A789F58EDBFBFC392A"/>
    <w:rsid w:val="002C0C69"/>
  </w:style>
  <w:style w:type="paragraph" w:customStyle="1" w:styleId="8F3F689738FC412397646AB21D9331DF">
    <w:name w:val="8F3F689738FC412397646AB21D9331DF"/>
    <w:rsid w:val="00CB63E1"/>
  </w:style>
  <w:style w:type="paragraph" w:customStyle="1" w:styleId="3DEE35AA847B4848BE2F73636126D344">
    <w:name w:val="3DEE35AA847B4848BE2F73636126D344"/>
    <w:rsid w:val="00327C3B"/>
    <w:pPr>
      <w:spacing w:line="259" w:lineRule="auto"/>
    </w:pPr>
    <w:rPr>
      <w:kern w:val="0"/>
      <w:sz w:val="22"/>
      <w:szCs w:val="22"/>
      <w14:ligatures w14:val="none"/>
    </w:rPr>
  </w:style>
  <w:style w:type="paragraph" w:customStyle="1" w:styleId="625AE8D702504BCFA898116C60302CC7">
    <w:name w:val="625AE8D702504BCFA898116C60302CC7"/>
    <w:rsid w:val="00D94A67"/>
    <w:pPr>
      <w:spacing w:line="259" w:lineRule="auto"/>
    </w:pPr>
    <w:rPr>
      <w:kern w:val="0"/>
      <w:sz w:val="22"/>
      <w:szCs w:val="22"/>
      <w14:ligatures w14:val="none"/>
    </w:rPr>
  </w:style>
  <w:style w:type="paragraph" w:customStyle="1" w:styleId="6A31DD834A334B029E6C6E527380D6C5">
    <w:name w:val="6A31DD834A334B029E6C6E527380D6C5"/>
    <w:rsid w:val="00D94A67"/>
    <w:pPr>
      <w:spacing w:line="259" w:lineRule="auto"/>
    </w:pPr>
    <w:rPr>
      <w:kern w:val="0"/>
      <w:sz w:val="22"/>
      <w:szCs w:val="22"/>
      <w14:ligatures w14:val="none"/>
    </w:rPr>
  </w:style>
  <w:style w:type="paragraph" w:customStyle="1" w:styleId="ED384934DADF465496D942625B67F846">
    <w:name w:val="ED384934DADF465496D942625B67F846"/>
    <w:rsid w:val="00D94A67"/>
    <w:pPr>
      <w:spacing w:line="259" w:lineRule="auto"/>
    </w:pPr>
    <w:rPr>
      <w:kern w:val="0"/>
      <w:sz w:val="22"/>
      <w:szCs w:val="22"/>
      <w14:ligatures w14:val="none"/>
    </w:rPr>
  </w:style>
  <w:style w:type="paragraph" w:customStyle="1" w:styleId="F99CC8F426B64329BCC9861014896E03">
    <w:name w:val="F99CC8F426B64329BCC9861014896E03"/>
    <w:rsid w:val="00DF7B3F"/>
  </w:style>
  <w:style w:type="paragraph" w:customStyle="1" w:styleId="06106D81650E4A4EB0CF737FAB5D00E6">
    <w:name w:val="06106D81650E4A4EB0CF737FAB5D00E6"/>
    <w:rsid w:val="00DF7B3F"/>
  </w:style>
  <w:style w:type="paragraph" w:customStyle="1" w:styleId="A1DDF9BC0B654B2D978122F60D86878F">
    <w:name w:val="A1DDF9BC0B654B2D978122F60D86878F"/>
    <w:rsid w:val="00DF7B3F"/>
  </w:style>
  <w:style w:type="paragraph" w:customStyle="1" w:styleId="C9B8CDEB0DA74720BFEDF0EA4B954B2F">
    <w:name w:val="C9B8CDEB0DA74720BFEDF0EA4B954B2F"/>
    <w:rsid w:val="00212443"/>
    <w:pPr>
      <w:spacing w:line="259" w:lineRule="auto"/>
    </w:pPr>
    <w:rPr>
      <w:kern w:val="0"/>
      <w:sz w:val="22"/>
      <w:szCs w:val="22"/>
      <w14:ligatures w14:val="none"/>
    </w:rPr>
  </w:style>
  <w:style w:type="paragraph" w:customStyle="1" w:styleId="F114209483354314AB3FCA8240A826CD">
    <w:name w:val="F114209483354314AB3FCA8240A826CD"/>
    <w:rsid w:val="005615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7ACC72F-1383-4105-8226-3E78FBA56C34}">
  <we:reference id="WA104382081" version="1.55.1.0" store="Omex" storeType="OMEX"/>
  <we:alternateReferences>
    <we:reference id="WA104382081" version="1.55.1.0" store="WA104382081" storeType="OMEX"/>
  </we:alternateReferences>
  <we:properties>
    <we:property name="MENDELEY_BIBLIOGRAPHY_IS_DIRTY" value="true"/>
    <we:property name="MENDELEY_BIBLIOGRAPHY_LAST_MODIFIED" value="1784113905293"/>
    <we:property name="MENDELEY_CITATIONS" value="[{&quot;citationID&quot;:&quot;MENDELEY_CITATION_106d2a3e-a8bc-4670-9d83-8b373f0dcadc&quot;,&quot;properties&quot;:{&quot;noteIndex&quot;:0},&quot;isEdited&quot;:false,&quot;manualOverride&quot;:{&quot;isManuallyOverridden&quot;:true,&quot;citeprocText&quot;:&quot;(Brand et al., 2021; Ding et al., 2024; Millard-Ball et al., 2025)&quot;,&quot;manualOverrideText&quot;:&quot;(see, for example, Brand et al., 2021; Ding et al., 2024; Millard-Ball et al., 2025)&quot;},&quot;citationTag&quot;:&quot;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&quot;,&quot;citationItems&quot;:[{&quot;id&quot;:&quot;ea62e1b0-85bd-3aa8-9f90-2dfceff55821&quot;,&quot;itemData&quot;:{&quot;type&quot;:&quot;article-journal&quot;,&quot;id&quot;:&quot;ea62e1b0-85bd-3aa8-9f90-2dfceff55821&quot;,&quot;title&quot;:&quot;The climate change mitigation impacts of active travel: Evidence from a longitudinal panel study in seven European cities&quot;,&quot;author&quot;:[{&quot;family&quot;:&quot;Brand&quot;,&quot;given&quot;:&quot;Christian&quot;,&quot;parse-names&quot;:false,&quot;dropping-particle&quot;:&quot;&quot;,&quot;non-dropping-particle&quot;:&quot;&quot;},{&quot;family&quot;:&quot;Götschi&quot;,&quot;given&quot;:&quot;Thomas&quot;,&quot;parse-names&quot;:false,&quot;dropping-particle&quot;:&quot;&quot;,&quot;non-dropping-particle&quot;:&quot;&quot;},{&quot;family&quot;:&quot;Dons&quot;,&quot;given&quot;:&quot;Evi&quot;,&quot;parse-names&quot;:false,&quot;dropping-particle&quot;:&quot;&quot;,&quot;non-dropping-particle&quot;:&quot;&quot;},{&quot;family&quot;:&quot;Gerike&quot;,&quot;given&quot;:&quot;Regine&quot;,&quot;parse-names&quot;:false,&quot;dropping-particle&quot;:&quot;&quot;,&quot;non-dropping-particle&quot;:&quot;&quot;},{&quot;family&quot;:&quot;Anaya-Boig&quot;,&quot;given&quot;:&quot;Esther&quot;,&quot;parse-names&quot;:false,&quot;dropping-particle&quot;:&quot;&quot;,&quot;non-dropping-particle&quot;:&quot;&quot;},{&quot;family&quot;:&quot;Avila-Palencia&quot;,&quot;given&quot;:&quot;Ione&quot;,&quot;parse-names&quot;:false,&quot;dropping-particle&quot;:&quot;&quot;,&quot;non-dropping-particle&quot;:&quot;&quot;},{&quot;family&quot;:&quot;Nazelle&quot;,&quot;given&quot;:&quot;Audrey&quot;,&quot;parse-names&quot;:false,&quot;dropping-particle&quot;:&quot;&quot;,&quot;non-dropping-particle&quot;:&quot;de&quot;},{&quot;family&quot;:&quot;Gascon&quot;,&quot;given&quot;:&quot;Mireia&quot;,&quot;parse-names&quot;:false,&quot;dropping-particle&quot;:&quot;&quot;,&quot;non-dropping-particle&quot;:&quot;&quot;},{&quot;family&quot;:&quot;Gaupp-Berghausen&quot;,&quot;given&quot;:&quot;Mailin&quot;,&quot;parse-names&quot;:false,&quot;dropping-particle&quot;:&quot;&quot;,&quot;non-dropping-particle&quot;:&quot;&quot;},{&quot;family&quot;:&quot;Iacorossi&quot;,&quot;given&quot;:&quot;Francesco&quot;,&quot;parse-names&quot;:false,&quot;dropping-particle&quot;:&quot;&quot;,&quot;non-dropping-particle&quot;:&quot;&quot;},{&quot;family&quot;:&quot;Kahlmeier&quot;,&quot;given&quot;:&quot;Sonja&quot;,&quot;parse-names&quot;:false,&quot;dropping-particle&quot;:&quot;&quot;,&quot;non-dropping-particle&quot;:&quot;&quot;},{&quot;family&quot;:&quot;Int Panis&quot;,&quot;given&quot;:&quot;Luc&quot;,&quot;parse-names&quot;:false,&quot;dropping-particle&quot;:&quot;&quot;,&quot;non-dropping-particle&quot;:&quot;&quot;},{&quot;family&quot;:&quot;Racioppi&quot;,&quot;given&quot;:&quot;Francesca&quot;,&quot;parse-names&quot;:false,&quot;dropping-particle&quot;:&quot;&quot;,&quot;non-dropping-particle&quot;:&quot;&quot;},{&quot;family&quot;:&quot;Rojas-Rueda&quot;,&quot;given&quot;:&quot;David&quot;,&quot;parse-names&quot;:false,&quot;dropping-particle&quot;:&quot;&quot;,&quot;non-dropping-particle&quot;:&quot;&quot;},{&quot;family&quot;:&quot;Standaert&quot;,&quot;given&quot;:&quot;Arnout&quot;,&quot;parse-names&quot;:false,&quot;dropping-particle&quot;:&quot;&quot;,&quot;non-dropping-particle&quot;:&quot;&quot;},{&quot;family&quot;:&quot;Stigell&quot;,&quot;given&quot;:&quot;Erik&quot;,&quot;parse-names&quot;:false,&quot;dropping-particle&quot;:&quot;&quot;,&quot;non-dropping-particle&quot;:&quot;&quot;},{&quot;family&quot;:&quot;Sulikova&quot;,&quot;given&quot;:&quot;Simona&quot;,&quot;parse-names&quot;:false,&quot;dropping-particle&quot;:&quot;&quot;,&quot;non-dropping-particle&quot;:&quot;&quot;},{&quot;family&quot;:&quot;Wegener&quot;,&quot;given&quot;:&quot;Sandra&quot;,&quot;parse-names&quot;:false,&quot;dropping-particle&quot;:&quot;&quot;,&quot;non-dropping-particle&quot;:&quot;&quot;},{&quot;family&quot;:&quot;Nieuwenhuijsen&quot;,&quot;given&quot;:&quot;Mark J.&quot;,&quot;parse-names&quot;:false,&quot;dropping-particle&quot;:&quot;&quot;,&quot;non-dropping-particle&quot;:&quot;&quot;}],&quot;container-title&quot;:&quot;Global Environmental Change&quot;,&quot;DOI&quot;:&quot;10.1016/j.gloenvcha.2021.102224&quot;,&quot;ISSN&quot;:&quot;09593780&quot;,&quot;issued&quot;:{&quot;date-parts&quot;:[[2021,3,1]]},&quot;abstract&quot;:&quot;Active travel (walking or cycling for transport) is considered the most sustainable and low carbon form of getting from A to B. Yet the net effects of changes in active travel on changes in mobility-related CO2 emissions are complex and under-researched. Here we collected longitudinal data on daily travel behavior, journey purpose, as well as personal and geospatial characteristics in seven European cities and derived mobility-related lifecycle CO2 emissions over time and space. Statistical modelling of longitudinal panel (n = 1849) data was performed to assess how changes in active travel, the ‘main mode’ of daily travel, and cycling frequency influenced changes in mobility-related lifecycle CO2 emissions. We found that changes in active travel have significant lifecycle carbon emissions benefits, even in European urban contexts with already high walking and cycling shares. An increase in cycling or walking consistently and independently decreased mobility-related lifecycle CO2 emissions, suggesting that active travel substituted for motorized travel – i.e. the increase was not just additional (induced) travel over and above motorized travel. To illustrate this, an average person cycling 1 trip/day more and driving 1 trip/day less for 200 days a year would decrease mobility-related lifecycle CO2 emissions by about 0.5 tonnes over a year, representing a substantial share of average per capita CO2 emissions from transport. The largest benefits from shifts from car to active travel were for business purposes, followed by social and recreational trips, and commuting to work or place of education. Changes to commuting emissions were more pronounced for those who were younger, lived closer to work and further to a public transport station. Even if not all car trips could be substituted by active travel the potential for decreasing emissions is considerable and significant. The study gives policy and practice the empirical evidence needed to assess climate change mitigation impacts of urban transport measures and interventions aimed at mode shift to more sustainable modes of transport. Investing in and promoting active travel whilst ‘demoting’ private car ownership and use should be a cornerstone of strategies to meet ‘net zero’ carbon targets, particularly in urban areas, while also reducing inequalities and improving public health and quality of urban life in a post-COVID-19 world.&quot;,&quot;publisher&quot;:&quot;Elsevier Ltd&quot;,&quot;volume&quot;:&quot;67&quot;,&quot;container-title-short&quot;:&quot;&quot;},&quot;isTemporary&quot;:false},{&quot;id&quot;:&quot;0e19eb29-5971-3aa5-aadf-d6f803f1f353&quot;,&quot;itemData&quot;:{&quot;type&quot;:&quot;report&quot;,&quot;id&quot;:&quot;0e19eb29-5971-3aa5-aadf-d6f803f1f353&quot;,&quot;title&quot;:&quot;The co-benefits of active travel interventions beyond physical activity: a systematic review&quot;,&quot;author&quot;:[{&quot;family&quot;:&quot;Ding&quot;,&quot;given&quot;:&quot;Ding&quot;,&quot;parse-names&quot;:false,&quot;dropping-particle&quot;:&quot;&quot;,&quot;non-dropping-particle&quot;:&quot;&quot;},{&quot;family&quot;:&quot;Luo&quot;,&quot;given&quot;:&quot;Mengyun&quot;,&quot;parse-names&quot;:false,&quot;dropping-particle&quot;:&quot;&quot;,&quot;non-dropping-particle&quot;:&quot;&quot;},{&quot;family&quot;:&quot;Infante&quot;,&quot;given&quot;:&quot;Maria Florencia Petrelli&quot;,&quot;parse-names&quot;:false,&quot;dropping-particle&quot;:&quot;&quot;,&quot;non-dropping-particle&quot;:&quot;&quot;},{&quot;family&quot;:&quot;Gunn&quot;,&quot;given&quot;:&quot;Lucy&quot;,&quot;parse-names&quot;:false,&quot;dropping-particle&quot;:&quot;&quot;,&quot;non-dropping-particle&quot;:&quot;&quot;},{&quot;family&quot;:&quot;Salvo&quot;,&quot;given&quot;:&quot;Deborah&quot;,&quot;parse-names&quot;:false,&quot;dropping-particle&quot;:&quot;&quot;,&quot;non-dropping-particle&quot;:&quot;&quot;},{&quot;family&quot;:&quot;Zapata-Diomedi&quot;,&quot;given&quot;:&quot;Belen&quot;,&quot;parse-names&quot;:false,&quot;dropping-particle&quot;:&quot;&quot;,&quot;non-dropping-particle&quot;:&quot;&quot;},{&quot;family&quot;:&quot;Smith&quot;,&quot;given&quot;:&quot;Ben&quot;,&quot;parse-names&quot;:false,&quot;dropping-particle&quot;:&quot;&quot;,&quot;non-dropping-particle&quot;:&quot;&quot;},{&quot;family&quot;:&quot;Bellew&quot;,&quot;given&quot;:&quot;William&quot;,&quot;parse-names&quot;:false,&quot;dropping-particle&quot;:&quot;&quot;,&quot;non-dropping-particle&quot;:&quot;&quot;},{&quot;family&quot;:&quot;Bauman&quot;,&quot;given&quot;:&quot;Adrian&quot;,&quot;parse-names&quot;:false,&quot;dropping-particle&quot;:&quot;&quot;,&quot;non-dropping-particle&quot;:&quot;&quot;},{&quot;family&quot;:&quot;Nau&quot;,&quot;given&quot;:&quot;Tracy&quot;,&quot;parse-names&quot;:false,&quot;dropping-particle&quot;:&quot;&quot;,&quot;non-dropping-particle&quot;:&quot;&quot;},{&quot;family&quot;:&quot;Nguyen&quot;,&quot;given&quot;:&quot;Binh&quot;,&quot;parse-names&quot;:false,&quot;dropping-particle&quot;:&quot;&quot;,&quot;non-dropping-particle&quot;:&quot;&quot;}],&quot;container-title&quot;:&quot;Review Lancet Planet Health&quot;,&quot;DOI&quot;:&quot;10.1016/S2542-5196(24)00201-8&quot;,&quot;URL&quot;:&quot;www.thelancet.com/&quot;,&quot;issued&quot;:{&quot;date-parts&quot;:[[2024]]},&quot;abstract&quot;:&quot;Active travel is a widely recognised strategy for promoting active living but its co-benefits beyond increasing physical activity, such as broader health, environmental, and social benefits, have rarely been synthesised. We conducted a systematic review to examine the co-benefits of active travel interventions. Following a preregistered protocol (PROSPERO CRD42022359059), we identified 80 studies for the search period from Jan 1, 2000, to Sept 13, 2022. Across studies, there was consistent evidence that active travel interventions offered co-benefits beyond physical activity. Particularly, 25 (71%) of 35 studies favoured improved safety outcomes, 20 (67%) of 30 showed improved health, 17 (85%) of 20 supported economic benefits, 16 (84%) of 19 highlighted improved transport quality, 12 (92%) of 13 showed environmental benefits, and four (80%) of five documented social benefits. Despite the overall low-certainty evidence, mostly limited by the quasi-experimental design and natural-experimental design of many of the studies, active travel interventions offer unique opportunities to engage stakeholders across sectors to jointly address major societal issues, such as physical inactivity, traffic safety, and carbon emissions. This evidence can inform the design, implementation, and evaluation of active travel interventions.&quot;,&quot;container-title-short&quot;:&quot;&quot;},&quot;isTemporary&quot;:false},{&quot;id&quot;:&quot;4fc58381-00ce-3abf-9319-f7f9a17c5acc&quot;,&quot;itemData&quot;:{&quot;type&quot;:&quot;article-journal&quot;,&quot;id&quot;:&quot;4fc58381-00ce-3abf-9319-f7f9a17c5acc&quot;,&quot;title&quot;:&quot;Global health and climate benefits from walking and cycling infrastructure&quot;,&quot;author&quot;:[{&quot;family&quot;:&quot;Millard-Ball&quot;,&quot;given&quot;:&quot;Adam&quot;,&quot;parse-names&quot;:false,&quot;dropping-particle&quot;:&quot;&quot;,&quot;non-dropping-particle&quot;:&quot;&quot;},{&quot;family&quot;:&quot;Reginald&quot;,&quot;given&quot;:&quot;Monisha&quot;,&quot;parse-names&quot;:false,&quot;dropping-particle&quot;:&quot;&quot;,&quot;non-dropping-particle&quot;:&quot;&quot;},{&quot;family&quot;:&quot;Yusuf&quot;,&quot;given&quot;:&quot;Yasmina&quot;,&quot;parse-names&quot;:false,&quot;dropping-particle&quot;:&quot;&quot;,&quot;non-dropping-particle&quot;:&quot;&quot;},{&quot;family&quot;:&quot;Bian&quot;,&quot;given&quot;:&quot;Christopher&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2422334122&quot;,&quot;ISSN&quot;:&quot;10916490&quot;,&quot;PMID&quot;:&quot;40489615&quot;,&quot;issued&quot;:{&quot;date-parts&quot;:[[2025,6,17]]},&quot;abstract&quot;:&quot;We use a globally consistent dataset—Google Environmental Insights Explorer—to quantify how urban form and transport infrastructure affect walking and cycling rates in 11,587 cities from 121 countries across six continents. At the city level, population density has the largest effect on walk mode share and has a positive impact on cycling too, as higher densities bring destinations within feasible walk and cycle distances. Density has the strongest effects in wealthier countries where travelers often have more travel choices, while in lower-income places, walking and cycling may be primarily driven by financial constraints. We also find positive effects of bicycle lanes (proxying for a wider array of street design practices) on both walking and cycling. In the median city, each new km of bicycle lanes is associated with ~13,400 additional km yr-1 of bicycle travel. If every city increased the extent of its bicycle network to the level of Copenhagen, Denmark, our simulations indicate reductions in private vehicle emissions of ~6% and health benefits of ~US$435 billion per year.&quot;,&quot;publisher&quot;:&quot;National Academy of Sciences&quot;,&quot;issue&quot;:&quot;24&quot;,&quot;volume&quot;:&quot;122&quot;},&quot;isTemporary&quot;:false}]},{&quot;citationID&quot;:&quot;MENDELEY_CITATION_b55034e1-e9e3-4e69-b382-f3077634da42&quot;,&quot;properties&quot;:{&quot;noteIndex&quot;:0},&quot;isEdited&quot;:false,&quot;manualOverride&quot;:{&quot;isManuallyOverridden&quot;:true,&quot;citeprocText&quot;:&quot;(Hamilton &amp;#38; Wichman, 2018; M. Wang &amp;#38; Zhou, 2017)&quot;,&quot;manualOverrideText&quot;:&quot;(Wang and Zhou, 2017; Hamilton and Wichman, 2018)&quot;},&quot;citationTag&quot;:&quot;MENDELEY_CITATION_v3_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&quot;,&quot;citationItems&quot;:[{&quot;id&quot;:&quot;c19ed064-ae46-3d6d-91e4-31a66dbf6695&quot;,&quot;itemData&quot;:{&quot;type&quot;:&quot;article-journal&quot;,&quot;id&quot;:&quot;c19ed064-ae46-3d6d-91e4-31a66dbf6695&quot;,&quot;title&quot;:&quot;Bicycle infrastructure and traffic congestion: Evidence from DC's Capital Bikeshare&quot;,&quot;author&quot;:[{&quot;family&quot;:&quot;Hamilton&quot;,&quot;given&quot;:&quot;Timothy L.&quot;,&quot;parse-names&quot;:false,&quot;dropping-particle&quot;:&quot;&quot;,&quot;non-dropping-particle&quot;:&quot;&quot;},{&quot;family&quot;:&quot;Wichman&quot;,&quot;given&quot;:&quot;Casey J.&quot;,&quot;parse-names&quot;:false,&quot;dropping-particle&quot;:&quot;&quot;,&quot;non-dropping-particle&quot;:&quot;&quot;}],&quot;container-title&quot;:&quot;Journal of Environmental Economics and Management&quot;,&quot;container-title-short&quot;:&quot;J. Environ. Econ. Manage.&quot;,&quot;DOI&quot;:&quot;10.1016/j.jeem.2017.03.007&quot;,&quot;ISSN&quot;:&quot;10960449&quot;,&quot;issued&quot;:{&quot;date-parts&quot;:[[2018,1,1]]},&quot;page&quot;:&quot;72-93&quot;,&quot;abstract&quot;:&quot;This study explores the impact of bicycle-sharing infrastructure on urban transportation. We estimate a causal effect of the Capital Bikeshare on traffic congestion in the metropolitan Washington, D.C., area. We exploit a unique traffic dataset that is finely defined on a spatial and temporal scale. Our approach examines within-city commuting decisions as opposed to traffic patterns on major thruways. Empirical results suggest that the availability of a bikeshare reduces traffic congestion upwards of 4% within a neighborhood. In addition, we estimate heterogeneous treatment effects using panel quantile regression. Results indicate that the congestion-reducing impact of bikeshares is concentrated in highly congested areas.&quot;,&quot;publisher&quot;:&quot;Academic Press Inc.&quot;,&quot;volume&quot;:&quot;87&quot;},&quot;isTemporary&quot;:false},{&quot;id&quot;:&quot;4a66355c-6f67-3a53-ac60-cf0200d3f8e1&quot;,&quot;itemData&quot;:{&quot;type&quot;:&quot;article-journal&quot;,&quot;id&quot;:&quot;4a66355c-6f67-3a53-ac60-cf0200d3f8e1&quot;,&quot;title&quot;:&quot;Bike-sharing systems and congestion: Evidence from US cities&quot;,&quot;author&quot;:[{&quot;family&quot;:&quot;Wang&quot;,&quot;given&quot;:&quot;Mingshu&quot;,&quot;parse-names&quot;:false,&quot;dropping-particle&quot;:&quot;&quot;,&quot;non-dropping-particle&quot;:&quot;&quot;},{&quot;family&quot;:&quot;Zhou&quot;,&quot;given&quot;:&quot;Xiaolu&quot;,&quot;parse-names&quot;:false,&quot;dropping-particle&quot;:&quot;&quot;,&quot;non-dropping-particle&quot;:&quot;&quot;}],&quot;container-title&quot;:&quot;Journal of Transport Geography&quot;,&quot;container-title-short&quot;:&quot;J. Transp. Geogr.&quot;,&quot;DOI&quot;:&quot;10.1016/j.jtrangeo.2017.10.022&quot;,&quot;ISSN&quot;:&quot;09666923&quot;,&quot;issued&quot;:{&quot;date-parts&quot;:[[2017,12,1]]},&quot;page&quot;:&quot;147-154&quot;,&quot;abstract&quot;:&quot;In the past decades, there has been a resurgence of public bike-sharing systems (BSSs). While it is claimed that social and environmental benefits are associated with the implementation of BSSs, few empirical studies have investigated the actual congestion reduction effect of BSSs on cities. To fill such gap, this paper aims to examine whether the launch of BSSs can reduce citywide congestion. With a panel dataset of 96 urban areas in the US from 2005 to 2014, we employed a difference-in-differences model with two-way fixed-effects panel regression. The results suggested that the introduction of BSSs shows a significant mixed impact on congestion in general: Larger cities get better off but richer cities get worse off. Such results are consistent with both subsample regression with propensity score matching and different congestion measures. Post-hoc analysis reveals that BSSs have a significant positive effect on reducing rush-hour congestion. Finally, implications, limitations, and future work directions are offered&quot;,&quot;publisher&quot;:&quot;Elsevier Ltd&quot;,&quot;volume&quot;:&quot;65&quot;},&quot;isTemporary&quot;:false}]},{&quot;citationID&quot;:&quot;MENDELEY_CITATION_9c082606-7220-4073-8d44-b855bb5f2d0b&quot;,&quot;properties&quot;:{&quot;noteIndex&quot;:0},&quot;isEdited&quot;:false,&quot;manualOverride&quot;:{&quot;isManuallyOverridden&quot;:true,&quot;citeprocText&quot;:&quot;(Neves &amp;#38; Brand, 2019)&quot;,&quot;manualOverrideText&quot;:&quot;(Neves and Brand, 2019)&quot;},&quot;citationTag&quot;:&quot;MENDELEY_CITATION_v3_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&quot;,&quot;citationItems&quot;:[{&quot;id&quot;:&quot;1da1fb50-ee90-3fe8-8897-927722d92ec8&quot;,&quot;itemData&quot;:{&quot;type&quot;:&quot;article-journal&quot;,&quot;id&quot;:&quot;1da1fb50-ee90-3fe8-8897-927722d92ec8&quot;,&quot;title&quot;:&quot;Assessing the potential for carbon emissions savings from replacing short car trips with walking and cycling using a mixed GPS-travel diary approach&quot;,&quot;author&quot;:[{&quot;family&quot;:&quot;Neves&quot;,&quot;given&quot;:&quot;Andre&quot;,&quot;parse-names&quot;:false,&quot;dropping-particle&quot;:&quot;&quot;,&quot;non-dropping-particle&quot;:&quot;&quot;},{&quot;family&quot;:&quot;Brand&quot;,&quot;given&quot;:&quot;Christian&quot;,&quot;parse-names&quot;:false,&quot;dropping-particle&quot;:&quot;&quot;,&quot;non-dropping-particle&quot;:&quot;&quot;}],&quot;container-title&quot;:&quot;Transportation Research Part A: Policy and Practice&quot;,&quot;container-title-short&quot;:&quot;Transp. Res. Part A Policy Pract.&quot;,&quot;DOI&quot;:&quot;10.1016/j.tra.2018.08.022&quot;,&quot;ISSN&quot;:&quot;09658564&quot;,&quot;issued&quot;:{&quot;date-parts&quot;:[[2019,5,1]]},&quot;page&quot;:&quot;130-146&quot;,&quot;abstract&quot;:&quot;There is a growing recognition of the role that walking and cycling can make in reducing greenhouse gas (GHG) emissions by substituting motorized travel, particularly on short trips. However, there is a lack of evidence at the micro level on the realistic, empirically derived potential of walking and cycling to displace motorized travel and thus reduce GHG emissions. The aim of this study was to investigate the potential for GHG emissions savings from replacing short car trips with walking and cycling and the extent to which high quality infrastructure for walking and cycling may influence day-to-day travel decisions, change the spatial and temporal nature of local journeys and impact on overall GHG emissions from motorised travel. To achieve this aim this study conducted an in-depth observational study of a purposively selected cohort of 50 residents in Cardiff, Wales. Using a mixed-method approach detailed quantitative and qualitative data were collected for each participant using personal Global Position System (GPS) devices, 7-day travel diaries and contextual interviews over two seasonally matching 7-day time periods in 2011 and 2012. GHG emissions for motorized travel modes were derived using journey distance, vehicle technology details and average speeds obtained from the GPS data. The spatial and contextual data provided new insights into the complexities of walking behaviour and factors influencing cycling for everyday travel or recreation, including route choice decisions, activity destinations and the role of the new infrastructure to enable change. We found significant potential of active travel to substitute short car trips, with sizeable impacts on carbon emissions from personal travel. Half of all car trips were less than 3 miles long. Taking into account individual travel patterns and constraints, walking or cycling could realistically substitute for 41% of short car trips, saving nearly 5% of CO2e emissions from car travel. This was on top of 5% of ‘avoided’ emissions from cars due to existing walking and cycling. The evolving high quality walking and cycling infrastructure in the case study area was unlikely to promote a significant reduction in carbon emissions from (displaced) car journeys on its own. The study contributes to the debate on how to achieve stringent low carbon targets in urban transport. The combination of methods for data collection developed and employed in this study also helps to inform future research on the wider environmental impacts of active travel, including ‘co-benefits’ of improved air quality, reduced noise and reduced fossil fuel use.&quot;,&quot;publisher&quot;:&quot;Elsevier Ltd&quot;,&quot;volume&quot;:&quot;123&quot;},&quot;isTemporary&quot;:false,&quot;suppress-author&quot;:false,&quot;composite&quot;:false,&quot;author-only&quot;:false}]},{&quot;citationID&quot;:&quot;MENDELEY_CITATION_54637854-c0f7-4227-81d6-3452328ac189&quot;,&quot;properties&quot;:{&quot;noteIndex&quot;:0},&quot;isEdited&quot;:false,&quot;manualOverride&quot;:{&quot;isManuallyOverridden&quot;:true,&quot;citeprocText&quot;:&quot;(Baran et al., 2024; Berrie et al., 2024)&quot;,&quot;manualOverrideText&quot;:&quot;(Berrie et al., 2024; Baran et al., 2024)&quot;},&quot;citationTag&quot;:&quot;MENDELEY_CITATION_v3_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&quot;,&quot;citationItems&quot;:[{&quot;id&quot;:&quot;f529ce48-5d4e-3ff3-a9d8-f4b7b41b25ad&quot;,&quot;itemData&quot;:{&quot;type&quot;:&quot;article-journal&quot;,&quot;id&quot;:&quot;f529ce48-5d4e-3ff3-a9d8-f4b7b41b25ad&quot;,&quot;title&quot;:&quot;Does cycle commuting reduce the risk of mental ill-health? An instrumental variable analysis using distance to nearest cycle path&quot;,&quot;author&quot;:[{&quot;family&quot;:&quot;Berrie&quot;,&quot;given&quot;:&quot;Laurie&quot;,&quot;parse-names&quot;:false,&quot;dropping-particle&quot;:&quot;&quot;,&quot;non-dropping-particle&quot;:&quot;&quot;},{&quot;family&quot;:&quot;Feng&quot;,&quot;given&quot;:&quot;Zhiqiang&quot;,&quot;parse-names&quot;:false,&quot;dropping-particle&quot;:&quot;&quot;,&quot;non-dropping-particle&quot;:&quot;&quot;},{&quot;family&quot;:&quot;Rice&quot;,&quot;given&quot;:&quot;David&quot;,&quot;parse-names&quot;:false,&quot;dropping-particle&quot;:&quot;&quot;,&quot;non-dropping-particle&quot;:&quot;&quot;},{&quot;family&quot;:&quot;Clemens&quot;,&quot;given&quot;:&quot;Tom&quot;,&quot;parse-names&quot;:false,&quot;dropping-particle&quot;:&quot;&quot;,&quot;non-dropping-particle&quot;:&quot;&quot;},{&quot;family&quot;:&quot;Williamson&quot;,&quot;given&quot;:&quot;Lee&quot;,&quot;parse-names&quot;:false,&quot;dropping-particle&quot;:&quot;&quot;,&quot;non-dropping-particle&quot;:&quot;&quot;},{&quot;family&quot;:&quot;Dibben&quot;,&quot;given&quot;:&quot;Chris&quot;,&quot;parse-names&quot;:false,&quot;dropping-particle&quot;:&quot;&quot;,&quot;non-dropping-particle&quot;:&quot;&quot;}],&quot;container-title&quot;:&quot;International Journal of Epidemiology&quot;,&quot;container-title-short&quot;:&quot;Int. J. Epidemiol.&quot;,&quot;DOI&quot;:&quot;10.1093/ije/dyad153&quot;,&quot;ISSN&quot;:&quot;14643685&quot;,&quot;PMID&quot;:&quot;38219793&quot;,&quot;issued&quot;:{&quot;date-parts&quot;:[[2024,2,1]]},&quot;abstract&quot;:&quot;Background: Previous studies have linked cycling with improved mental wellbeing but these studies tend to use cross-sectional survey data that have small sample sizes and self-reported health measures, and are potentially susceptible to omitted-variable bias and reverse causation. We use an instrumental variable approach and an objective measure of mental ill-health taken from linked administrative data to ask: ‘Does cycle commuting reduce the risk of mental ill-health?’ Methods: Our study links data on commuting in Edinburgh and Glasgow from the Scottish population census with mental health prescriptions from the National Health Service Prescribing Information System records. We use road distance from home to nearest cycle path as an instrumental variable for cycle commuting. Results: In total, 378 253 people aged 16–74 years living and working in the City of Edinburgh and Glasgow City council areas at the 2011 census were included in our study; 1.85% of commuters in Glasgow and 4.8% of commuters in Edinburgh cycled to work. Amongst cyclists, 9% had a prescription for mental health compared with 14% amongst non-cyclists. Using a bivariate probit model, we estimate a mean average reduction in prescriptions for antidepressants and/or anxiolytics in the 5 years following the census of –15.1% (95% CI: –15.3% to –15.0%) amongst cycle commuters compared with those who use any other mode to commute. Conclusions: This work suggests that cycle commuting is causally related to reduced mental ill-health and provides further evidence in support of the promotion of active travel to encourage commuters travelling shorter distances to shift to cycle commutes.&quot;,&quot;publisher&quot;:&quot;Oxford University Press&quot;,&quot;issue&quot;:&quot;1&quot;,&quot;volume&quot;:&quot;53&quot;},&quot;isTemporary&quot;:false},{&quot;id&quot;:&quot;3c6ed21d-5536-3489-b071-12a00fb64b7d&quot;,&quot;itemData&quot;:{&quot;type&quot;:&quot;article&quot;,&quot;id&quot;:&quot;3c6ed21d-5536-3489-b071-12a00fb64b7d&quot;,&quot;title&quot;:&quot;Active Commuting as a Factor of Cardiovascular Disease Prevention: A Systematic Review with Meta-Analysis&quot;,&quot;author&quot;:[{&quot;family&quot;:&quot;Baran&quot;,&quot;given&quot;:&quot;Claudia&quot;,&quot;parse-names&quot;:false,&quot;dropping-particle&quot;:&quot;&quot;,&quot;non-dropping-particle&quot;:&quot;&quot;},{&quot;family&quot;:&quot;Belgacem&quot;,&quot;given&quot;:&quot;Shanice&quot;,&quot;parse-names&quot;:false,&quot;dropping-particle&quot;:&quot;&quot;,&quot;non-dropping-particle&quot;:&quot;&quot;},{&quot;family&quot;:&quot;Paillet&quot;,&quot;given&quot;:&quot;Mathilde&quot;,&quot;parse-names&quot;:false,&quot;dropping-particle&quot;:&quot;&quot;,&quot;non-dropping-particle&quot;:&quot;&quot;},{&quot;family&quot;:&quot;Abreu&quot;,&quot;given&quot;:&quot;Raphael Martins&quot;,&quot;parse-names&quot;:false,&quot;dropping-particle&quot;:&quot;&quot;,&quot;non-dropping-particle&quot;:&quot;de&quot;},{&quot;family&quot;:&quot;Araujo&quot;,&quot;given&quot;:&quot;Francisco Xavier&quot;,&quot;parse-names&quot;:false,&quot;dropping-particle&quot;:&quot;&quot;,&quot;non-dropping-particle&quot;:&quot;de&quot;},{&quot;family&quot;:&quot;Meroni&quot;,&quot;given&quot;:&quot;Roberto&quot;,&quot;parse-names&quot;:false,&quot;dropping-particle&quot;:&quot;&quot;,&quot;non-dropping-particle&quot;:&quot;&quot;},{&quot;family&quot;:&quot;Corbellini&quot;,&quot;given&quot;:&quot;Camilo&quot;,&quot;parse-names&quot;:false,&quot;dropping-particle&quot;:&quot;&quot;,&quot;non-dropping-particle&quot;:&quot;&quot;}],&quot;container-title&quot;:&quot;Journal of Functional Morphology and Kinesiology&quot;,&quot;container-title-short&quot;:&quot;J. Funct. Morphol. Kinesiol.&quot;,&quot;DOI&quot;:&quot;10.3390/jfmk9030125&quot;,&quot;ISSN&quot;:&quot;24115142&quot;,&quot;issued&quot;:{&quot;date-parts&quot;:[[2024,9,1]]},&quot;abstract&quot;:&quot;Active commuting (AC) may have the potential to prevent the incidence of cardiovascular disease (CVD). However, the evidence for a correlation between AC and the risk of CVD remains uncertain. The current study thoroughly and qualitatively summarized research on the relationship between AC and the risk of CVD disease. From conception through December 2022, researchers explored four databases (PubMed, PEDro, Cochrane, and Bibliothèque Nationale of Luxembourg [BnL]) for observational studies. The initial findings of the search yielded 1042 references. This systematic review includes five papers with 491,352 participants between 16 and 85 years old, with 5 to 20 years of follow-up period. The exposure variable was the mode of transportation used to commute on a typical day (walking, cycling, mixed mode, driving, or taking public transportation). The primary outcome measures were incident CVD, fatal and non-fatal (e.g., ischemic heart disease (IHD), ischemic stroke (IS), hemorrhagic stroke (HS) events, and coronary heart disease (CHD). Despite methodological variability, the current evidence supports AC as a preventive measure for the development of CVD. Future research is needed to standardize methodologies and promote policies for public health and environmental sustainability.&quot;,&quot;publisher&quot;:&quot;Multidisciplinary Digital Publishing Institute (MDPI)&quot;,&quot;issue&quot;:&quot;3&quot;,&quot;volume&quot;:&quot;9&quot;},&quot;isTemporary&quot;:false}]},{&quot;citationID&quot;:&quot;MENDELEY_CITATION_b561fdd7-2e16-438f-8461-bee251b7454b&quot;,&quot;properties&quot;:{&quot;noteIndex&quot;:0},&quot;isEdited&quot;:false,&quot;manualOverride&quot;:{&quot;isManuallyOverridden&quot;:false,&quot;citeprocText&quot;:&quot;(Bricka et al., 2024)&quot;,&quot;manualOverrideText&quot;:&quot;&quot;},&quot;citationTag&quot;:&quot;MENDELEY_CITATION_v3_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&quot;,&quot;citationItems&quot;:[{&quot;id&quot;:&quot;d29f6cd8-c1a2-3124-86f8-bf18418ba0ee&quot;,&quot;itemData&quot;:{&quot;type&quot;:&quot;article-journal&quot;,&quot;id&quot;:&quot;d29f6cd8-c1a2-3124-86f8-bf18418ba0ee&quot;,&quot;title&quot;:&quot;Summary of Travel Trends: 2022 National Household Travel Survey&quot;,&quot;author&quot;:[{&quot;family&quot;:&quot;Bricka&quot;,&quot;given&quot;:&quot;S&quot;,&quot;parse-names&quot;:false,&quot;dropping-particle&quot;:&quot;&quot;,&quot;non-dropping-particle&quot;:&quot;&quot;},{&quot;family&quot;:&quot;Reuscher&quot;,&quot;given&quot;:&quot;T&quot;,&quot;parse-names&quot;:false,&quot;dropping-particle&quot;:&quot;&quot;,&quot;non-dropping-particle&quot;:&quot;&quot;},{&quot;family&quot;:&quot;Schroeder&quot;,&quot;given&quot;:&quot;P&quot;,&quot;parse-names&quot;:false,&quot;dropping-particle&quot;:&quot;&quot;,&quot;non-dropping-particle&quot;:&quot;&quot;},{&quot;family&quot;:&quot;Fisher&quot;,&quot;given&quot;:&quot;M&quot;,&quot;parse-names&quot;:false,&quot;dropping-particle&quot;:&quot;&quot;,&quot;non-dropping-particle&quot;:&quot;&quot;},{&quot;family&quot;:&quot;Beard&quot;,&quot;given&quot;:&quot;J&quot;,&quot;parse-names&quot;:false,&quot;dropping-particle&quot;:&quot;&quot;,&quot;non-dropping-particle&quot;:&quot;&quot;},{&quot;family&quot;:&quot;Sun&quot;,&quot;given&quot;:&quot;L&quot;,&quot;parse-names&quot;:false,&quot;dropping-particle&quot;:&quot;&quot;,&quot;non-dropping-particle&quot;:&quot;&quot;}],&quot;accessed&quot;:{&quot;date-parts&quot;:[[2026,4,25]]},&quot;URL&quot;:&quot;https://nhts.ornl.gov/.&quot;,&quot;issued&quot;:{&quot;date-parts&quot;:[[2024]]},&quot;container-title-short&quot;:&quot;&quot;},&quot;isTemporary&quot;:false,&quot;suppress-author&quot;:false,&quot;composite&quot;:false,&quot;author-only&quot;:false}]},{&quot;citationID&quot;:&quot;MENDELEY_CITATION_0b02b549-c1ea-4258-a1ab-32b75a9f826b&quot;,&quot;properties&quot;:{&quot;noteIndex&quot;:0},&quot;isEdited&quot;:false,&quot;manualOverride&quot;:{&quot;isManuallyOverridden&quot;:true,&quot;citeprocText&quot;:&quot;(North American Bikeshare and Scootershare Association, 2025)&quot;,&quot;manualOverrideText&quot;:&quot;North American Bikeshare and Scootershare Association, 2025)&quot;},&quot;citationTag&quot;:&quot;MENDELEY_CITATION_v3_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&quot;,&quot;citationItems&quot;:[{&quot;id&quot;:&quot;0952d158-8ec5-34e9-868b-01589c6570b4&quot;,&quot;itemData&quot;:{&quot;type&quot;:&quot;report&quot;,&quot;id&quot;:&quot;0952d158-8ec5-34e9-868b-01589c6570b4&quot;,&quot;title&quot;:&quot;Shared Micromobility State of the Industry Report&quot;,&quot;author&quot;:[{&quot;family&quot;:&quot;North American Bikeshare and Scootershare Association&quot;,&quot;given&quot;:&quot;&quot;,&quot;parse-names&quot;:false,&quot;dropping-particle&quot;:&quot;&quot;,&quot;non-dropping-particle&quot;:&quot;&quot;}],&quot;issued&quot;:{&quot;date-parts&quot;:[[2025]]},&quot;container-title-short&quot;:&quot;&quot;},&quot;isTemporary&quot;:false,&quot;suppress-author&quot;:false,&quot;composite&quot;:false,&quot;author-only&quot;:false}]},{&quot;citationID&quot;:&quot;MENDELEY_CITATION_6ee6e54b-a3dc-4d8d-824e-d5f3540bfeda&quot;,&quot;properties&quot;:{&quot;noteIndex&quot;:0},&quot;isEdited&quot;:false,&quot;manualOverride&quot;:{&quot;isManuallyOverridden&quot;:true,&quot;citeprocText&quot;:&quot;(Hamidi et al., 2026; Hamidi &amp;#38; Ewing, 2014)&quot;,&quot;manualOverrideText&quot;:&quot;(Hamidi and Ewing, 2014; Hamidi et al., 2026)&quot;},&quot;citationTag&quot;:&quot;MENDELEY_CITATION_v3_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&quot;,&quot;citationItems&quot;:[{&quot;id&quot;:&quot;91843686-85e7-3521-aabd-2608e17fda4a&quot;,&quot;itemData&quot;:{&quot;type&quot;:&quot;article-journal&quot;,&quot;id&quot;:&quot;91843686-85e7-3521-aabd-2608e17fda4a&quot;,&quot;title&quot;:&quot;Who Sprawls the Most in 2020 and What Has Changed Since 2010? Measuring Metropolitan Sprawl and Tracking a Decade of Changes in the United States&quot;,&quot;author&quot;:[{&quot;family&quot;:&quot;Hamidi&quot;,&quot;given&quot;:&quot;Shima&quot;,&quot;parse-names&quot;:false,&quot;dropping-particle&quot;:&quot;&quot;,&quot;non-dropping-particle&quot;:&quot;&quot;},{&quot;family&quot;:&quot;Abdollahpour&quot;,&quot;given&quot;:&quot;Seyed Sajjad&quot;,&quot;parse-names&quot;:false,&quot;dropping-particle&quot;:&quot;&quot;,&quot;non-dropping-particle&quot;:&quot;&quot;},{&quot;family&quot;:&quot;Azimi&quot;,&quot;given&quot;:&quot;Ebrahim&quot;,&quot;parse-names&quot;:false,&quot;dropping-particle&quot;:&quot;&quot;,&quot;non-dropping-particle&quot;:&quot;&quot;},{&quot;family&quot;:&quot;Ewing&quot;,&quot;given&quot;:&quot;Reid&quot;,&quot;parse-names&quot;:false,&quot;dropping-particle&quot;:&quot;&quot;,&quot;non-dropping-particle&quot;:&quot;&quot;}],&quot;container-title&quot;:&quot;Journal of the American Planning Association&quot;,&quot;DOI&quot;:&quot;10.1080/01944363.2026.2646482&quot;,&quot;ISSN&quot;:&quot;01944363&quot;,&quot;issued&quot;:{&quot;date-parts&quot;:[[2026]]},&quot;abstract&quot;:&quot;Problem, research strategy, and findings: Urban sprawl and its impacts on quality of life remain a long-standing debate in planning, heightened today by challenges of health, housing, and climate crises. In this study we developed a multidimensional compactness index for 233 large and medium-sized U.S. metropolitan areas in 2020, drawing on 21 built environment variables across four urban form dimensions: density, land use mix, centering, and street connectivity. We successfully validated this index against transportation outcomes using both inferential and machine learning approaches. Finally, we developed a comparable index for 2010 and tracked changes in sprawl in the past decade. Results showed wide variations across regions, with Riverside (CA) ranking as the most sprawling (index = 54.32) and San Francisco (CA) as the most compact (index = 242.91) in 2020. According to our longitudinal analysis, metropolitan areas have become slightly more sprawling, but the rankings remained relatively stable. However, a closer look at score changes for individual metropolitan statistical areas (MSAs) revealed a different narrative. Atlanta (GA) is on the top of the list of most sprawling MSAs in both years though it has experienced an impressive increase in its compactness score (mostly centering score) during this period. We further discuss several MSAs with noticeable score changes. Our transportation analyses suggest 120 as a threshold value in which compactness meaningfully increases the predicted share of walking and transit commuting, whereas for the household vehicle ownership and average drive time, the threshold is roughly 100. Takeaway for practice: The updated compactness indices and their changes since 2010 provide planners and policymakers with a practical tool to benchmark and monitor metropolitan development patterns. By identifying thresholds where compactness begins to yield significant transportation and sustainability benefits, the index can guide target setting, prioritize interventions, and support planning processes aimed at reducing car dependence and advancing sustainable metropolitan development.&quot;,&quot;publisher&quot;:&quot;Routledge&quot;,&quot;container-title-short&quot;:&quot;&quot;},&quot;isTemporary&quot;:false},{&quot;id&quot;:&quot;28e7e6f1-c0b0-3adc-8ae3-3d5411a94293&quot;,&quot;itemData&quot;:{&quot;type&quot;:&quot;article-journal&quot;,&quot;id&quot;:&quot;28e7e6f1-c0b0-3adc-8ae3-3d5411a94293&quot;,&quot;title&quot;:&quot;A longitudinal study of changes in urban sprawl between 2000 and 2010 in the United States&quot;,&quot;author&quot;:[{&quot;family&quot;:&quot;Hamidi&quot;,&quot;given&quot;:&quot;Shima&quot;,&quot;parse-names&quot;:false,&quot;dropping-particle&quot;:&quot;&quot;,&quot;non-dropping-particle&quot;:&quot;&quot;},{&quot;family&quot;:&quot;Ewing&quot;,&quot;given&quot;:&quot;Reid&quot;,&quot;parse-names&quot;:false,&quot;dropping-particle&quot;:&quot;&quot;,&quot;non-dropping-particle&quot;:&quot;&quot;}],&quot;container-title&quot;:&quot;Landscape and Urban Planning&quot;,&quot;container-title-short&quot;:&quot;Landsc. Urban Plan.&quot;,&quot;DOI&quot;:&quot;10.1016/j.landurbplan.2014.04.021&quot;,&quot;ISSN&quot;:&quot;01692046&quot;,&quot;issued&quot;:{&quot;date-parts&quot;:[[2014]]},&quot;page&quot;:&quot;72-82&quot;,&quot;abstract&quot;:&quot;The debate over metropolitan sprawl and its costs has been ongoing since the early 1970s in the U.S. To inform the debate, this study uses principal component analysis (PCA) and 2010 cross sectional data for large U.S. urbanized areas (UZAs) to operationalize compactness/sprawl in each of four dimensions-development density, land use mix, activity centering, and street accessibility. Higher values represent greater compactness, lower values greater sprawl. The four factors are then combined into an overall compactness/sprawl index. The study then applies factor score coefficient values for 2010 to the same variables for 2000 to create comparable metrics for 2000. Compactness scores for 2000 are compared to the same scores for 2010 to see which UZAs sprawled the most between censuses, and which sprawled the least or actually became more compact.Finally, the study validates the compactness index and its component factors against transportation outcomes for 2010, specifically walk mode share, transit mode share, and average drive time on the journey to work. If sprawl has any widely accepted outcome, it is automobile dependence and heavy automobile use. Consistent with this characterization of sprawl, this study finds that the overall compactness index bears a strong relationship to transportation outcomes. Generalizing across the entire universe of large urbanized areas in the U.S., compactness decreased and sprawl increased between the two census years; but only slightly. Several urbanized areas, however, have significantly different rankings in 2000 than 2010. © 2014 Elsevier B.V.&quot;,&quot;publisher&quot;:&quot;Elsevier B.V.&quot;,&quot;volume&quot;:&quot;128&quot;},&quot;isTemporary&quot;:false}]},{&quot;citationID&quot;:&quot;MENDELEY_CITATION_86d68d26-1d1d-4335-95c4-01d2ac5cd807&quot;,&quot;properties&quot;:{&quot;noteIndex&quot;:0},&quot;isEdited&quot;:false,&quot;manualOverride&quot;:{&quot;isManuallyOverridden&quot;:false,&quot;citeprocText&quot;:&quot;(Loo, 2021)&quot;,&quot;manualOverrideText&quot;:&quot;&quot;},&quot;citationTag&quot;:&quot;MENDELEY_CITATION_v3_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&quot;,&quot;citationItems&quot;:[{&quot;id&quot;:&quot;3a621c05-b937-3e1e-bf2e-a95fb68a8e7f&quot;,&quot;itemData&quot;:{&quot;type&quot;:&quot;article-journal&quot;,&quot;id&quot;:&quot;3a621c05-b937-3e1e-bf2e-a95fb68a8e7f&quot;,&quot;title&quot;:&quot;Walking towards a happy city&quot;,&quot;author&quot;:[{&quot;family&quot;:&quot;Loo&quot;,&quot;given&quot;:&quot;Becky P.Y.&quot;,&quot;parse-names&quot;:false,&quot;dropping-particle&quot;:&quot;&quot;,&quot;non-dropping-particle&quot;:&quot;&quot;}],&quot;container-title&quot;:&quot;Journal of Transport Geography&quot;,&quot;container-title-short&quot;:&quot;J. Transp. Geogr.&quot;,&quot;DOI&quot;:&quot;10.1016/j.jtrangeo.2021.103078&quot;,&quot;ISSN&quot;:&quot;09666923&quot;,&quot;issued&quot;:{&quot;date-parts&quot;:[[2021,5,1]]},&quot;abstract&quot;:&quot;This paper aims to pursue and to strengthen a paradigm shift in transport. It offers a fresh perspective on how the vehicle-oriented paradigm has been translated into specific biased practices and priorities in transport policy and research that jeopardized walkability. Then, it examines the transformational role of walking in the sustainable urban mobility transition. By considering walking as an experience, the paper shares a people-oriented and place-based framework for measuring and promoting walkable cities based on the local context of Hong Kong. On the way forward, it highlights the irreplaceable and leading role of governments in promoting walkability. Finally, it suggests two strategic directions of quantifying and fully integrating walking-related variables in transport design manuals, and ensuring a seamless transport experience for people using sustainable transport modes.&quot;,&quot;publisher&quot;:&quot;Elsevier Ltd&quot;,&quot;volume&quot;:&quot;93&quot;},&quot;isTemporary&quot;:false,&quot;suppress-author&quot;:false,&quot;composite&quot;:false,&quot;author-only&quot;:false}]},{&quot;citationID&quot;:&quot;MENDELEY_CITATION_138da045-2568-4b80-a257-cb5225a1c7ca&quot;,&quot;properties&quot;:{&quot;noteIndex&quot;:0},&quot;isEdited&quot;:false,&quot;manualOverride&quot;:{&quot;isManuallyOverridden&quot;:true,&quot;citeprocText&quot;:&quot;(Bland et al., 2024; Buehler &amp;#38; Pucher, 2021)&quot;,&quot;manualOverrideText&quot;:&quot;(Buehler and Pucher, 2021; Bland et al., 2024)&quot;},&quot;citationTag&quot;:&quot;MENDELEY_CITATION_v3_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&quot;,&quot;citationItems&quot;:[{&quot;id&quot;:&quot;4c8d1dfe-7817-38d8-8515-05ba18b63c20&quot;,&quot;itemData&quot;:{&quot;type&quot;:&quot;article-journal&quot;,&quot;id&quot;:&quot;4c8d1dfe-7817-38d8-8515-05ba18b63c20&quot;,&quot;title&quot;:&quot;Taking steps toward healthy &amp; sustainable transport investment: A systematic review of economic evaluations in the academic literature on large-scale active transport infrastructure&quot;,&quot;author&quot;:[{&quot;family&quot;:&quot;Bland&quot;,&quot;given&quot;:&quot;Madison&quot;,&quot;parse-names&quot;:false,&quot;dropping-particle&quot;:&quot;&quot;,&quot;non-dropping-particle&quot;:&quot;&quot;},{&quot;family&quot;:&quot;Burke&quot;,&quot;given&quot;:&quot;Matthew I.&quot;,&quot;parse-names&quot;:false,&quot;dropping-particle&quot;:&quot;&quot;,&quot;non-dropping-particle&quot;:&quot;&quot;},{&quot;family&quot;:&quot;Bertolaccini&quot;,&quot;given&quot;:&quot;Kelly&quot;,&quot;parse-names&quot;:false,&quot;dropping-particle&quot;:&quot;&quot;,&quot;non-dropping-particle&quot;:&quot;&quot;}],&quot;container-title&quot;:&quot;International Journal of Sustainable Transportation&quot;,&quot;container-title-short&quot;:&quot;Int. J. Sustain. Transp.&quot;,&quot;accessed&quot;:{&quot;date-parts&quot;:[[2026,6,21]]},&quot;DOI&quot;:&quot;10.1080/15568318.2023.2296952&quot;,&quot;ISSN&quot;:&quot;15568334&quot;,&quot;URL&quot;:&quot;https://www.tandfonline.com/doi/pdf/10.1080/15568318.2023.2296952&quot;,&quot;issued&quot;:{&quot;date-parts&quot;:[[2024]]},&quot;page&quot;:&quot;201-220&quot;,&quot;abstract&quot;:&quot;1. In encouraging more people to walk and cycle for everyday trips, the delivery of dedicated active transport infrastructure assists cities to improve public health, reduce traffic congestion, and...&quot;,&quot;publisher&quot;:&quot;Taylor &amp; Francis&quot;,&quot;issue&quot;:&quot;3&quot;,&quot;volume&quot;:&quot;18&quot;},&quot;isTemporary&quot;:false},{&quot;id&quot;:&quot;fdf6ad11-d4e7-387e-9bab-58bc6e6fc297&quot;,&quot;itemData&quot;:{&quot;type&quot;:&quot;article-journal&quot;,&quot;id&quot;:&quot;fdf6ad11-d4e7-387e-9bab-58bc6e6fc297&quot;,&quot;title&quot;:&quot;The growing gap in pedestrian and cyclist fatality rates between the United States and the United Kingdom, Germany, Denmark, and the Netherlands, 1990–2018&quot;,&quot;author&quot;:[{&quot;family&quot;:&quot;Buehler&quot;,&quot;given&quot;:&quot;Ralph&quot;,&quot;parse-names&quot;:false,&quot;dropping-particle&quot;:&quot;&quot;,&quot;non-dropping-particle&quot;:&quot;&quot;},{&quot;family&quot;:&quot;Pucher&quot;,&quot;given&quot;:&quot;John&quot;,&quot;parse-names&quot;:false,&quot;dropping-particle&quot;:&quot;&quot;,&quot;non-dropping-particle&quot;:&quot;&quot;}],&quot;container-title&quot;:&quot;Transport Reviews&quot;,&quot;container-title-short&quot;:&quot;Transp. Rev.&quot;,&quot;DOI&quot;:&quot;10.1080/01441647.2020.1823521&quot;,&quot;ISSN&quot;:&quot;14645327&quot;,&quot;issued&quot;:{&quot;date-parts&quot;:[[2021]]},&quot;page&quot;:&quot;48-72&quot;,&quot;abstract&quot;:&quot;Using official national data for each country, this article calculates trends in walking and cycling fatalities per capita and per km in the USA, the UK, Germany, the Netherlands, and Denmark. From 1990 to 2018, pedestrian fatalities per capita fell by 23% in the USA vs. 66%–80% in the other countries; cyclist fatalities per capita fell by 22% in the USA vs. 55%–68% in the other countries. In 2018, pedestrian fatality rates per km in the USA were 5–10 times higher than in the other four countries; cyclist fatality rates per km in the USA were 4–7 times higher. The gap in walking and cycling fatality rates between the USA and the other countries increased over the entire 28-year period, but especially from 2010 to 2018. Over that 8-year period, per-capita fatality rates in the USA rose by 19% for pedestrians and 11% for cyclists; per-km fatality rates rose by 17% for pedestrians and 33% for cyclists. By comparison, fatality rates either fell or remained stable in the four European countries. We reviewed the relevant literature to identify factors that might help explain the much lower walking and cycling fatality rates in Europe compared to the USA. Possible explanatory factors include better walking and cycling infrastructure; lower urban speed limits; fewer vehicle km travelled; smaller and less powerful personal motor vehicles; and better traffic training, testing, and enforcement of traffic regulations. We recommend that the USA consider implementing an integrated package of mutually reinforcing safety measures such as those that have been successfully implemented in the Netherlands, Denmark, and Germany to reduce pedestrian and cyclist fatality rates.&quot;,&quot;publisher&quot;:&quot;Routledge&quot;,&quot;issue&quot;:&quot;1&quot;,&quot;volume&quot;:&quot;41&quot;},&quot;isTemporary&quot;:false}]},{&quot;citationID&quot;:&quot;MENDELEY_CITATION_7777d4c1-8ab3-40d4-aca2-0c5713cd8e78&quot;,&quot;properties&quot;:{&quot;noteIndex&quot;:0},&quot;isEdited&quot;:false,&quot;manualOverride&quot;:{&quot;isManuallyOverridden&quot;:true,&quot;citeprocText&quot;:&quot;(Aldred, 2019; Cerin et al., 2017; Pearson et al., 2025)&quot;,&quot;manualOverrideText&quot;:&quot;Cerin et al., 2017; Aldred, 2019; Pearson et al., 2025)&quot;},&quot;citationTag&quot;:&quot;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&quot;,&quot;citationItems&quot;:[{&quot;id&quot;:&quot;39f7efd9-df36-30f4-8087-65eeae66439c&quot;,&quot;itemData&quot;:{&quot;type&quot;:&quot;article&quot;,&quot;id&quot;:&quot;39f7efd9-df36-30f4-8087-65eeae66439c&quot;,&quot;title&quot;:&quot;Built Environment Interventions to Increase Active Travel: a Critical Review and Discussion&quot;,&quot;author&quot;:[{&quot;family&quot;:&quot;Aldred&quot;,&quot;given&quot;:&quot;Rachel&quot;,&quot;parse-names&quot;:false,&quot;dropping-particle&quot;:&quot;&quot;,&quot;non-dropping-particle&quot;:&quot;&quot;}],&quot;container-title&quot;:&quot;Current environmental health reports&quot;,&quot;container-title-short&quot;:&quot;Curr. Environ. Health Rep.&quot;,&quot;DOI&quot;:&quot;10.1007/s40572-019-00254-4&quot;,&quot;ISSN&quot;:&quot;21965412&quot;,&quot;PMID&quot;:&quot;31773498&quot;,&quot;issued&quot;:{&quot;date-parts&quot;:[[2019,12,1]]},&quot;page&quot;:&quot;309-315&quot;,&quot;abstract&quot;:&quot;Purpose of Review: To review the literature on built environment interventions to increase active travel, focusing on work since 2000 and on methodological choices and challenges affecting studies. Recent Findings: Increasingly, there is evidence that built environment interventions can lead to more walking or cycling. Evidence is stronger for cycling than for walking interventions, and there is a relative lack of evidence around differential impacts of interventions. Some of the evidence remains methodologically weak, with much work in the ‘grey’ literature. Summary: While evidence in the area continues to grow, data gaps remain. Greater use of quasi-experimental techniques, improvements in routine monitoring of smaller schemes, and the use of new big data sources are promising. More qualitative research could help develop a more sophisticated understanding of behaviour change.&quot;,&quot;publisher&quot;:&quot;Springer&quot;,&quot;issue&quot;:&quot;4&quot;,&quot;volume&quot;:&quot;6&quot;},&quot;isTemporary&quot;:false},{&quot;id&quot;:&quot;2d93738f-3ee4-3b5d-9137-fd21e866cfe2&quot;,&quot;itemData&quot;:{&quot;type&quot;:&quot;article-journal&quot;,&quot;id&quot;:&quot;2d93738f-3ee4-3b5d-9137-fd21e866cfe2&quot;,&quot;title&quot;:&quot;The neighbourhood physical environment and active travel in older adults: a systematic review and meta-analysis&quot;,&quot;author&quot;:[{&quot;family&quot;:&quot;Cerin&quot;,&quot;given&quot;:&quot;Ester&quot;,&quot;parse-names&quot;:false,&quot;dropping-particle&quot;:&quot;&quot;,&quot;non-dropping-particle&quot;:&quot;&quot;},{&quot;family&quot;:&quot;Nathan&quot;,&quot;given&quot;:&quot;Andrea&quot;,&quot;parse-names&quot;:false,&quot;dropping-particle&quot;:&quot;&quot;,&quot;non-dropping-particle&quot;:&quot;&quot;},{&quot;family&quot;:&quot;Cauwenberg&quot;,&quot;given&quot;:&quot;Jelle&quot;,&quot;parse-names&quot;:false,&quot;dropping-particle&quot;:&quot;&quot;,&quot;non-dropping-particle&quot;:&quot;van&quot;},{&quot;family&quot;:&quot;Barnett&quot;,&quot;given&quot;:&quot;David W.&quot;,&quot;parse-names&quot;:false,&quot;dropping-particle&quot;:&quot;&quot;,&quot;non-dropping-particle&quot;:&quot;&quot;},{&quot;family&quot;:&quot;Barnett&quot;,&quot;given&quot;:&quot;Anthony&quot;,&quot;parse-names&quot;:false,&quot;dropping-particle&quot;:&quot;&quot;,&quot;non-dropping-particle&quot;:&quot;&quot;}],&quot;container-title&quot;:&quot;International Journal of Behavioral Nutrition and Physical Activity 2017 14:1&quot;,&quot;accessed&quot;:{&quot;date-parts&quot;:[[2026,4,1]]},&quot;DOI&quot;:&quot;10.1186/s12966-017-0471-5&quot;,&quot;ISSN&quot;:&quot;1479-5868&quot;,&quot;PMID&quot;:&quot;28166790&quot;,&quot;URL&quot;:&quot;https://link.springer.com/article/10.1186/s12966-017-0471-5&quot;,&quot;issued&quot;:{&quot;date-parts&quot;:[[2017,2,6]]},&quot;page&quot;:&quot;15-&quot;,&quot;abstract&quot;:&quot;Perceived and objectively-assessed aspects of the neighbourhood physical environment have been postulated to be key contributors to regular engagement in active travel (AT) in older adults. We systematically reviewed the literature on neighbourhood physical environmental correlates of AT in older adults and applied a novel meta-analytic approach to statistically quantify the strength of evidence for environment-AT associations. Forty two quantitative studies that estimated associations of aspects of the neighbourhood built environment with AT in older adults (aged ≥ 65&amp;nbsp;years) and met selection criteria were reviewed and meta-analysed. Findings were analysed according to five AT outcomes (total walking for transport, within-neighbourhood walking for transport, combined walking and cycling for transport, cycling for transport, and all AT outcomes combined) and seven categories of the neighbourhood physical environment (residential density/urbanisation, walkability, street connectivity, access to/availability of services/destinations, pedestrian and cycling infrastructure, aesthetics and cleanliness/order, and safety and traffic). Most studies examined correlates of total walking for transport. A sufficient amount of evidence of positive associations with total walking for transport was found for residential density/urbanisation, walkability, street connectivity, overall access to destinations/services, land use mix, pedestrian-friendly features and access to several types of destinations. Littering/vandalism/decay was negatively related to total walking for transport. Limited evidence was available on correlates of cycling and combined walking and cycling for transport, while sufficient evidence emerged for a positive association of within-neighbourhood walking with pedestrian-friendly features and availability of benches/sitting facilities. Correlates of all AT combined mirrored those of walking for transport. Positive associations were also observed with food outlets, business/institutional/industrial destinations, availability of street lights, easy access to building entrance and human and motorised traffic volume. Several but inconsistent individual- and environmental-level moderators of associations were identified. Results support strong links between the neighbourhood physical environment and older adults’ AT. Future research should focus on the identification of types and mixes of destinations that support AT in older adults and how these interact with individual characteristics and other environmental factors. Future research should also aim to clarify dose-response relationships through multi-country investigations and data-pooling from diverse geographical regions.&quot;,&quot;publisher&quot;:&quot;BioMed Central&quot;,&quot;issue&quot;:&quot;1&quot;,&quot;volume&quot;:&quot;14&quot;,&quot;container-title-short&quot;:&quot;&quot;},&quot;isTemporary&quot;:false},{&quot;id&quot;:&quot;9453b4c2-62da-34f7-8e16-46901306c63b&quot;,&quot;itemData&quot;:{&quot;type&quot;:&quot;article-journal&quot;,&quot;id&quot;:&quot;9453b4c2-62da-34f7-8e16-46901306c63b&quot;,&quot;title&quot;:&quot;Effectiveness of interventions for modal shift to walking and bike riding: a systematic review with meta-analysis&quot;,&quot;author&quot;:[{&quot;family&quot;:&quot;Pearson&quot;,&quot;given&quot;:&quot;Lauren&quot;,&quot;parse-names&quot;:false,&quot;dropping-particle&quot;:&quot;&quot;,&quot;non-dropping-particle&quot;:&quot;&quot;},{&quot;family&quot;:&quot;Page&quot;,&quot;given&quot;:&quot;Matthew J.&quot;,&quot;parse-names&quot;:false,&quot;dropping-particle&quot;:&quot;&quot;,&quot;non-dropping-particle&quot;:&quot;&quot;},{&quot;family&quot;:&quot;Gerhard&quot;,&quot;given&quot;:&quot;Robyn&quot;,&quot;parse-names&quot;:false,&quot;dropping-particle&quot;:&quot;&quot;,&quot;non-dropping-particle&quot;:&quot;&quot;},{&quot;family&quot;:&quot;Clarke&quot;,&quot;given&quot;:&quot;Nyssa&quot;,&quot;parse-names&quot;:false,&quot;dropping-particle&quot;:&quot;&quot;,&quot;non-dropping-particle&quot;:&quot;&quot;},{&quot;family&quot;:&quot;Winters&quot;,&quot;given&quot;:&quot;Meghan&quot;,&quot;parse-names&quot;:false,&quot;dropping-particle&quot;:&quot;&quot;,&quot;non-dropping-particle&quot;:&quot;&quot;},{&quot;family&quot;:&quot;Bauman&quot;,&quot;given&quot;:&quot;Adrian&quot;,&quot;parse-names&quot;:false,&quot;dropping-particle&quot;:&quot;&quot;,&quot;non-dropping-particle&quot;:&quot;&quot;},{&quot;family&quot;:&quot;Arogundade&quot;,&quot;given&quot;:&quot;Laolu&quot;,&quot;parse-names&quot;:false,&quot;dropping-particle&quot;:&quot;&quot;,&quot;non-dropping-particle&quot;:&quot;&quot;},{&quot;family&quot;:&quot;Beck&quot;,&quot;given&quot;:&quot;Ben&quot;,&quot;parse-names&quot;:false,&quot;dropping-particle&quot;:&quot;&quot;,&quot;non-dropping-particle&quot;:&quot;&quot;}],&quot;container-title&quot;:&quot;Transport Reviews&quot;,&quot;container-title-short&quot;:&quot;Transp. Rev.&quot;,&quot;accessed&quot;:{&quot;date-parts&quot;:[[2026,5,19]]},&quot;DOI&quot;:&quot;10.1080/01441647.2025.2480292&quot;,&quot;ISSN&quot;:&quot;14645327&quot;,&quot;URL&quot;:&quot;https://www.tandfonline.com/doi/pdf/10.1080/01441647.2025.2480292&quot;,&quot;issued&quot;:{&quot;date-parts&quot;:[[2025,7,4]]},&quot;page&quot;:&quot;482-513&quot;,&quot;abstract&quot;:&quot;The physical and mental health, environmental, social and economic benefits of shifting from private car travel to active travel (walking and bike riding) are well established (Brand et al., 2021; ...&quot;,&quot;publisher&quot;:&quot;Routledge&quot;,&quot;issue&quot;:&quot;4&quot;,&quot;volume&quot;:&quot;45&quot;},&quot;isTemporary&quot;:false}]},{&quot;citationID&quot;:&quot;MENDELEY_CITATION_5478cd26-03a8-4616-8a05-35af15bd9ee6&quot;,&quot;properties&quot;:{&quot;noteIndex&quot;:0},&quot;isEdited&quot;:false,&quot;manualOverride&quot;:{&quot;isManuallyOverridden&quot;:true,&quot;citeprocText&quot;:&quot;(De Vos et al., 2023; Lättman et al., 2018; Ma et al., 2014; van der Vlugt et al., 2022)&quot;,&quot;manualOverrideText&quot;:&quot;(Ma et al., 2014; Lättman et al., 2018; van der Vlugt et al., 2022; De Vos et al., 2023)&quot;},&quot;citationTag&quot;:&quot;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&quot;,&quot;citationItems&quot;:[{&quot;id&quot;:&quot;c29c2eb6-55cc-3eeb-8baf-bc9058d77901&quot;,&quot;itemData&quot;:{&quot;type&quot;:&quot;article-journal&quot;,&quot;id&quot;:&quot;c29c2eb6-55cc-3eeb-8baf-bc9058d77901&quot;,&quot;title&quot;:&quot;Determinants and effects of perceived walkability: a literature review, conceptual model and research agenda&quot;,&quot;author&quot;:[{&quot;family&quot;:&quot;Vos&quot;,&quot;given&quot;:&quot;Jonas&quot;,&quot;parse-names&quot;:false,&quot;dropping-particle&quot;:&quot;&quot;,&quot;non-dropping-particle&quot;:&quot;De&quot;},{&quot;family&quot;:&quot;Lättman&quot;,&quot;given&quot;:&quot;Katrin&quot;,&quot;parse-names&quot;:false,&quot;dropping-particle&quot;:&quot;&quot;,&quot;non-dropping-particle&quot;:&quot;&quot;},{&quot;family&quot;:&quot;Vlugt&quot;,&quot;given&quot;:&quot;Anna Lena&quot;,&quot;parse-names&quot;:false,&quot;dropping-particle&quot;:&quot;&quot;,&quot;non-dropping-particle&quot;:&quot;van der&quot;},{&quot;family&quot;:&quot;Welsch&quot;,&quot;given&quot;:&quot;Janina&quot;,&quot;parse-names&quot;:false,&quot;dropping-particle&quot;:&quot;&quot;,&quot;non-dropping-particle&quot;:&quot;&quot;},{&quot;family&quot;:&quot;Otsuka&quot;,&quot;given&quot;:&quot;Noriko&quot;,&quot;parse-names&quot;:false,&quot;dropping-particle&quot;:&quot;&quot;,&quot;non-dropping-particle&quot;:&quot;&quot;}],&quot;container-title&quot;:&quot;Transport Reviews&quot;,&quot;container-title-short&quot;:&quot;Transp. Rev.&quot;,&quot;accessed&quot;:{&quot;date-parts&quot;:[[2026,4,22]]},&quot;DOI&quot;:&quot;10.1080/01441647.2022.2101072&quot;,&quot;ISSN&quot;:&quot;14645327&quot;,&quot;URL&quot;:&quot;/doi/pdf/10.1080/01441647.2022.2101072?download=true&quot;,&quot;issued&quot;:{&quot;date-parts&quot;:[[2023]]},&quot;page&quot;:&quot;303-324&quot;,&quot;abstract&quot;:&quot;For decades, accessibility–i.e. the ease of reaching destinations–has been an important concept in transport planning, resulting in many studies trying to measure it and put it into practice. Also walkability, a mode-specific type of accessibility referring to how easy it is to walk (to destinations) received increased attention in the last two decades. In recent years, a new focus has been on how people perceive their accessibility as this may be a stronger predictor of travel behaviour than objective elements of accessibility (such as built environment characteristics). Perceived walkability, i.e. how walk-friendly people experience a certain area, however, has only been explored by a limited number of studies. In this review paper, we give an overview of existing studies analysing perceived walkability, which mostly have focused on its effects on walking frequency/duration, physical activity and various aspects of mental well-being. Based on this literature review, a conceptual model is created, emphasising the determinants and effects of perceived walkability and how it is related to objective walkability. We end this paper by providing avenues for further research, including the introduction of a Short Perceived Walkability Scale (SPWS) and recommendations for data collection and analysis. Doing so can create new insights into perceived walkability and links with related elements, and therefore can contribute to stimulating walking trips and improving the experience of these trips.&quot;,&quot;publisher&quot;:&quot;Routledge&quot;,&quot;issue&quot;:&quot;2&quot;,&quot;volume&quot;:&quot;43&quot;},&quot;isTemporary&quot;:false},{&quot;id&quot;:&quot;e8ddeba1-9850-39b6-b95d-f18a4db43bbd&quot;,&quot;itemData&quot;:{&quot;type&quot;:&quot;article-journal&quot;,&quot;id&quot;:&quot;e8ddeba1-9850-39b6-b95d-f18a4db43bbd&quot;,&quot;title&quot;:&quot;A new approach to accessibility – Examining perceived accessibility in contrast to objectively measured accessibility in daily travel&quot;,&quot;author&quot;:[{&quot;family&quot;:&quot;Lättman&quot;,&quot;given&quot;:&quot;Katrin&quot;,&quot;parse-names&quot;:false,&quot;dropping-particle&quot;:&quot;&quot;,&quot;non-dropping-particle&quot;:&quot;&quot;},{&quot;family&quot;:&quot;Olsson&quot;,&quot;given&quot;:&quot;Lars E.&quot;,&quot;parse-names&quot;:false,&quot;dropping-particle&quot;:&quot;&quot;,&quot;non-dropping-particle&quot;:&quot;&quot;},{&quot;family&quot;:&quot;Friman&quot;,&quot;given&quot;:&quot;Margareta&quot;,&quot;parse-names&quot;:false,&quot;dropping-particle&quot;:&quot;&quot;,&quot;non-dropping-particle&quot;:&quot;&quot;}],&quot;container-title&quot;:&quot;Research in Transportation Economics&quot;,&quot;accessed&quot;:{&quot;date-parts&quot;:[[2026,4,25]]},&quot;DOI&quot;:&quot;10.1016/j.retrec.2018.06.002&quot;,&quot;ISSN&quot;:&quot;0739-8859&quot;,&quot;URL&quot;:&quot;https://www.sciencedirect.com/science/article/pii/S0739885917302445&quot;,&quot;issued&quot;:{&quot;date-parts&quot;:[[2018,9,1]]},&quot;page&quot;:&quot;501-511&quot;,&quot;abstract&quot;:&quot;Accessibility has conventionally been measured and evaluated ignoring user perceptions in favor of focusing on travel time and distance to a number of pre-determined destinations. Acknowledging this gap, we recently developed a scale for perceived accessibility PAC (Lättman, Friman, &amp; Olsson 2016b) aimed at capturing the individual perspective of accessibility with a certain travel mode. In this paper, we 1) further develop the PAC measure of perceived accessibility in order to capture how easy it is to live a satisfactory life with the help of the transport system, 2) compare levels of perceived accessibility between residential areas and main travel modes, and 3) compare residents’ perceived accessibility to the objective accessibility level for the same residential area. Data from 2711 residents of Malmö, Sweden show that perceived accessibility is consistently different from objective accessibility across 13 residential areas, with minor differences in levels of perceived accessibility between areas. Surprisingly, bicycle users rate their accessibility significantly higher than those who mainly use the car or public transport for daily travel, contrary to objective accessibility assumptions. These differences point at the importance of including perceived accessibility as a complementary tool when planning for and evaluating transport systems.&quot;,&quot;publisher&quot;:&quot;Elsevier&quot;,&quot;volume&quot;:&quot;69&quot;,&quot;container-title-short&quot;:&quot;&quot;},&quot;isTemporary&quot;:false},{&quot;id&quot;:&quot;fb67e727-d8f7-32b1-b4cb-4503456724e8&quot;,&quot;itemData&quot;:{&quot;type&quot;:&quot;article-journal&quot;,&quot;id&quot;:&quot;fb67e727-d8f7-32b1-b4cb-4503456724e8&quot;,&quot;title&quot;:&quot;The objective versus the perceived environment: what matters for bicycling?&quot;,&quot;author&quot;:[{&quot;family&quot;:&quot;Ma&quot;,&quot;given&quot;:&quot;Liang&quot;,&quot;parse-names&quot;:false,&quot;dropping-particle&quot;:&quot;&quot;,&quot;non-dropping-particle&quot;:&quot;&quot;},{&quot;family&quot;:&quot;Dill&quot;,&quot;given&quot;:&quot;Jennifer&quot;,&quot;parse-names&quot;:false,&quot;dropping-particle&quot;:&quot;&quot;,&quot;non-dropping-particle&quot;:&quot;&quot;},{&quot;family&quot;:&quot;Mohr&quot;,&quot;given&quot;:&quot;Cynthia&quot;,&quot;parse-names&quot;:false,&quot;dropping-particle&quot;:&quot;&quot;,&quot;non-dropping-particle&quot;:&quot;&quot;}],&quot;container-title&quot;:&quot;Transportation 2014 41:6&quot;,&quot;accessed&quot;:{&quot;date-parts&quot;:[[2026,5,19]]},&quot;DOI&quot;:&quot;10.1007/s11116-014-9520-y&quot;,&quot;ISSN&quot;:&quot;1572-9435&quot;,&quot;URL&quot;:&quot;https://link.springer.com/article/10.1007/s11116-014-9520-y&quot;,&quot;issued&quot;:{&quot;date-parts&quot;:[[2014,4,22]]},&quot;page&quot;:&quot;1135-1152&quot;,&quot;abstract&quot;:&quot;This paper examines the relationship between the objectively measured and perceived built environment, and the relative strength of their association with bicycling behavior. By drawing on socio-cognitive theory, a conceptual model was proposed to explain the relationships between the objective environment, perceived environment, and bicycling behavior. Objective and perceived bike environments were measured using two latent constructs and structural equation modeling was employed to estimate the models based on data from three neighborhoods in Portland, Oregon. Results of this study showed that the perception of the environment had a direct and significant effect on bicycling behavior, while the direct effect of the objective environment on bicycling behavior became insignificant when controlling for perception. We therefore concluded that the objective environment may only indirectly affect bicycling behavior by influencing perceptions. An objectively good environment for bicycling was necessary but not sufficient for bicycling. Intervention programs to improve people’s perceptions of the environment may be necessary to reap the full potential of planning and design policies.&quot;,&quot;publisher&quot;:&quot;Springer&quot;,&quot;issue&quot;:&quot;6&quot;,&quot;volume&quot;:&quot;41&quot;,&quot;container-title-short&quot;:&quot;&quot;},&quot;isTemporary&quot;:false},{&quot;id&quot;:&quot;03b02710-17d0-3e9b-8cf2-a6691e5945b8&quot;,&quot;itemData&quot;:{&quot;type&quot;:&quot;article-journal&quot;,&quot;id&quot;:&quot;03b02710-17d0-3e9b-8cf2-a6691e5945b8&quot;,&quot;title&quot;:&quot;The influence of travel attitudes on perceived walking accessibility and walking behaviour&quot;,&quot;author&quot;:[{&quot;family&quot;:&quot;Vlugt&quot;,&quot;given&quot;:&quot;Anna Lena&quot;,&quot;parse-names&quot;:false,&quot;dropping-particle&quot;:&quot;&quot;,&quot;non-dropping-particle&quot;:&quot;van der&quot;},{&quot;family&quot;:&quot;Curl&quot;,&quot;given&quot;:&quot;Angela&quot;,&quot;parse-names&quot;:false,&quot;dropping-particle&quot;:&quot;&quot;,&quot;non-dropping-particle&quot;:&quot;&quot;},{&quot;family&quot;:&quot;Scheiner&quot;,&quot;given&quot;:&quot;Joachim&quot;,&quot;parse-names&quot;:false,&quot;dropping-particle&quot;:&quot;&quot;,&quot;non-dropping-particle&quot;:&quot;&quot;}],&quot;container-title&quot;:&quot;Travel Behaviour and Society&quot;,&quot;container-title-short&quot;:&quot;Travel Behav. Soc.&quot;,&quot;DOI&quot;:&quot;10.1016/j.tbs.2021.11.002&quot;,&quot;ISSN&quot;:&quot;2214367X&quot;,&quot;issued&quot;:{&quot;date-parts&quot;:[[2022,4,1]]},&quot;page&quot;:&quot;47-56&quot;,&quot;abstract&quot;:&quot;People are driven by their perceptions. Perceptions of the environment shape mobility decisions and represent the “lived reality” of accessibility but are mostly disregarded in common accessibility analysis. This paper explores the role of perceived accessibility. By using a structural equation modelling (SEM) approach, we investigate multiple relations between travel attitudes, socio-demographic factors, objective walking accessibility, perceived walking accessibility and realised walking behaviour in three steps. Firstly, we analyse the influence of objective walking accessibility and travel attitudes on perceived walking accessibility. Secondly, we look at perceived walking accessibility as a mediator variable and, finally, we investigate the association between perceived walking accessibility and walking behaviour. Key results imply that travel attitudes are important in understanding variations in perceptions, in terms of direct effects and as mediator variables. Perceived walking accessibility directly affects the probability of walking and plays, therefore, an important role in understanding travel behaviour. The implications of our results are discussed with regard to future research gaps and policy.&quot;,&quot;publisher&quot;:&quot;Elsevier Ltd&quot;,&quot;volume&quot;:&quot;27&quot;},&quot;isTemporary&quot;:false}]},{&quot;citationID&quot;:&quot;MENDELEY_CITATION_1b7cee18-0b2d-4cdc-a316-ed37da4ca1db&quot;,&quot;properties&quot;:{&quot;noteIndex&quot;:0},&quot;isEdited&quot;:false,&quot;manualOverride&quot;:{&quot;isManuallyOverridden&quot;:true,&quot;citeprocText&quot;:&quot;(Biehl et al., 2018; Dill &amp;#38; McNeil, 2016)&quot;,&quot;manualOverrideText&quot;:&quot;Dill and McNeil (2016) and Biehl et al. (2018)&quot;},&quot;citationTag&quot;:&quot;MENDELEY_CITATION_v3_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&quot;,&quot;citationItems&quot;:[{&quot;id&quot;:&quot;dfd99369-1116-34fc-863e-c6789c8ab028&quot;,&quot;itemData&quot;:{&quot;type&quot;:&quot;article-journal&quot;,&quot;id&quot;:&quot;dfd99369-1116-34fc-863e-c6789c8ab028&quot;,&quot;title&quot;:&quot;Modelling determinants of walking and cycling adoption: A stage-of-change perspective&quot;,&quot;author&quot;:[{&quot;family&quot;:&quot;Biehl&quot;,&quot;given&quot;:&quot;Alec&quot;,&quot;parse-names&quot;:false,&quot;dropping-particle&quot;:&quot;&quot;,&quot;non-dropping-particle&quot;:&quot;&quot;},{&quot;family&quot;:&quot;Ermagun&quot;,&quot;given&quot;:&quot;Alireza&quot;,&quot;parse-names&quot;:false,&quot;dropping-particle&quot;:&quot;&quot;,&quot;non-dropping-particle&quot;:&quot;&quot;},{&quot;family&quot;:&quot;Stathopoulos&quot;,&quot;given&quot;:&quot;Amanda&quot;,&quot;parse-names&quot;:false,&quot;dropping-particle&quot;:&quot;&quot;,&quot;non-dropping-particle&quot;:&quot;&quot;}],&quot;container-title&quot;:&quot;Transportation Research Part F: Traffic Psychology and Behaviour&quot;,&quot;container-title-short&quot;:&quot;Transp. Res. Part F Traffic Psychol. Behav.&quot;,&quot;DOI&quot;:&quot;10.1016/j.trf.2018.06.016&quot;,&quot;ISSN&quot;:&quot;13698478&quot;,&quot;issued&quot;:{&quot;date-parts&quot;:[[2018,10,1]]},&quot;page&quot;:&quot;452-470&quot;,&quot;abstract&quot;:&quot;Shifting travel away from cars and towards more active modes has proven a formidable policy challenge. This study aims to uncover the determinants of walking and cycling adoption by applying a stage-of-change framework. Drawing on the Transtheoretical Model, this framework models the adoption of active modes as a series of stages from pre-contemplation to maintenance. Ordinal logit models applied to US data (n = 914) illustrate the importance of both observable demographic-personal and perceptual-attitudinal variables for determining stage-of-change membership. Comparing walking and cycling, the model reveals both shared variables (vehicle ownership, self-identity) and differing factors (gender, environmental spatial ability) distinguishing among adoption stages, which has significant implications for transport policy. Results indicate that a model combining both demographic-personal and perceptual-attitudinal factors has the best fit and validity, suggesting that travel behavior interventions would benefit from multivariate segmentation methods that consider an array of individual and group characteristics. This research also gives evidence of different determinants motivating change processes for cycling versus walking. Taken together, results suggest a need for tailored policy interventions to promote behavioural adoption based not merely on the specific mode selection, but also on the usage stage under consideration.&quot;,&quot;publisher&quot;:&quot;Elsevier Ltd&quot;,&quot;volume&quot;:&quot;58&quot;},&quot;isTemporary&quot;:false},{&quot;id&quot;:&quot;4c32f9cb-12f2-3b80-be7c-581aaf444fb4&quot;,&quot;itemData&quot;:{&quot;type&quot;:&quot;article-journal&quot;,&quot;id&quot;:&quot;4c32f9cb-12f2-3b80-be7c-581aaf444fb4&quot;,&quot;title&quot;:&quot;Revisiting the Four Types of Cyclists: Findings from a National Survey&quot;,&quot;author&quot;:[{&quot;family&quot;:&quot;Dill&quot;,&quot;given&quot;:&quot;Jennifer&quot;,&quot;parse-names&quot;:false,&quot;dropping-particle&quot;:&quot;&quot;,&quot;non-dropping-particle&quot;:&quot;&quot;},{&quot;family&quot;:&quot;McNeil&quot;,&quot;given&quot;:&quot;Nathan&quot;,&quot;parse-names&quot;:false,&quot;dropping-particle&quot;:&quot;&quot;,&quot;non-dropping-particle&quot;:&quot;&quot;}],&quot;container-title&quot;:&quot;Transportation Research Record&quot;,&quot;container-title-short&quot;:&quot;Transp. Res. Rec.&quot;,&quot;accessed&quot;:{&quot;date-parts&quot;:[[2026,4,25]]},&quot;DOI&quot;:&quot;10.3141/2587-11&quot;,&quot;ISSN&quot;:&quot;21694052&quot;,&quot;URL&quot;:&quot;/doi/pdf/10.3141/2587-11?download=true&quot;,&quot;issued&quot;:{&quot;date-parts&quot;:[[2016,1,1]]},&quot;page&quot;:&quot;90-99&quot;,&quot;abstract&quot;:&quot;To understand the makeup of a population in terms of how people view bicycling can help in planning bicycle facilities and programs. Roger Geller, bicycle coordinator for the City of Portland, Oreg...&quot;,&quot;publisher&quot;:&quot;SAGE PublicationsSage CA: Los Angeles, CA&quot;,&quot;issue&quot;:&quot;1&quot;,&quot;volume&quot;:&quot;2587&quot;},&quot;isTemporary&quot;:false}]},{&quot;citationID&quot;:&quot;MENDELEY_CITATION_fc148e56-c9ed-4c0a-926b-cd150296f20b&quot;,&quot;properties&quot;:{&quot;noteIndex&quot;:0},&quot;isEdited&quot;:false,&quot;manualOverride&quot;:{&quot;isManuallyOverridden&quot;:true,&quot;citeprocText&quot;:&quot;(Heinen et al., 2010; Porter et al., 2020)&quot;,&quot;manualOverrideText&quot;:&quot;(see Heinen et al., 2010; Porter et al., 2020)&quot;},&quot;citationTag&quot;:&quot;MENDELEY_CITATION_v3_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&quot;,&quot;citationItems&quot;:[{&quot;id&quot;:&quot;076b83c9-641e-32c4-abc5-3e51d0a29e80&quot;,&quot;itemData&quot;:{&quot;type&quot;:&quot;article-journal&quot;,&quot;id&quot;:&quot;076b83c9-641e-32c4-abc5-3e51d0a29e80&quot;,&quot;title&quot;:&quot;Commuting by Bicycle: An Overview of the Literature&quot;,&quot;author&quot;:[{&quot;family&quot;:&quot;Heinen&quot;,&quot;given&quot;:&quot;Eva&quot;,&quot;parse-names&quot;:false,&quot;dropping-particle&quot;:&quot;&quot;,&quot;non-dropping-particle&quot;:&quot;&quot;},{&quot;family&quot;:&quot;Wee&quot;,&quot;given&quot;:&quot;Bert&quot;,&quot;parse-names&quot;:false,&quot;dropping-particle&quot;:&quot;&quot;,&quot;non-dropping-particle&quot;:&quot;van&quot;},{&quot;family&quot;:&quot;Maat&quot;,&quot;given&quot;:&quot;Kees&quot;,&quot;parse-names&quot;:false,&quot;dropping-particle&quot;:&quot;&quot;,&quot;non-dropping-particle&quot;:&quot;&quot;}],&quot;container-title&quot;:&quot;Transport Reviews&quot;,&quot;container-title-short&quot;:&quot;Transp. Rev.&quot;,&quot;accessed&quot;:{&quot;date-parts&quot;:[[2026,4,22]]},&quot;DOI&quot;:&quot;10.1080/01441640903187001&quot;,&quot;ISSN&quot;:&quot;01441647&quot;,&quot;URL&quot;:&quot;https://scholar.google.com/scholar_url?url=https://www.tandfonline.com/doi/pdf/10.1080/01441640903187001%3Fcasa_token%3Ds5Vke43CByAAAAAA:8Zzmfne7Z1RsAGIFIhUL-KjXHrxZpnYtkpuJeNIxwvKXkzT07CL5EDytAde-zKXPYfuWg4Ef3JTf&amp;hl=en&amp;sa=T&amp;oi=ucasa&amp;ct=ucasa&amp;ei=Q8Ppab32AdXXieoPjom1oQ0&amp;scisig=ADi0EEWnyboaMhXR9v1v5HYNbPCp&quot;,&quot;issued&quot;:{&quot;date-parts&quot;:[[2010,1]]},&quot;page&quot;:&quot;59-96&quot;,&quot;abstract&quot;:&quot;For society and for the individual, cycling presents a number of interesting advantages over other modes of transport. Individuals benefit from the fact that cycling is a healthy and cheap form of ...&quot;,&quot;publisher&quot;:&quot;Routledge&quot;,&quot;issue&quot;:&quot;1&quot;,&quot;volume&quot;:&quot;30&quot;},&quot;isTemporary&quot;:false},{&quot;id&quot;:&quot;29fed488-73df-3ddc-b5d2-9b93c323fc82&quot;,&quot;itemData&quot;:{&quot;type&quot;:&quot;article-journal&quot;,&quot;id&quot;:&quot;29fed488-73df-3ddc-b5d2-9b93c323fc82&quot;,&quot;title&quot;:&quot;Perceived barriers to commuter and exercise bicycling in U.S. adults: The 2017 National Household Travel Survey&quot;,&quot;author&quot;:[{&quot;family&quot;:&quot;Porter&quot;,&quot;given&quot;:&quot;Anna K.&quot;,&quot;parse-names&quot;:false,&quot;dropping-particle&quot;:&quot;&quot;,&quot;non-dropping-particle&quot;:&quot;&quot;},{&quot;family&quot;:&quot;Kontou&quot;,&quot;given&quot;:&quot;Eleftheria&quot;,&quot;parse-names&quot;:false,&quot;dropping-particle&quot;:&quot;&quot;,&quot;non-dropping-particle&quot;:&quot;&quot;},{&quot;family&quot;:&quot;McDonald&quot;,&quot;given&quot;:&quot;Noreen C.&quot;,&quot;parse-names&quot;:false,&quot;dropping-particle&quot;:&quot;&quot;,&quot;non-dropping-particle&quot;:&quot;&quot;},{&quot;family&quot;:&quot;Evenson&quot;,&quot;given&quot;:&quot;Kelly R.&quot;,&quot;parse-names&quot;:false,&quot;dropping-particle&quot;:&quot;&quot;,&quot;non-dropping-particle&quot;:&quot;&quot;}],&quot;container-title&quot;:&quot;Journal of Transport &amp; Health&quot;,&quot;container-title-short&quot;:&quot;J. Transp. Health&quot;,&quot;accessed&quot;:{&quot;date-parts&quot;:[[2026,4,22]]},&quot;DOI&quot;:&quot;10.1016/j.jth.2020.100820&quot;,&quot;ISSN&quot;:&quot;2214-1405&quot;,&quot;URL&quot;:&quot;https://www.sciencedirect.com/science/article/abs/pii/S2214140519304062?casa_token=J9G2p0YRPSQAAAAA:jEB7Bd7DKU4x0KfntFnJEbV9jlOM2-iWk13afQJPdrY_SnWykJ1Tv5HByr4pWolKVuxOipykdw&quot;,&quot;issued&quot;:{&quot;date-parts&quot;:[[2020,3,1]]},&quot;page&quot;:&quot;100820&quot;,&quot;abstract&quot;:&quot;Introduction: Bicycling is a type of physical activity associated with positive health outcomes, but many barriers exist to regular bicycling for recreation and transportation. The objective of this study was to describe self-reported barriers to bicycling overall, and by bicycling domain, among a national sample of persons aged 16 and above that reported bicycling outside in the past week. Methods: This analysis, conducted in 2019, utilized data from the United States (US) Department of Transportation's 2017 National Household Travel Survey (NHTS). Weighted point estimates and 95% confidence intervals were calculated for reported barriers to bicycling by category of bicyclist: exercise-exclusive, multi-use, and commuter. Results: The final analytic sample was 18,189, representing approximately 7% of the US population (N = 20,911,680). Barriers that prevented bicycling more was reported by 37.9% of the US population of adult bicyclists (95% CI 37.2, 38.6). Barriers related to safety were more commonly reported (31.9% of total bicyclists), compared to barriers related to infrastructure (22.1% of total bicyclists). Safety-related barriers were more commonly reported among multi-use bicyclist (33.7% vs. 30.9% of exercise-exclusive). Commuter bicyclists reported infrastructure barriers the least (13.9% vs. 22.7% of exercise-exclusive). The most commonly reported single barrier to bicycling more, regardless of bicycling category, was heavy traffic (10.3% of total bicyclists), followed by no nearby paths or trails (7.6% of total bicyclists). Overall, distribution of individual barriers was similar across categories of bicyclists: exercise-exclusive, multi-use, and commuter. Conclusions: Heavy traffic and lack of separated paths or trails were the most frequently identified barriers to bicycling more. Communities wishing to promote bicycling for transportation, recreation, or both should consider how traffic reduction strategies and changes in the built environment could make bicycling safer and more accessible.&quot;,&quot;publisher&quot;:&quot;Elsevier&quot;,&quot;volume&quot;:&quot;16&quot;},&quot;isTemporary&quot;:false}]},{&quot;citationID&quot;:&quot;MENDELEY_CITATION_1f89c006-42cf-497e-a6b2-2fa5a4fac522&quot;,&quot;properties&quot;:{&quot;noteIndex&quot;:0},&quot;isEdited&quot;:false,&quot;manualOverride&quot;:{&quot;isManuallyOverridden&quot;:true,&quot;citeprocText&quot;:&quot;(Ito et al., 2024; Tao et al., 2023; Tao &amp;#38; Cao, 2023)&quot;,&quot;manualOverrideText&quot;:&quot;(Tao and Cao, 2023; Tao et al., 2023; Ito et al., 2024)&quot;},&quot;citationTag&quot;:&quot;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&quot;,&quot;citationItems&quot;:[{&quot;id&quot;:&quot;0bbc7b57-a091-3682-8d96-857159c33573&quot;,&quot;itemData&quot;:{&quot;type&quot;:&quot;article-journal&quot;,&quot;id&quot;:&quot;0bbc7b57-a091-3682-8d96-857159c33573&quot;,&quot;title&quot;:&quot;Examining the causal impacts of the built environment on cycling activities using time-series street view imagery&quot;,&quot;author&quot;:[{&quot;family&quot;:&quot;Ito&quot;,&quot;given&quot;:&quot;Koichi&quot;,&quot;parse-names&quot;:false,&quot;dropping-particle&quot;:&quot;&quot;,&quot;non-dropping-particle&quot;:&quot;&quot;},{&quot;family&quot;:&quot;Bansal&quot;,&quot;given&quot;:&quot;Prateek&quot;,&quot;parse-names&quot;:false,&quot;dropping-particle&quot;:&quot;&quot;,&quot;non-dropping-particle&quot;:&quot;&quot;},{&quot;family&quot;:&quot;Biljecki&quot;,&quot;given&quot;:&quot;Filip&quot;,&quot;parse-names&quot;:false,&quot;dropping-particle&quot;:&quot;&quot;,&quot;non-dropping-particle&quot;:&quot;&quot;}],&quot;container-title&quot;:&quot;Transportation Research Part A: Policy and Practice&quot;,&quot;container-title-short&quot;:&quot;Transp. Res. Part A Policy Pract.&quot;,&quot;DOI&quot;:&quot;10.1016/j.tra.2024.104286&quot;,&quot;ISSN&quot;:&quot;09658564&quot;,&quot;issued&quot;:{&quot;date-parts&quot;:[[2024,12,1]]},&quot;abstract&quot;:&quot;Cycling is vital for sustainable and healthy cities. To encourage such activities, understanding urban bikeability at both detailed and broad spatial scales is crucial. Street view imagery (SVI) offers in-depth insights into how street features influence micro-mobility patterns, but existing studies are mainly correlational. This research utilized historical time-series SVI, cyclist data from London, to discern the causal effects of specific urban features on cyclist numbers. We used propensity score matching to adjust for potential confounding biases and applied the causal forest to estimate the heterogeneity in causal effects. Key findings include: vegetation significantly boosts cycling, slope negatively impacts cycling, and bike lanes positively influence cycling. Moreover, vegetation's impact on cycling is greater in less populated areas, while bike lanes have a stronger effect in densely populated regions. These findings help prioritize the areas of intervention. By transcending from mere correlations to identifying heterogeneous causal impacts, this study offers invaluable insights for urban planning, underscoring design strategies to enhance cities’ bikeability and sustainability.&quot;,&quot;publisher&quot;:&quot;Elsevier Ltd&quot;,&quot;volume&quot;:&quot;190&quot;},&quot;isTemporary&quot;:false},{&quot;id&quot;:&quot;306a7356-5272-3a15-8816-3903346fbb66&quot;,&quot;itemData&quot;:{&quot;type&quot;:&quot;article-journal&quot;,&quot;id&quot;:&quot;306a7356-5272-3a15-8816-3903346fbb66&quot;,&quot;title&quot;:&quot;Exploring nonlinear and collective influences of regional and local built environment characteristics on travel distances by mode&quot;,&quot;author&quot;:[{&quot;family&quot;:&quot;Tao&quot;,&quot;given&quot;:&quot;Tao&quot;,&quot;parse-names&quot;:false,&quot;dropping-particle&quot;:&quot;&quot;,&quot;non-dropping-particle&quot;:&quot;&quot;},{&quot;family&quot;:&quot;Cao&quot;,&quot;given&quot;:&quot;Jason&quot;,&quot;parse-names&quot;:false,&quot;dropping-particle&quot;:&quot;&quot;,&quot;non-dropping-particle&quot;:&quot;&quot;}],&quot;container-title&quot;:&quot;Journal of Transport Geography&quot;,&quot;container-title-short&quot;:&quot;J. Transp. Geogr.&quot;,&quot;DOI&quot;:&quot;10.1016/j.jtrangeo.2023.103599&quot;,&quot;ISSN&quot;:&quot;09666923&quot;,&quot;issued&quot;:{&quot;date-parts&quot;:[[2023,5,1]]},&quot;abstract&quot;:&quot;We examined the nonlinear associations of the built environment with travel distances by driving, transit, and active travel and compared the relative contributions of local and regional built environment characteristics through applying gradient boosting decision trees to regional travel survey data in the Twin Cities, US. We identified the common thresholds of built environment characteristics associated with the three travel distances and inform planners of the efficient allocation of limited resources to planning efforts at different scales. We found prevalent threshold associations between built environment characteristics and travel distances. The thresholds suggest the common ranges of built environment characteristics that optimize the reduction of driving and the promotion of transit and active travel. For example, job accessibility should be larger than 800 thousand jobs within 20-min of driving and distance to downtown Minneapolis should be within 10 miles. The results also showed that regional characteristics collectively have a stronger influence on all three distances than local characteristics. The findings on transit and active travel differ from the common understanding in the literature. This study suggests that planners should pay more attention to metropolitan-scale planning and deploy programs that enhance regional accessibility.&quot;,&quot;publisher&quot;:&quot;Elsevier Ltd&quot;,&quot;volume&quot;:&quot;109&quot;},&quot;isTemporary&quot;:false},{&quot;id&quot;:&quot;ad885d1d-bcaa-3dbf-87cb-eaa2d79fa99f&quot;,&quot;itemData&quot;:{&quot;type&quot;:&quot;article-journal&quot;,&quot;id&quot;:&quot;ad885d1d-bcaa-3dbf-87cb-eaa2d79fa99f&quot;,&quot;title&quot;:&quot;Exploring the Nonlinear Relationship between the Built Environment and Active Travel in the Twin Cities&quot;,&quot;author&quot;:[{&quot;family&quot;:&quot;Tao&quot;,&quot;given&quot;:&quot;Tao&quot;,&quot;parse-names&quot;:false,&quot;dropping-particle&quot;:&quot;&quot;,&quot;non-dropping-particle&quot;:&quot;&quot;},{&quot;family&quot;:&quot;Wu&quot;,&quot;given&quot;:&quot;Xinyi&quot;,&quot;parse-names&quot;:false,&quot;dropping-particle&quot;:&quot;&quot;,&quot;non-dropping-particle&quot;:&quot;&quot;},{&quot;family&quot;:&quot;Cao&quot;,&quot;given&quot;:&quot;Jason&quot;,&quot;parse-names&quot;:false,&quot;dropping-particle&quot;:&quot;&quot;,&quot;non-dropping-particle&quot;:&quot;&quot;},{&quot;family&quot;:&quot;Fan&quot;,&quot;given&quot;:&quot;Yingling&quot;,&quot;parse-names&quot;:false,&quot;dropping-particle&quot;:&quot;&quot;,&quot;non-dropping-particle&quot;:&quot;&quot;},{&quot;family&quot;:&quot;Das&quot;,&quot;given&quot;:&quot;Kirti&quot;,&quot;parse-names&quot;:false,&quot;dropping-particle&quot;:&quot;&quot;,&quot;non-dropping-particle&quot;:&quot;&quot;},{&quot;family&quot;:&quot;Ramaswami&quot;,&quot;given&quot;:&quot;Anu&quot;,&quot;parse-names&quot;:false,&quot;dropping-particle&quot;:&quot;&quot;,&quot;non-dropping-particle&quot;:&quot;&quot;}],&quot;container-title&quot;:&quot;Journal of Planning Education and Research&quot;,&quot;container-title-short&quot;:&quot;J. Plan. Educ. Res.&quot;,&quot;DOI&quot;:&quot;10.1177/0739456X20915765&quot;,&quot;ISSN&quot;:&quot;15526577&quot;,&quot;issued&quot;:{&quot;date-parts&quot;:[[2023,9,1]]},&quot;page&quot;:&quot;637-652&quot;,&quot;abstract&quot;:&quot;Active travel is important to public health and the environment. Previous studies substantiate built environment influences active travel, but they seldom assess its overall contribution. Most of the studies assume that built environment characteristics have linear associations with active travel. This study uses Gradient Boosting Decision Trees to explore nonlinear relationships between the built environment and active travel in the Twin Cities. Collectively, the built environment has more predictive power for active travel than demographics, and parks, proximity to downtown, and transit access have important influences. The threshold effects of built environment variables help inform planning practice.&quot;,&quot;publisher&quot;:&quot;SAGE Publications Inc.&quot;,&quot;issue&quot;:&quot;3&quot;,&quot;volume&quot;:&quot;43&quot;},&quot;isTemporary&quot;:false}]},{&quot;citationID&quot;:&quot;MENDELEY_CITATION_61802b7b-c398-4d35-9da4-3ffaf1b7498f&quot;,&quot;properties&quot;:{&quot;noteIndex&quot;:0},&quot;isEdited&quot;:false,&quot;manualOverride&quot;:{&quot;isManuallyOverridden&quot;:true,&quot;citeprocText&quot;:&quot;(Brüchert et al., 2022; Kerr et al., 2016; Ma &amp;#38; Dill, 2017)&quot;,&quot;manualOverrideText&quot;:&quot;Kerr et al., 2016; Ma and Dill, 2017;  Brüchert et al., 2022&quot;},&quot;citationItems&quot;:[{&quot;id&quot;:&quot;da68cc5a-3387-3630-8c27-e451d81bdcbb&quot;,&quot;itemData&quot;:{&quot;type&quot;:&quot;article-journal&quot;,&quot;id&quot;:&quot;da68cc5a-3387-3630-8c27-e451d81bdcbb&quot;,&quot;title&quot;:&quot;The relationship between perceived built environment and cycling or e-biking for transport among older adults–a cross-sectional study&quot;,&quot;author&quot;:[{&quot;family&quot;:&quot;Brüchert&quot;,&quot;given&quot;:&quot;Tanja&quot;,&quot;parse-names&quot;:false,&quot;dropping-particle&quot;:&quot;&quot;,&quot;non-dropping-particle&quot;:&quot;&quot;},{&quot;family&quot;:&quot;Quentin&quot;,&quot;given&quot;:&quot;Paula&quot;,&quot;parse-names&quot;:false,&quot;dropping-particle&quot;:&quot;&quot;,&quot;non-dropping-particle&quot;:&quot;&quot;},{&quot;family&quot;:&quot;Bolte&quot;,&quot;given&quot;:&quot;Gabriele&quot;,&quot;parse-names&quot;:false,&quot;dropping-particle&quot;:&quot;&quot;,&quot;non-dropping-particle&quot;:&quot;&quot;}],&quot;container-title&quot;:&quot;PLoS ONE&quot;,&quot;container-title-short&quot;:&quot;PLoS One&quot;,&quot;DOI&quot;:&quot;10.1371/journal.pone.0267314&quot;,&quot;ISSN&quot;:&quot;19326203&quot;,&quot;PMID&quot;:&quot;35503760&quot;,&quot;issued&quot;:{&quot;date-parts&quot;:[[2022,5,1]]},&quot;abstract&quot;:&quot;The built environment plays a key role in promoting active mobility for healthy aging. Encouraging active mobility among older adults, however, can be especially challenging in more rural areas where distances tend to be longer and infrastructure is favoring car traffic. The association of older adults’ perception of attributes of the built environment with cycling and e-biking for transport was investigated. The potential moderating effects of age, sex, and mobility impairments were explored. A cross-sectional survey was conducted in towns and communities of &lt;100,000 inhabitants, including 2,144 participants (mean age: 74; 53% men). Three different cycling outcomes (any cycling/e-biking, frequency (≥3 days/week) and amount (minutes/week)) were analyzed among all cyclists and e-bike users separately, resulting in six dependent variables. The impact of ten environmental attributes on these outcomes was analyzed in separate models. Overall, street connectivity, and the proximity and number of destinations were most important. Only street connectivity and traffic safety were related to minutes cycling or e-biking per week. Cycling amount was higher overall for e-biking but fewer environmental attributes showed an association compared to any cycling, regardless of bicycle type. Traffic safety was not associated with four out of the six cycling outcomes and was inversely associated with minutes cycling or e-biking. Density was not related to any of the variables investigated. Several interaction effects of sex, age, and mobility impairments were found. Further research is needed on environmental attributes influencing e-bike use, the most important types of destinations, and a more differentiated assessment of perceived traffic safety in older adults.&quot;,&quot;publisher&quot;:&quot;Public Library of Science&quot;,&quot;issue&quot;:&quot;5 May&quot;,&quot;volume&quot;:&quot;17&quot;},&quot;isTemporary&quot;:false},{&quot;id&quot;:&quot;0fa5b62c-77b1-3c9d-ac81-e94cc1ba6bc7&quot;,&quot;itemData&quot;:{&quot;type&quot;:&quot;article-journal&quot;,&quot;id&quot;:&quot;0fa5b62c-77b1-3c9d-ac81-e94cc1ba6bc7&quot;,&quot;title&quot;:&quot;Perceived neighborhood environmental attributes associated with walking and cycling for transport among adult residents of 17 cities in 12 countries: The IPEN study&quot;,&quot;author&quot;:[{&quot;family&quot;:&quot;Kerr&quot;,&quot;given&quot;:&quot;Jacqueline&quot;,&quot;parse-names&quot;:false,&quot;dropping-particle&quot;:&quot;&quot;,&quot;non-dropping-particle&quot;:&quot;&quot;},{&quot;family&quot;:&quot;Emond&quot;,&quot;given&quot;:&quot;Jennifer A.&quot;,&quot;parse-names&quot;:false,&quot;dropping-particle&quot;:&quot;&quot;,&quot;non-dropping-particle&quot;:&quot;&quot;},{&quot;family&quot;:&quot;Badland&quot;,&quot;given&quot;:&quot;Hannah&quot;,&quot;parse-names&quot;:false,&quot;dropping-particle&quot;:&quot;&quot;,&quot;non-dropping-particle&quot;:&quot;&quot;},{&quot;family&quot;:&quot;Reis&quot;,&quot;given&quot;:&quot;Rodrigo&quot;,&quot;parse-names&quot;:false,&quot;dropping-particle&quot;:&quot;&quot;,&quot;non-dropping-particle&quot;:&quot;&quot;},{&quot;family&quot;:&quot;Sarmiento&quot;,&quot;given&quot;:&quot;Olga&quot;,&quot;parse-names&quot;:false,&quot;dropping-particle&quot;:&quot;&quot;,&quot;non-dropping-particle&quot;:&quot;&quot;},{&quot;family&quot;:&quot;Carlson&quot;,&quot;given&quot;:&quot;Jordan&quot;,&quot;parse-names&quot;:false,&quot;dropping-particle&quot;:&quot;&quot;,&quot;non-dropping-particle&quot;:&quot;&quot;},{&quot;family&quot;:&quot;Sallis&quot;,&quot;given&quot;:&quot;James F.&quot;,&quot;parse-names&quot;:false,&quot;dropping-particle&quot;:&quot;&quot;,&quot;non-dropping-particle&quot;:&quot;&quot;},{&quot;family&quot;:&quot;Cerin&quot;,&quot;given&quot;:&quot;Ester&quot;,&quot;parse-names&quot;:false,&quot;dropping-particle&quot;:&quot;&quot;,&quot;non-dropping-particle&quot;:&quot;&quot;},{&quot;family&quot;:&quot;Cain&quot;,&quot;given&quot;:&quot;Kelli&quot;,&quot;parse-names&quot;:false,&quot;dropping-particle&quot;:&quot;&quot;,&quot;non-dropping-particle&quot;:&quot;&quot;},{&quot;family&quot;:&quot;Conway&quot;,&quot;given&quot;:&quot;Terry&quot;,&quot;parse-names&quot;:false,&quot;dropping-particle&quot;:&quot;&quot;,&quot;non-dropping-particle&quot;:&quot;&quot;},{&quot;family&quot;:&quot;Schofield&quot;,&quot;given&quot;:&quot;Grant&quot;,&quot;parse-names&quot;:false,&quot;dropping-particle&quot;:&quot;&quot;,&quot;non-dropping-particle&quot;:&quot;&quot;},{&quot;family&quot;:&quot;Macfarlane&quot;,&quot;given&quot;:&quot;Duncan J.&quot;,&quot;parse-names&quot;:false,&quot;dropping-particle&quot;:&quot;&quot;,&quot;non-dropping-particle&quot;:&quot;&quot;},{&quot;family&quot;:&quot;Christiansen&quot;,&quot;given&quot;:&quot;Lars B.&quot;,&quot;parse-names&quot;:false,&quot;dropping-particle&quot;:&quot;&quot;,&quot;non-dropping-particle&quot;:&quot;&quot;},{&quot;family&quot;:&quot;Dyck&quot;,&quot;given&quot;:&quot;Delfien&quot;,&quot;parse-names&quot;:false,&quot;dropping-particle&quot;:&quot;&quot;,&quot;non-dropping-particle&quot;:&quot;Van&quot;},{&quot;family&quot;:&quot;Davey&quot;,&quot;given&quot;:&quot;Rachel&quot;,&quot;parse-names&quot;:false,&quot;dropping-particle&quot;:&quot;&quot;,&quot;non-dropping-particle&quot;:&quot;&quot;},{&quot;family&quot;:&quot;Aguinaga-Ontoso&quot;,&quot;given&quot;:&quot;Ines&quot;,&quot;parse-names&quot;:false,&quot;dropping-particle&quot;:&quot;&quot;,&quot;non-dropping-particle&quot;:&quot;&quot;},{&quot;family&quot;:&quot;Salvo&quot;,&quot;given&quot;:&quot;Deborah&quot;,&quot;parse-names&quot;:false,&quot;dropping-particle&quot;:&quot;&quot;,&quot;non-dropping-particle&quot;:&quot;&quot;},{&quot;family&quot;:&quot;Sugiyama&quot;,&quot;given&quot;:&quot;Takemi&quot;,&quot;parse-names&quot;:false,&quot;dropping-particle&quot;:&quot;&quot;,&quot;non-dropping-particle&quot;:&quot;&quot;},{&quot;family&quot;:&quot;Mitáš&quot;,&quot;given&quot;:&quot;Josef&quot;,&quot;parse-names&quot;:false,&quot;dropping-particle&quot;:&quot;&quot;,&quot;non-dropping-particle&quot;:&quot;&quot;},{&quot;family&quot;:&quot;Owen&quot;,&quot;given&quot;:&quot;Neville&quot;,&quot;parse-names&quot;:false,&quot;dropping-particle&quot;:&quot;&quot;,&quot;non-dropping-particle&quot;:&quot;&quot;},{&quot;family&quot;:&quot;Natarajan&quot;,&quot;given&quot;:&quot;Loki&quot;,&quot;parse-names&quot;:false,&quot;dropping-particle&quot;:&quot;&quot;,&quot;non-dropping-particle&quot;:&quot;&quot;}],&quot;container-title&quot;:&quot;Environmental Health Perspectives&quot;,&quot;container-title-short&quot;:&quot;Environ. Health Perspect.&quot;,&quot;DOI&quot;:&quot;10.1289/ehp.1409466&quot;,&quot;ISSN&quot;:&quot;15529924&quot;,&quot;PMID&quot;:&quot;26186801&quot;,&quot;issued&quot;:{&quot;date-parts&quot;:[[2016,3,1]]},&quot;page&quot;:&quot;290-298&quot;,&quot;abstract&quot;:&quot;Introduction: Prevalence of walking and cycling for transport is low and varies greatly across countries. Few studies have examined neighborhood perceptions related to walking and cycling for transport in different countries. Therefore, it is challenging to prioritize appropriate built-environment interventions. Objectives: The aim of this study was to examine the strength and shape of the relationship between adults’ neighborhood perceptions and walking and cycling for transport across diverse environments. Methods: As part of the International Physical activity and Environment Network (IPEN) adult project, self-reported data were taken from 13,745 adults (18–65 years) living in physically and socially diverse neighborhoods in 17 cities across 12 countries. Neighborhood perceptions were measured using the Neighborhood Environment Walkability Scale, and walking and cycling for transport were measured using the International Physical Activity Questionnaire–Long Form. Generalized additive mixed models were used to model walking or cycling for transport during the last seven days with neighborhood perceptions. Interactions by city were explored. Results: Walking-for-transport outcomes were significantly associated with perceived residential density, land use mix–access, street connectivity, aesthetics, and safety. Any cycling for transport was significantly related to perceived land use mix–access, street connectivity, infrastructure, aesthetics, safety, and perceived distance to destinations. Between-city differences existed for some attributes in relation to walking or cycling for transport. Conclusions: Many perceived environmental attributes supported both cycling and walking; however, highly walkable environments may not support cycling for transport. People appear to walk for transport despite safety concerns. These findings can guide the implementation of global health strategies.&quot;,&quot;publisher&quot;:&quot;Public Health Services, US Dept of Health and Human Services&quot;,&quot;issue&quot;:&quot;3&quot;,&quot;volume&quot;:&quot;124&quot;},&quot;isTemporary&quot;:false},{&quot;id&quot;:&quot;01603f4c-b327-3108-9baf-f2deee2437c6&quot;,&quot;itemData&quot;:{&quot;type&quot;:&quot;article-journal&quot;,&quot;id&quot;:&quot;01603f4c-b327-3108-9baf-f2deee2437c6&quot;,&quot;title&quot;:&quot;Do people’s perceptions of neighborhood bikeability match “Reality”?&quot;,&quot;author&quot;:[{&quot;family&quot;:&quot;Ma&quot;,&quot;given&quot;:&quot;Liang&quot;,&quot;parse-names&quot;:false,&quot;dropping-particle&quot;:&quot;&quot;,&quot;non-dropping-particle&quot;:&quot;&quot;},{&quot;family&quot;:&quot;Dill&quot;,&quot;given&quot;:&quot;Jennifer&quot;,&quot;parse-names&quot;:false,&quot;dropping-particle&quot;:&quot;&quot;,&quot;non-dropping-particle&quot;:&quot;&quot;}],&quot;container-title&quot;:&quot;Journal of Transport and Land Use&quot;,&quot;accessed&quot;:{&quot;date-parts&quot;:[[2026,4,25]]},&quot;DOI&quot;:&quot;10.5198/jtlu.2015.796&quot;,&quot;issued&quot;:{&quot;date-parts&quot;:[[2017,1,7]]},&quot;abstract&quot;:&quot;Do people perceive the built environment the same as one objectively measures it? If not, what are the relative roles of the objective versus the perceived environment on bicycling behavior? This study, based on data from Portland Oregon, explored the match or mismatch between the objective and perceived bicycling environment, and how it affects people’s bicycling behavior. The descriptive analysis indicated a fair agreement between perceived and objective measures. Older adults, women having children, less-educated and lower-income persons, and those who bicycle less tended to perceive their high-bikeable environment (measured objectively) as low- bikeable. In addition to the socio-demographics, this study also found social environment can play a role in the relationship between objective and perceived environment. Finally, results of this study indicated that actual and perceived built-environment both are associated with the bicycling behavior, particularly for utilitarian bicycling. For recreational bicycling, the objective environment attributes measured in this study are not significant factors, while the perceptions do matter.&quot;,&quot;publisher&quot;:&quot;Center for Transportation Studies&quot;,&quot;container-title-short&quot;:&quot;J. Transp. Land Use&quot;},&quot;isTemporary&quot;:false}],&quot;citationTag&quot;:&quot;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&quot;},{&quot;citationID&quot;:&quot;MENDELEY_CITATION_f71d8791-19a7-423d-b4a6-9ec0f100a5d7&quot;,&quot;properties&quot;:{&quot;noteIndex&quot;:0},&quot;isEdited&quot;:false,&quot;manualOverride&quot;:{&quot;isManuallyOverridden&quot;:true,&quot;citeprocText&quot;:&quot;(Ma &amp;#38; Dill, 2017)&quot;,&quot;manualOverrideText&quot;:&quot;(Ma and Dill, 2017)&quot;},&quot;citationTag&quot;:&quot;MENDELEY_CITATION_v3_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&quot;,&quot;citationItems&quot;:[{&quot;id&quot;:&quot;01603f4c-b327-3108-9baf-f2deee2437c6&quot;,&quot;itemData&quot;:{&quot;type&quot;:&quot;article-journal&quot;,&quot;id&quot;:&quot;01603f4c-b327-3108-9baf-f2deee2437c6&quot;,&quot;title&quot;:&quot;Do people’s perceptions of neighborhood bikeability match “Reality”?&quot;,&quot;author&quot;:[{&quot;family&quot;:&quot;Ma&quot;,&quot;given&quot;:&quot;Liang&quot;,&quot;parse-names&quot;:false,&quot;dropping-particle&quot;:&quot;&quot;,&quot;non-dropping-particle&quot;:&quot;&quot;},{&quot;family&quot;:&quot;Dill&quot;,&quot;given&quot;:&quot;Jennifer&quot;,&quot;parse-names&quot;:false,&quot;dropping-particle&quot;:&quot;&quot;,&quot;non-dropping-particle&quot;:&quot;&quot;}],&quot;container-title&quot;:&quot;Journal of Transport and Land Use&quot;,&quot;accessed&quot;:{&quot;date-parts&quot;:[[2026,4,25]]},&quot;DOI&quot;:&quot;10.5198/jtlu.2015.796&quot;,&quot;issued&quot;:{&quot;date-parts&quot;:[[2017,1,7]]},&quot;abstract&quot;:&quot;Do people perceive the built environment the same as one objectively measures it? If not, what are the relative roles of the objective versus the perceived environment on bicycling behavior? This study, based on data from Portland Oregon, explored the match or mismatch between the objective and perceived bicycling environment, and how it affects people’s bicycling behavior. The descriptive analysis indicated a fair agreement between perceived and objective measures. Older adults, women having children, less-educated and lower-income persons, and those who bicycle less tended to perceive their high-bikeable environment (measured objectively) as low- bikeable. In addition to the socio-demographics, this study also found social environment can play a role in the relationship between objective and perceived environment. Finally, results of this study indicated that actual and perceived built-environment both are associated with the bicycling behavior, particularly for utilitarian bicycling. For recreational bicycling, the objective environment attributes measured in this study are not significant factors, while the perceptions do matter.&quot;,&quot;publisher&quot;:&quot;Center for Transportation Studies&quot;,&quot;container-title-short&quot;:&quot;J. Transp. Land Use&quot;},&quot;isTemporary&quot;:false,&quot;suppress-author&quot;:false,&quot;composite&quot;:false,&quot;author-only&quot;:false}]},{&quot;citationID&quot;:&quot;MENDELEY_CITATION_598fdd38-28d8-4973-9ce9-7ea4ae6276a7&quot;,&quot;properties&quot;:{&quot;noteIndex&quot;:0},&quot;isEdited&quot;:false,&quot;manualOverride&quot;:{&quot;isManuallyOverridden&quot;:false,&quot;citeprocText&quot;:&quot;(Lättman et al., 2018)&quot;,&quot;manualOverrideText&quot;:&quot;&quot;},&quot;citationTag&quot;:&quot;MENDELEY_CITATION_v3_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&quot;,&quot;citationItems&quot;:[{&quot;id&quot;:&quot;e8ddeba1-9850-39b6-b95d-f18a4db43bbd&quot;,&quot;itemData&quot;:{&quot;type&quot;:&quot;article-journal&quot;,&quot;id&quot;:&quot;e8ddeba1-9850-39b6-b95d-f18a4db43bbd&quot;,&quot;title&quot;:&quot;A new approach to accessibility – Examining perceived accessibility in contrast to objectively measured accessibility in daily travel&quot;,&quot;author&quot;:[{&quot;family&quot;:&quot;Lättman&quot;,&quot;given&quot;:&quot;Katrin&quot;,&quot;parse-names&quot;:false,&quot;dropping-particle&quot;:&quot;&quot;,&quot;non-dropping-particle&quot;:&quot;&quot;},{&quot;family&quot;:&quot;Olsson&quot;,&quot;given&quot;:&quot;Lars E.&quot;,&quot;parse-names&quot;:false,&quot;dropping-particle&quot;:&quot;&quot;,&quot;non-dropping-particle&quot;:&quot;&quot;},{&quot;family&quot;:&quot;Friman&quot;,&quot;given&quot;:&quot;Margareta&quot;,&quot;parse-names&quot;:false,&quot;dropping-particle&quot;:&quot;&quot;,&quot;non-dropping-particle&quot;:&quot;&quot;}],&quot;container-title&quot;:&quot;Research in Transportation Economics&quot;,&quot;accessed&quot;:{&quot;date-parts&quot;:[[2026,4,25]]},&quot;DOI&quot;:&quot;10.1016/j.retrec.2018.06.002&quot;,&quot;ISSN&quot;:&quot;0739-8859&quot;,&quot;URL&quot;:&quot;https://www.sciencedirect.com/science/article/pii/S0739885917302445&quot;,&quot;issued&quot;:{&quot;date-parts&quot;:[[2018,9,1]]},&quot;page&quot;:&quot;501-511&quot;,&quot;abstract&quot;:&quot;Accessibility has conventionally been measured and evaluated ignoring user perceptions in favor of focusing on travel time and distance to a number of pre-determined destinations. Acknowledging this gap, we recently developed a scale for perceived accessibility PAC (Lättman, Friman, &amp; Olsson 2016b) aimed at capturing the individual perspective of accessibility with a certain travel mode. In this paper, we 1) further develop the PAC measure of perceived accessibility in order to capture how easy it is to live a satisfactory life with the help of the transport system, 2) compare levels of perceived accessibility between residential areas and main travel modes, and 3) compare residents’ perceived accessibility to the objective accessibility level for the same residential area. Data from 2711 residents of Malmö, Sweden show that perceived accessibility is consistently different from objective accessibility across 13 residential areas, with minor differences in levels of perceived accessibility between areas. Surprisingly, bicycle users rate their accessibility significantly higher than those who mainly use the car or public transport for daily travel, contrary to objective accessibility assumptions. These differences point at the importance of including perceived accessibility as a complementary tool when planning for and evaluating transport systems.&quot;,&quot;publisher&quot;:&quot;Elsevier&quot;,&quot;volume&quot;:&quot;69&quot;,&quot;container-title-short&quot;:&quot;&quot;},&quot;isTemporary&quot;:false,&quot;suppress-author&quot;:false,&quot;composite&quot;:false,&quot;author-only&quot;:false}]},{&quot;citationID&quot;:&quot;MENDELEY_CITATION_a49af15e-7c33-4528-899e-fc2983ce2c3c&quot;,&quot;properties&quot;:{&quot;noteIndex&quot;:0},&quot;isEdited&quot;:false,&quot;manualOverride&quot;:{&quot;isManuallyOverridden&quot;:true,&quot;citeprocText&quot;:&quot;(Biehl et al., 2018; Dill &amp;#38; McNeil, 2016; Gössling &amp;#38; McRae, 2022)&quot;,&quot;manualOverrideText&quot;:&quot;(Dill and McNeil, 2016; Biehl et al., 2018; Gössling and McRae, 2022)&quot;},&quot;citationTag&quot;:&quot;MENDELEY_CITATION_v3_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&quot;,&quot;citationItems&quot;:[{&quot;id&quot;:&quot;30c3bb6c-d760-3044-9280-880962466c5c&quot;,&quot;itemData&quot;:{&quot;type&quot;:&quot;article-journal&quot;,&quot;id&quot;:&quot;30c3bb6c-d760-3044-9280-880962466c5c&quot;,&quot;title&quot;:&quot;Subjectively safe cycling infrastructure: New insights for urban designs&quot;,&quot;author&quot;:[{&quot;family&quot;:&quot;Gössling&quot;,&quot;given&quot;:&quot;Stefan&quot;,&quot;parse-names&quot;:false,&quot;dropping-particle&quot;:&quot;&quot;,&quot;non-dropping-particle&quot;:&quot;&quot;},{&quot;family&quot;:&quot;McRae&quot;,&quot;given&quot;:&quot;Sophia&quot;,&quot;parse-names&quot;:false,&quot;dropping-particle&quot;:&quot;&quot;,&quot;non-dropping-particle&quot;:&quot;&quot;}],&quot;container-title&quot;:&quot;Journal of Transport Geography&quot;,&quot;accessed&quot;:{&quot;date-parts&quot;:[[2026,6,21]]},&quot;DOI&quot;:&quot;10.1016/j.jtrangeo.2022.103340&quot;,&quot;ISSN&quot;:&quot;0966-6923&quot;,&quot;URL&quot;:&quot;https://www.sciencedirect.com/science/article/pii/S0966692322000631?casa_token=YBXb-_HR9VoAAAAA:eFg1q60iL0mnr12_p9N9dq1Mc796VyDmnRg2fsPtgS5P63fsZeN9C9MqbokWaZAmbFCgC-IL1A&quot;,&quot;issued&quot;:{&quot;date-parts&quot;:[[2022,5,1]]},&quot;page&quot;:&quot;103340&quot;,&quot;abstract&quot;:&quot;Transportation infrastructure that accommodates the needs of active mode users is an essential element of sustainable and just urban mobility transitions. Safety is a major factor influencing bicyclist behavior, and understanding how safety is perceived by traffic participants can support urban designs that will attract greater shares of active travelers. This paper evaluates the stated preferences of motorists, cyclists, and pedestrians for safe transport infrastructures. It relies on data collected by the non-governmental organization FixMyBerlin in cooperation with a German newspaper, Berliner Tagesspiegel. 21,401 participants assessed a total of 1900 different traffic situations, generating a sample of 468,379 opinions on street design elements including major streets, side streets and pavements. Results point at the importance of wide bicycle tracks and the separation of cyclists from motorized and pedestrian traffic. The removal of parking next to bicycle lanes also has great importance for improving perceptions of safety. The data offers detailed insight into key elements of urban safety design characteristics, which are remarkably similar irrespective of mode type preference. The study concludes that subjective safety is a novel starting point for urban transport designs.&quot;,&quot;publisher&quot;:&quot;Pergamon&quot;,&quot;volume&quot;:&quot;101&quot;,&quot;container-title-short&quot;:&quot;J. Transp. Geogr.&quot;},&quot;isTemporary&quot;:false},{&quot;id&quot;:&quot;4c32f9cb-12f2-3b80-be7c-581aaf444fb4&quot;,&quot;itemData&quot;:{&quot;type&quot;:&quot;article-journal&quot;,&quot;id&quot;:&quot;4c32f9cb-12f2-3b80-be7c-581aaf444fb4&quot;,&quot;title&quot;:&quot;Revisiting the Four Types of Cyclists: Findings from a National Survey&quot;,&quot;author&quot;:[{&quot;family&quot;:&quot;Dill&quot;,&quot;given&quot;:&quot;Jennifer&quot;,&quot;parse-names&quot;:false,&quot;dropping-particle&quot;:&quot;&quot;,&quot;non-dropping-particle&quot;:&quot;&quot;},{&quot;family&quot;:&quot;McNeil&quot;,&quot;given&quot;:&quot;Nathan&quot;,&quot;parse-names&quot;:false,&quot;dropping-particle&quot;:&quot;&quot;,&quot;non-dropping-particle&quot;:&quot;&quot;}],&quot;container-title&quot;:&quot;Transportation Research Record&quot;,&quot;container-title-short&quot;:&quot;Transp. Res. Rec.&quot;,&quot;accessed&quot;:{&quot;date-parts&quot;:[[2026,4,25]]},&quot;DOI&quot;:&quot;10.3141/2587-11&quot;,&quot;ISSN&quot;:&quot;21694052&quot;,&quot;URL&quot;:&quot;/doi/pdf/10.3141/2587-11?download=true&quot;,&quot;issued&quot;:{&quot;date-parts&quot;:[[2016,1,1]]},&quot;page&quot;:&quot;90-99&quot;,&quot;abstract&quot;:&quot;To understand the makeup of a population in terms of how people view bicycling can help in planning bicycle facilities and programs. Roger Geller, bicycle coordinator for the City of Portland, Oreg...&quot;,&quot;publisher&quot;:&quot;SAGE PublicationsSage CA: Los Angeles, CA&quot;,&quot;issue&quot;:&quot;1&quot;,&quot;volume&quot;:&quot;2587&quot;},&quot;isTemporary&quot;:false},{&quot;id&quot;:&quot;dfd99369-1116-34fc-863e-c6789c8ab028&quot;,&quot;itemData&quot;:{&quot;type&quot;:&quot;article-journal&quot;,&quot;id&quot;:&quot;dfd99369-1116-34fc-863e-c6789c8ab028&quot;,&quot;title&quot;:&quot;Modelling determinants of walking and cycling adoption: A stage-of-change perspective&quot;,&quot;author&quot;:[{&quot;family&quot;:&quot;Biehl&quot;,&quot;given&quot;:&quot;Alec&quot;,&quot;parse-names&quot;:false,&quot;dropping-particle&quot;:&quot;&quot;,&quot;non-dropping-particle&quot;:&quot;&quot;},{&quot;family&quot;:&quot;Ermagun&quot;,&quot;given&quot;:&quot;Alireza&quot;,&quot;parse-names&quot;:false,&quot;dropping-particle&quot;:&quot;&quot;,&quot;non-dropping-particle&quot;:&quot;&quot;},{&quot;family&quot;:&quot;Stathopoulos&quot;,&quot;given&quot;:&quot;Amanda&quot;,&quot;parse-names&quot;:false,&quot;dropping-particle&quot;:&quot;&quot;,&quot;non-dropping-particle&quot;:&quot;&quot;}],&quot;container-title&quot;:&quot;Transportation Research Part F: Traffic Psychology and Behaviour&quot;,&quot;container-title-short&quot;:&quot;Transp. Res. Part F Traffic Psychol. Behav.&quot;,&quot;DOI&quot;:&quot;10.1016/j.trf.2018.06.016&quot;,&quot;ISSN&quot;:&quot;13698478&quot;,&quot;issued&quot;:{&quot;date-parts&quot;:[[2018,10,1]]},&quot;page&quot;:&quot;452-470&quot;,&quot;abstract&quot;:&quot;Shifting travel away from cars and towards more active modes has proven a formidable policy challenge. This study aims to uncover the determinants of walking and cycling adoption by applying a stage-of-change framework. Drawing on the Transtheoretical Model, this framework models the adoption of active modes as a series of stages from pre-contemplation to maintenance. Ordinal logit models applied to US data (n = 914) illustrate the importance of both observable demographic-personal and perceptual-attitudinal variables for determining stage-of-change membership. Comparing walking and cycling, the model reveals both shared variables (vehicle ownership, self-identity) and differing factors (gender, environmental spatial ability) distinguishing among adoption stages, which has significant implications for transport policy. Results indicate that a model combining both demographic-personal and perceptual-attitudinal factors has the best fit and validity, suggesting that travel behavior interventions would benefit from multivariate segmentation methods that consider an array of individual and group characteristics. This research also gives evidence of different determinants motivating change processes for cycling versus walking. Taken together, results suggest a need for tailored policy interventions to promote behavioural adoption based not merely on the specific mode selection, but also on the usage stage under consideration.&quot;,&quot;publisher&quot;:&quot;Elsevier Ltd&quot;,&quot;volume&quot;:&quot;58&quot;},&quot;isTemporary&quot;:false}]},{&quot;citationID&quot;:&quot;MENDELEY_CITATION_51b409aa-5bb1-4fde-a1d9-8b5be5f75cd1&quot;,&quot;properties&quot;:{&quot;noteIndex&quot;:0},&quot;isEdited&quot;:false,&quot;manualOverride&quot;:{&quot;isManuallyOverridden&quot;:false,&quot;citeprocText&quot;:&quot;(van der Vlugt et al., 2022)&quot;,&quot;manualOverrideText&quot;:&quot;&quot;},&quot;citationTag&quot;:&quot;MENDELEY_CITATION_v3_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&quot;,&quot;citationItems&quot;:[{&quot;id&quot;:&quot;03b02710-17d0-3e9b-8cf2-a6691e5945b8&quot;,&quot;itemData&quot;:{&quot;type&quot;:&quot;article-journal&quot;,&quot;id&quot;:&quot;03b02710-17d0-3e9b-8cf2-a6691e5945b8&quot;,&quot;title&quot;:&quot;The influence of travel attitudes on perceived walking accessibility and walking behaviour&quot;,&quot;author&quot;:[{&quot;family&quot;:&quot;Vlugt&quot;,&quot;given&quot;:&quot;Anna Lena&quot;,&quot;parse-names&quot;:false,&quot;dropping-particle&quot;:&quot;&quot;,&quot;non-dropping-particle&quot;:&quot;van der&quot;},{&quot;family&quot;:&quot;Curl&quot;,&quot;given&quot;:&quot;Angela&quot;,&quot;parse-names&quot;:false,&quot;dropping-particle&quot;:&quot;&quot;,&quot;non-dropping-particle&quot;:&quot;&quot;},{&quot;family&quot;:&quot;Scheiner&quot;,&quot;given&quot;:&quot;Joachim&quot;,&quot;parse-names&quot;:false,&quot;dropping-particle&quot;:&quot;&quot;,&quot;non-dropping-particle&quot;:&quot;&quot;}],&quot;container-title&quot;:&quot;Travel Behaviour and Society&quot;,&quot;container-title-short&quot;:&quot;Travel Behav. Soc.&quot;,&quot;DOI&quot;:&quot;10.1016/j.tbs.2021.11.002&quot;,&quot;ISSN&quot;:&quot;2214367X&quot;,&quot;issued&quot;:{&quot;date-parts&quot;:[[2022,4,1]]},&quot;page&quot;:&quot;47-56&quot;,&quot;abstract&quot;:&quot;People are driven by their perceptions. Perceptions of the environment shape mobility decisions and represent the “lived reality” of accessibility but are mostly disregarded in common accessibility analysis. This paper explores the role of perceived accessibility. By using a structural equation modelling (SEM) approach, we investigate multiple relations between travel attitudes, socio-demographic factors, objective walking accessibility, perceived walking accessibility and realised walking behaviour in three steps. Firstly, we analyse the influence of objective walking accessibility and travel attitudes on perceived walking accessibility. Secondly, we look at perceived walking accessibility as a mediator variable and, finally, we investigate the association between perceived walking accessibility and walking behaviour. Key results imply that travel attitudes are important in understanding variations in perceptions, in terms of direct effects and as mediator variables. Perceived walking accessibility directly affects the probability of walking and plays, therefore, an important role in understanding travel behaviour. The implications of our results are discussed with regard to future research gaps and policy.&quot;,&quot;publisher&quot;:&quot;Elsevier Ltd&quot;,&quot;volume&quot;:&quot;27&quot;},&quot;isTemporary&quot;:false,&quot;suppress-author&quot;:false,&quot;composite&quot;:false,&quot;author-only&quot;:false}]},{&quot;citationID&quot;:&quot;MENDELEY_CITATION_00bb6910-b066-4b2b-a225-931ddaa2d8d0&quot;,&quot;properties&quot;:{&quot;noteIndex&quot;:0},&quot;isEdited&quot;:false,&quot;manualOverride&quot;:{&quot;isManuallyOverridden&quot;:true,&quot;citeprocText&quot;:&quot;(Sanders, 2015; Soto et al., 2022; Winters et al., 2011)&quot;,&quot;manualOverrideText&quot;:&quot;(Winters et al., 2011; Sanders, 2015; Soto et al., 2022)&quot;},&quot;citationTag&quot;:&quot;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&quot;,&quot;citationItems&quot;:[{&quot;id&quot;:&quot;d38955a4-4162-367d-a94a-7f9dfe0e06bc&quot;,&quot;itemData&quot;:{&quot;type&quot;:&quot;article-journal&quot;,&quot;id&quot;:&quot;d38955a4-4162-367d-a94a-7f9dfe0e06bc&quot;,&quot;title&quot;:&quot;Perceived traffic risk for cyclists: The impact of near miss and collision experiences&quot;,&quot;author&quot;:[{&quot;family&quot;:&quot;Sanders&quot;,&quot;given&quot;:&quot;Rebecca L.&quot;,&quot;parse-names&quot;:false,&quot;dropping-particle&quot;:&quot;&quot;,&quot;non-dropping-particle&quot;:&quot;&quot;}],&quot;container-title&quot;:&quot;Accident Analysis and Prevention&quot;,&quot;container-title-short&quot;:&quot;Accid. Anal. Prev.&quot;,&quot;DOI&quot;:&quot;10.1016/j.aap.2014.11.004&quot;,&quot;ISSN&quot;:&quot;00014575&quot;,&quot;PMID&quot;:&quot;25460088&quot;,&quot;issued&quot;:{&quot;date-parts&quot;:[[2015]]},&quot;page&quot;:&quot;26-34&quot;,&quot;abstract&quot;:&quot;Though the percentage of people bicycling for transportation rose during the last decade, with an average increase in bicycle commuting of 47% (Flusche, 2012), still only 1% of all U.S. trips are made by bike (Flusche, 2010). Research suggests that people's concern regarding the risk of bicycling near traffic-namely the risk of being hit by a car-remain a significant barrier to widespread cycling. However, research has not disaggregated traffic risk to expose its many aspects and how they may affect bicyclists with differing skill levels, experiences, and behaviors. This study begins to address this gap in our understanding. Elaborating on results from an internet survey, this study examined various aspects of traffic risk among 406 potential and current bicyclists in the San Francisco Bay Area. The data indicate that perceived traffic risk negatively influences the decision to bicycle for potential and occasional bicyclists, although the influence decreases with cycling frequency. Additionally, cycling frequency seems to heighten awareness of traffic risk, particularly for cyclists who have experienced \&quot;near misses\&quot; or collisions. In particular, near misses were found to be (a) much more common than collisions and (b) more strongly associated than collisions with perceived traffic risk. The findings suggest that efforts targeting road user behaviors and roadway designs associated with these near misses could mitigate perceived and actual traffic risk for bicyclists, and thereby eventually help achieve higher cycling ridership.&quot;,&quot;publisher&quot;:&quot;Elsevier Ltd&quot;,&quot;volume&quot;:&quot;75&quot;},&quot;isTemporary&quot;:false},{&quot;id&quot;:&quot;5ca983f5-7599-3467-9733-8d06b53fd651&quot;,&quot;itemData&quot;:{&quot;type&quot;:&quot;article-journal&quot;,&quot;id&quot;:&quot;5ca983f5-7599-3467-9733-8d06b53fd651&quot;,&quot;title&quot;:&quot;Traffic as a barrier to walking safely in the United States: Perceived reasons and potential mitigation strategies&quot;,&quot;author&quot;:[{&quot;family&quot;:&quot;Soto&quot;,&quot;given&quot;:&quot;Graycie W.&quot;,&quot;parse-names&quot;:false,&quot;dropping-particle&quot;:&quot;&quot;,&quot;non-dropping-particle&quot;:&quot;&quot;},{&quot;family&quot;:&quot;Whitfield&quot;,&quot;given&quot;:&quot;Geoffrey P.&quot;,&quot;parse-names&quot;:false,&quot;dropping-particle&quot;:&quot;&quot;,&quot;non-dropping-particle&quot;:&quot;&quot;},{&quot;family&quot;:&quot;Webber&quot;,&quot;given&quot;:&quot;Bryant J.&quot;,&quot;parse-names&quot;:false,&quot;dropping-particle&quot;:&quot;&quot;,&quot;non-dropping-particle&quot;:&quot;&quot;},{&quot;family&quot;:&quot;Omura&quot;,&quot;given&quot;:&quot;John D.&quot;,&quot;parse-names&quot;:false,&quot;dropping-particle&quot;:&quot;&quot;,&quot;non-dropping-particle&quot;:&quot;&quot;},{&quot;family&quot;:&quot;Chen&quot;,&quot;given&quot;:&quot;Tiffany J.&quot;,&quot;parse-names&quot;:false,&quot;dropping-particle&quot;:&quot;&quot;,&quot;non-dropping-particle&quot;:&quot;&quot;},{&quot;family&quot;:&quot;Zaganjor&quot;,&quot;given&quot;:&quot;Hatidza&quot;,&quot;parse-names&quot;:false,&quot;dropping-particle&quot;:&quot;&quot;,&quot;non-dropping-particle&quot;:&quot;&quot;},{&quot;family&quot;:&quot;Rose&quot;,&quot;given&quot;:&quot;Kenneth&quot;,&quot;parse-names&quot;:false,&quot;dropping-particle&quot;:&quot;&quot;,&quot;non-dropping-particle&quot;:&quot;&quot;}],&quot;container-title&quot;:&quot;Preventive Medicine Reports&quot;,&quot;container-title-short&quot;:&quot;Prev. Med. Rep.&quot;,&quot;DOI&quot;:&quot;10.1016/j.pmedr.2022.102003&quot;,&quot;ISSN&quot;:&quot;22113355&quot;,&quot;issued&quot;:{&quot;date-parts&quot;:[[2022,12,1]]},&quot;abstract&quot;:&quot;Motor vehicle traffic is commonly cited as a barrier to walking, but national level perceptions of traffic characteristics that negatively influence walking and potential traffic mitigation strategies remain unclear. The objectives of this study were to describe perceptions of (1) traffic characteristics that make walking unsafe in the United States and (2) potential mitigation strategies to address these concerns among those who report traffic as a barrier to walking. Data were from FallStyles, a nationwide internet panel survey conducted in October 2019 (n = 3,284 adults). Respondents reported if traffic makes walking unsafe where they live; those who answered yes were then asked about traffic characteristics that make walking unsafe (number of vehicles, speed of vehicles, distracted or impaired driving, types of vehicles, and other reasons) and potential mitigation strategies (new or improved sidewalks, crosswalks, pedestrian signals, street lighting, things that slow vehicles down, separating the sidewalk from the road, fewer vehicle lanes, and other). Prevalence of responses was assessed overall and by select sociodemographic and geographic characteristics, and by walking status. Nearly 25% of US adults reported that traffic is a barrier to walking where they live. Of these, 79% selected vehicle speed as a contributing traffic characteristic, and 57% indicated new or improved sidewalks as a potential mitigation strategy. These top responses were shared across all sociodemographic, geographic, and walking behavior subgroups. Speed reduction efforts and built environment enhancements such as sidewalks may alleviate pedestrian safety concerns. Promotion campaigns may be needed to bring awareness to such changes.&quot;,&quot;publisher&quot;:&quot;Elsevier Inc.&quot;,&quot;volume&quot;:&quot;30&quot;},&quot;isTemporary&quot;:false},{&quot;id&quot;:&quot;fde8215b-8e8e-3c7e-8647-b217fa9fac64&quot;,&quot;itemData&quot;:{&quot;type&quot;:&quot;article-journal&quot;,&quot;id&quot;:&quot;fde8215b-8e8e-3c7e-8647-b217fa9fac64&quot;,&quot;title&quot;:&quot;Motivators and deterrents of bicycling: Comparing influences on decisions to ride&quot;,&quot;author&quot;:[{&quot;family&quot;:&quot;Winters&quot;,&quot;given&quot;:&quot;Meghan&quot;,&quot;parse-names&quot;:false,&quot;dropping-particle&quot;:&quot;&quot;,&quot;non-dropping-particle&quot;:&quot;&quot;},{&quot;family&quot;:&quot;Davidson&quot;,&quot;given&quot;:&quot;Gavin&quot;,&quot;parse-names&quot;:false,&quot;dropping-particle&quot;:&quot;&quot;,&quot;non-dropping-particle&quot;:&quot;&quot;},{&quot;family&quot;:&quot;Kao&quot;,&quot;given&quot;:&quot;Diana&quot;,&quot;parse-names&quot;:false,&quot;dropping-particle&quot;:&quot;&quot;,&quot;non-dropping-particle&quot;:&quot;&quot;},{&quot;family&quot;:&quot;Teschke&quot;,&quot;given&quot;:&quot;Kay&quot;,&quot;parse-names&quot;:false,&quot;dropping-particle&quot;:&quot;&quot;,&quot;non-dropping-particle&quot;:&quot;&quot;}],&quot;container-title&quot;:&quot;Transportation&quot;,&quot;container-title-short&quot;:&quot;Transportation (Amst).&quot;,&quot;DOI&quot;:&quot;10.1007/s11116-010-9284-y&quot;,&quot;ISSN&quot;:&quot;15729435&quot;,&quot;issued&quot;:{&quot;date-parts&quot;:[[2011,1,1]]},&quot;page&quot;:&quot;153-168&quot;,&quot;abstract&quot;:&quot;In a survey of 1,402 current and potential cyclists in Metro Vancouver, 73 motivators and deterrents of cycling were evaluated. The top motivators, consistent among regular, frequent, occasional and potential cyclists, were: routes away from traffic noise and pollution; routes with beautiful scenery; and paths separated from traffic. In factor analysis, the 73 survey items were grouped into 15 factors. The following factors had the most influence on likelihood of cycling: safety; ease of cycling; weather conditions; route conditions; and interactions with motor vehicles. These results indicate the importance of the location and design of bicycle routes to promote cycling. © 2010 Springer Science+Business Media, LLC.&quot;,&quot;publisher&quot;:&quot;Kluwer Academic Publishers&quot;,&quot;issue&quot;:&quot;1&quot;,&quot;volume&quot;:&quot;38&quot;},&quot;isTemporary&quot;:false}]},{&quot;citationID&quot;:&quot;MENDELEY_CITATION_ff6e35be-0efb-42e1-ada2-ee3834151cf6&quot;,&quot;properties&quot;:{&quot;noteIndex&quot;:0},&quot;isEdited&quot;:false,&quot;manualOverride&quot;:{&quot;isManuallyOverridden&quot;:true,&quot;citeprocText&quot;:&quot;(Ogilvie et al., 2010; Sundling &amp;#38; Jakobsson, 2023)&quot;,&quot;manualOverrideText&quot;:&quot;(Ogilvie et al., 2010; Sundling and Jakobsson, 2023)&quot;},&quot;citationTag&quot;:&quot;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&quot;,&quot;citationItems&quot;:[{&quot;id&quot;:&quot;8300af33-d359-35b5-821e-3efbfe45f0f6&quot;,&quot;itemData&quot;:{&quot;type&quot;:&quot;report&quot;,&quot;id&quot;:&quot;8300af33-d359-35b5-821e-3efbfe45f0f6&quot;,&quot;title&quot;:&quot;Shoe leather epidemiology: active travel and transport infrastructure in the urban landscape&quot;,&quot;author&quot;:[{&quot;family&quot;:&quot;Ogilvie&quot;,&quot;given&quot;:&quot;David&quot;,&quot;parse-names&quot;:false,&quot;dropping-particle&quot;:&quot;&quot;,&quot;non-dropping-particle&quot;:&quot;&quot;},{&quot;family&quot;:&quot;Mitchell&quot;,&quot;given&quot;:&quot;Richard&quot;,&quot;parse-names&quot;:false,&quot;dropping-particle&quot;:&quot;&quot;,&quot;non-dropping-particle&quot;:&quot;&quot;},{&quot;family&quot;:&quot;Mutrie&quot;,&quot;given&quot;:&quot;Nanette&quot;,&quot;parse-names&quot;:false,&quot;dropping-particle&quot;:&quot;&quot;,&quot;non-dropping-particle&quot;:&quot;&quot;},{&quot;family&quot;:&quot;Petticrew&quot;,&quot;given&quot;:&quot;Mark&quot;,&quot;parse-names&quot;:false,&quot;dropping-particle&quot;:&quot;&quot;,&quot;non-dropping-particle&quot;:&quot;&quot;},{&quot;family&quot;:&quot;Platt&quot;,&quot;given&quot;:&quot;Stephen&quot;,&quot;parse-names&quot;:false,&quot;dropping-particle&quot;:&quot;&quot;,&quot;non-dropping-particle&quot;:&quot;&quot;}],&quot;container-title&quot;:&quot;International Journal of Behavioral Nutrition and Physical Activity&quot;,&quot;DOI&quot;:&quot;10.1186/1479-5868-7-43&quot;,&quot;URL&quot;:&quot;http://www.ijbnpa.org/content/7/1/43&quot;,&quot;issued&quot;:{&quot;date-parts&quot;:[[2010]]},&quot;number-of-pages&quot;:&quot;43&quot;,&quot;abstract&quot;:&quot;Background: Building new transport infrastructure could help to promote changes in patterns of mobility, physical activity, and other determinants of population health such as economic development. However, local residents may not share planners' goals or assumptions about the benefits of such interventions. A particularly contentious example is the construction of major roads close to deprived residential areas. We report the qualitative findings of the baseline phase of a longitudinal mixed-method study of a new urban section of the M74 motorway in Glasgow, Scotland, that aims to combine quantitative epidemiological and spatial data with qualitative interview data from local residents. Methods: We interviewed 12 residents purposively sampled from a larger study cohort of 1322 to include men and women, different age groups, and people with and without cars, all living within 400 metres of the proposed route of the new motorway. We elicited their views and experiences of the local urban environment and the likely impact of the new motorway using a topic guide based on seven key environmental constructs (aesthetics, green space, convenience of routes, access to amenities, traffic, road danger and personal danger) reflecting an overall ecological model of walking and cycling. Results: Traffic was widely perceived to be heavy despite a low local level of car ownership. Few people cycled, and cycling on the roads was widely perceived to be dangerous for both adults and children. Views about the likely impacts of the new motorway on traffic congestion, pollution and the pleasantness of the local environment were polarised. A new motorway has potential to cause inequitable psychological or physical severance of routes to local amenities, and people may not necessarily use local walking routes or destinations such as parks and shops if these are considered undesirable, unsafe or 'not for us'. Public transport may have the potential to promote or discourage active travel in different socioeconomic contexts. Conclusions: Altering the urban landscape may influence walking and cycling in ways that vary between individuals, may be inequitable, and may not be predictable from quantitative data alone. A more applied ecological behavioural model may be required to capture these effects.&quot;,&quot;volume&quot;:&quot;7&quot;,&quot;container-title-short&quot;:&quot;&quot;},&quot;isTemporary&quot;:false},{&quot;id&quot;:&quot;b4ee8c1f-6d5f-3fb6-9176-71a5fb489b4a&quot;,&quot;itemData&quot;:{&quot;type&quot;:&quot;article-journal&quot;,&quot;id&quot;:&quot;b4ee8c1f-6d5f-3fb6-9176-71a5fb489b4a&quot;,&quot;title&quot;:&quot;How Do Urban Walking Environments Impact Pedestrians’ Experience and Psychological Health? A Systematic Review&quot;,&quot;author&quot;:[{&quot;family&quot;:&quot;Sundling&quot;,&quot;given&quot;:&quot;Catherine&quot;,&quot;parse-names&quot;:false,&quot;dropping-particle&quot;:&quot;&quot;,&quot;non-dropping-particle&quot;:&quot;&quot;},{&quot;family&quot;:&quot;Jakobsson&quot;,&quot;given&quot;:&quot;Marianne&quot;,&quot;parse-names&quot;:false,&quot;dropping-particle&quot;:&quot;&quot;,&quot;non-dropping-particle&quot;:&quot;&quot;}],&quot;container-title&quot;:&quot;Sustainability 2023, Vol. 15, Page 10817&quot;,&quot;accessed&quot;:{&quot;date-parts&quot;:[[2026,4,5]]},&quot;DOI&quot;:&quot;10.3390/su151410817&quot;,&quot;ISSN&quot;:&quot;2071-1050&quot;,&quot;URL&quot;:&quot;https://www.mdpi.com/2071-1050/15/14/10817/htm&quot;,&quot;issued&quot;:{&quot;date-parts&quot;:[[2023,7,10]]},&quot;page&quot;:&quot;10817&quot;,&quot;abstract&quot;:&quot;Daily walks are recommended for health gains, and walkable urban environments are recommended as one strategy to combat climate change. Evidence of the relationship between physical environments and psychological health is increasing. The aim of this study was to systematically review and compile evidence regarding micro-scale characteristics in urban outdoor environments that impacted pedestrian short-term experience and/or long-term psychological health. The databases ScienceDirect, Scopus, PubMed, PsychInfo, and Google Scholar were used. To explore the area, a large heterogeneity in publications was allowed; therefore, it was not possible to conduct a meta-analysis. From 63 publications, data items were extracted from full text and categorized according to the main study characteristics. Environmental characteristics impacting pedestrians psychologically were identified and categorized into themes: grey, green, blue, and white areas, and weather, temporalities, topography, person factors, and safety. Environmental factors were analyzed from the perspective of the circumplex model of human affect (negative/positive dimensions and activation/deactivation). The findings included the fact that urban pedestrians need both positively activating and deactivating (restorative) areas during walkabouts. Perceived safety is essential for experiencing the positive aspects of urban environments. Some characteristics interact differently or have different importance for health in different groups. To further develop research on pedestrian environments, psychological experiences should be included.&quot;,&quot;publisher&quot;:&quot;Multidisciplinary Digital Publishing Institute&quot;,&quot;issue&quot;:&quot;14&quot;,&quot;volume&quot;:&quot;15&quot;,&quot;container-title-short&quot;:&quot;&quot;},&quot;isTemporary&quot;:false}]},{&quot;citationID&quot;:&quot;MENDELEY_CITATION_4e808905-cd4a-48e3-8acd-9948d3ca5f2d&quot;,&quot;properties&quot;:{&quot;noteIndex&quot;:0},&quot;isEdited&quot;:false,&quot;manualOverride&quot;:{&quot;isManuallyOverridden&quot;:true,&quot;citeprocText&quot;:&quot;(Duren et al., 2023; Schneider et al., 2022)&quot;,&quot;manualOverrideText&quot;:&quot;(Schneider et al., 2022; Duren et al., 2023)&quot;},&quot;citationTag&quot;:&quot;MENDELEY_CITATION_v3_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&quot;,&quot;citationItems&quot;:[{&quot;id&quot;:&quot;04eb9f27-79df-31e0-a97c-6dd6f09b19a5&quot;,&quot;itemData&quot;:{&quot;type&quot;:&quot;article-journal&quot;,&quot;id&quot;:&quot;04eb9f27-79df-31e0-a97c-6dd6f09b19a5&quot;,&quot;title&quot;:&quot;Identifying and Assessing Perceived Cycling Safety Components&quot;,&quot;author&quot;:[{&quot;family&quot;:&quot;Duren&quot;,&quot;given&quot;:&quot;Michelle&quot;,&quot;parse-names&quot;:false,&quot;dropping-particle&quot;:&quot;&quot;,&quot;non-dropping-particle&quot;:&quot;&quot;},{&quot;family&quot;:&quot;Corrigan&quot;,&quot;given&quot;:&quot;Bryce&quot;,&quot;parse-names&quot;:false,&quot;dropping-particle&quot;:&quot;&quot;,&quot;non-dropping-particle&quot;:&quot;&quot;},{&quot;family&quot;:&quot;Kennedy&quot;,&quot;given&quot;:&quot;Ryan David&quot;,&quot;parse-names&quot;:false,&quot;dropping-particle&quot;:&quot;&quot;,&quot;non-dropping-particle&quot;:&quot;&quot;},{&quot;family&quot;:&quot;Pollack Porter&quot;,&quot;given&quot;:&quot;Keshia M.&quot;,&quot;parse-names&quot;:false,&quot;dropping-particle&quot;:&quot;&quot;,&quot;non-dropping-particle&quot;:&quot;&quot;},{&quot;family&quot;:&quot;Ehsani&quot;,&quot;given&quot;:&quot;Johnathon&quot;,&quot;parse-names&quot;:false,&quot;dropping-particle&quot;:&quot;&quot;,&quot;non-dropping-particle&quot;:&quot;&quot;}],&quot;container-title&quot;:&quot;Safety&quot;,&quot;DOI&quot;:&quot;10.3390/safety9040075&quot;,&quot;ISSN&quot;:&quot;2313576X&quot;,&quot;issued&quot;:{&quot;date-parts&quot;:[[2023,12,1]]},&quot;abstract&quot;:&quot;Perceived safety is recognized throughout the mode choice literature as a key barrier to cycling, yet its constructs are poorly understood. Although commonly understood to relate to crash and injury risk and sometimes vulnerability to crime, health impact assessments identify numerous other pathways through which cycling can negatively impact health. This study leverages a nationally representative survey of U.S. adults in 2022 to assess a set of eleven factors as potential components of perceived cycling safety. We use principal component analysis to identify components of perceived cycling safety and then employ principal component regression to assess these components in relation to predicting unsafe cycling perception. We identify five key dimensions of perceived safety. Specifically, we found that perceived bicycling safety can be encompassed in the following components: (1) contaminant exposure, (2) injurious collision risk, (3) street conditions, (4) weather conditions, and (5) crime risk. In evaluating each identified component, we found that injurious collision risk and street conditions were the most predictive of considering cycling as unsafe. We further develop an understanding of how differences in cycling behavior, such as using cycling for commuting purposes, may contribute to differences in how cycling safety components coalesce into perceived safety.&quot;,&quot;publisher&quot;:&quot;Multidisciplinary Digital Publishing Institute (MDPI)&quot;,&quot;issue&quot;:&quot;4&quot;,&quot;volume&quot;:&quot;9&quot;,&quot;container-title-short&quot;:&quot;&quot;},&quot;isTemporary&quot;:false},{&quot;id&quot;:&quot;d1091b9b-b8c1-3d3e-b86a-5d24eb37465c&quot;,&quot;itemData&quot;:{&quot;type&quot;:&quot;article-journal&quot;,&quot;id&quot;:&quot;d1091b9b-b8c1-3d3e-b86a-5d24eb37465c&quot;,&quot;title&quot;:&quot;Perceived Safety and Security Barriers to Walking and Bicycling: Insights from Milwaukee&quot;,&quot;author&quot;:[{&quot;family&quot;:&quot;Schneider&quot;,&quot;given&quot;:&quot;Robert James&quot;,&quot;parse-names&quot;:false,&quot;dropping-particle&quot;:&quot;&quot;,&quot;non-dropping-particle&quot;:&quot;&quot;},{&quot;family&quot;:&quot;Wiers&quot;,&quot;given&quot;:&quot;Hayley&quot;,&quot;parse-names&quot;:false,&quot;dropping-particle&quot;:&quot;&quot;,&quot;non-dropping-particle&quot;:&quot;&quot;},{&quot;family&quot;:&quot;Schmitz&quot;,&quot;given&quot;:&quot;Andrew&quot;,&quot;parse-names&quot;:false,&quot;dropping-particle&quot;:&quot;&quot;,&quot;non-dropping-particle&quot;:&quot;&quot;}],&quot;container-title&quot;:&quot;Transportation Research Record&quot;,&quot;container-title-short&quot;:&quot;Transp. Res. Rec.&quot;,&quot;DOI&quot;:&quot;10.1177/03611981221086646&quot;,&quot;ISSN&quot;:&quot;21694052&quot;,&quot;issued&quot;:{&quot;date-parts&quot;:[[2022,9,1]]},&quot;page&quot;:&quot;325-338&quot;,&quot;abstract&quot;:&quot;Two broad categories of barriers to improving pedestrian and bicycle transportation are concerns about traffic safety and personal security. Gathering residents’ perceptions of these barriers can help public agencies develop effective and equitable strategies to create more sustainable transportation systems. We analyzed open-ended responses to the 2020 Milwaukee Safe and Healthy Streets survey to identify common traffic safety barriers (e.g., driver behavior such as speeding and red-light-running) and personal security barriers (e.g., undesirable street behaviors such as gun violence, robbery, and assault) to walking and bicycling. Then, we developed binary logistic models to identify perceptions of neighborhood characteristics, and individual demographic characteristics related to perceiving walking or bicycling as unsafe with respect to traffic or personal security. For walking, respondents’ traffic safety concerns were most strongly associated with perceptions of fast neighborhood traffic speeds, and personal security concerns were associated with perceptions of poor neighborhood cleanliness. For bicycling, both traffic safety concerns and personal security concerns were most strongly associated with poor neighborhood opportunities for exercise. At an individual level, living in a zero-vehicle household and having self-reported poor health were associated with rating traffic safety for both walking and bicycling as unsafe; having disabilities was associated with rating walking as unsafe. In almost every aspect of our analysis, respondents living in lower-income communities reported greater barriers to pedestrian and bicycle safety and security than residents from wealthier neighborhoods. The results emphasized the importance of both the social and physical environment for improving pedestrian and bicycle transportation.&quot;,&quot;publisher&quot;:&quot;SAGE Publications Ltd&quot;,&quot;issue&quot;:&quot;9&quot;,&quot;volume&quot;:&quot;2676&quot;},&quot;isTemporary&quot;:false}]},{&quot;citationID&quot;:&quot;MENDELEY_CITATION_dabf3ed5-7630-4748-a19d-fbb42e1d70f2&quot;,&quot;properties&quot;:{&quot;noteIndex&quot;:0},&quot;isEdited&quot;:false,&quot;manualOverride&quot;:{&quot;isManuallyOverridden&quot;:true,&quot;citeprocText&quot;:&quot;(Badia &amp;#38; Jenelius, 2023; Heinen et al., 2010; Sanders et al., 2020; Soto et al., 2022)&quot;,&quot;manualOverrideText&quot;:&quot;Heinen et al., 2010; Sanders et al., 2020; Soto et al., 2022; Badia and Jenelius, 2023&quot;},&quot;citationTag&quot;:&quot;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&quot;,&quot;citationItems&quot;:[{&quot;id&quot;:&quot;5ca983f5-7599-3467-9733-8d06b53fd651&quot;,&quot;itemData&quot;:{&quot;type&quot;:&quot;article-journal&quot;,&quot;id&quot;:&quot;5ca983f5-7599-3467-9733-8d06b53fd651&quot;,&quot;title&quot;:&quot;Traffic as a barrier to walking safely in the United States: Perceived reasons and potential mitigation strategies&quot;,&quot;author&quot;:[{&quot;family&quot;:&quot;Soto&quot;,&quot;given&quot;:&quot;Graycie W.&quot;,&quot;parse-names&quot;:false,&quot;dropping-particle&quot;:&quot;&quot;,&quot;non-dropping-particle&quot;:&quot;&quot;},{&quot;family&quot;:&quot;Whitfield&quot;,&quot;given&quot;:&quot;Geoffrey P.&quot;,&quot;parse-names&quot;:false,&quot;dropping-particle&quot;:&quot;&quot;,&quot;non-dropping-particle&quot;:&quot;&quot;},{&quot;family&quot;:&quot;Webber&quot;,&quot;given&quot;:&quot;Bryant J.&quot;,&quot;parse-names&quot;:false,&quot;dropping-particle&quot;:&quot;&quot;,&quot;non-dropping-particle&quot;:&quot;&quot;},{&quot;family&quot;:&quot;Omura&quot;,&quot;given&quot;:&quot;John D.&quot;,&quot;parse-names&quot;:false,&quot;dropping-particle&quot;:&quot;&quot;,&quot;non-dropping-particle&quot;:&quot;&quot;},{&quot;family&quot;:&quot;Chen&quot;,&quot;given&quot;:&quot;Tiffany J.&quot;,&quot;parse-names&quot;:false,&quot;dropping-particle&quot;:&quot;&quot;,&quot;non-dropping-particle&quot;:&quot;&quot;},{&quot;family&quot;:&quot;Zaganjor&quot;,&quot;given&quot;:&quot;Hatidza&quot;,&quot;parse-names&quot;:false,&quot;dropping-particle&quot;:&quot;&quot;,&quot;non-dropping-particle&quot;:&quot;&quot;},{&quot;family&quot;:&quot;Rose&quot;,&quot;given&quot;:&quot;Kenneth&quot;,&quot;parse-names&quot;:false,&quot;dropping-particle&quot;:&quot;&quot;,&quot;non-dropping-particle&quot;:&quot;&quot;}],&quot;container-title&quot;:&quot;Preventive Medicine Reports&quot;,&quot;container-title-short&quot;:&quot;Prev. Med. Rep.&quot;,&quot;DOI&quot;:&quot;10.1016/j.pmedr.2022.102003&quot;,&quot;ISSN&quot;:&quot;22113355&quot;,&quot;issued&quot;:{&quot;date-parts&quot;:[[2022,12,1]]},&quot;abstract&quot;:&quot;Motor vehicle traffic is commonly cited as a barrier to walking, but national level perceptions of traffic characteristics that negatively influence walking and potential traffic mitigation strategies remain unclear. The objectives of this study were to describe perceptions of (1) traffic characteristics that make walking unsafe in the United States and (2) potential mitigation strategies to address these concerns among those who report traffic as a barrier to walking. Data were from FallStyles, a nationwide internet panel survey conducted in October 2019 (n = 3,284 adults). Respondents reported if traffic makes walking unsafe where they live; those who answered yes were then asked about traffic characteristics that make walking unsafe (number of vehicles, speed of vehicles, distracted or impaired driving, types of vehicles, and other reasons) and potential mitigation strategies (new or improved sidewalks, crosswalks, pedestrian signals, street lighting, things that slow vehicles down, separating the sidewalk from the road, fewer vehicle lanes, and other). Prevalence of responses was assessed overall and by select sociodemographic and geographic characteristics, and by walking status. Nearly 25% of US adults reported that traffic is a barrier to walking where they live. Of these, 79% selected vehicle speed as a contributing traffic characteristic, and 57% indicated new or improved sidewalks as a potential mitigation strategy. These top responses were shared across all sociodemographic, geographic, and walking behavior subgroups. Speed reduction efforts and built environment enhancements such as sidewalks may alleviate pedestrian safety concerns. Promotion campaigns may be needed to bring awareness to such changes.&quot;,&quot;publisher&quot;:&quot;Elsevier Inc.&quot;,&quot;volume&quot;:&quot;30&quot;},&quot;isTemporary&quot;:false},{&quot;id&quot;:&quot;6a9f76f1-11cb-3ecf-99d2-e65c2b65e1fa&quot;,&quot;itemData&quot;:{&quot;type&quot;:&quot;article-journal&quot;,&quot;id&quot;:&quot;6a9f76f1-11cb-3ecf-99d2-e65c2b65e1fa&quot;,&quot;title&quot;:&quot;Shared e-scooter micromobility: review of use patterns, perceptions and environmental impacts&quot;,&quot;author&quot;:[{&quot;family&quot;:&quot;Badia&quot;,&quot;given&quot;:&quot;Hugo&quot;,&quot;parse-names&quot;:false,&quot;dropping-particle&quot;:&quot;&quot;,&quot;non-dropping-particle&quot;:&quot;&quot;},{&quot;family&quot;:&quot;Jenelius&quot;,&quot;given&quot;:&quot;Erik&quot;,&quot;parse-names&quot;:false,&quot;dropping-particle&quot;:&quot;&quot;,&quot;non-dropping-particle&quot;:&quot;&quot;}],&quot;container-title&quot;:&quot;Transport Reviews&quot;,&quot;container-title-short&quot;:&quot;Transp. Rev.&quot;,&quot;accessed&quot;:{&quot;date-parts&quot;:[[2026,4,22]]},&quot;DOI&quot;:&quot;10.1080/01441647.2023.2171500&quot;,&quot;ISSN&quot;:&quot;14645327&quot;,&quot;URL&quot;:&quot;https://www.tandfonline.com/doi/pdf/10.1080/01441647.2023.2171500&quot;,&quot;issued&quot;:{&quot;date-parts&quot;:[[2023,9,3]]},&quot;page&quot;:&quot;811-837&quot;,&quot;abstract&quot;:&quot;1. Micromobility, i.e. the use of light vehicles for transportation, has been promoted through the implementation of bike-sharing systems from the beginning of this century (Fishman, 2016; Fishman ...&quot;,&quot;publisher&quot;:&quot;Routledge&quot;,&quot;issue&quot;:&quot;5&quot;,&quot;volume&quot;:&quot;43&quot;},&quot;isTemporary&quot;:false},{&quot;id&quot;:&quot;076b83c9-641e-32c4-abc5-3e51d0a29e80&quot;,&quot;itemData&quot;:{&quot;type&quot;:&quot;article-journal&quot;,&quot;id&quot;:&quot;076b83c9-641e-32c4-abc5-3e51d0a29e80&quot;,&quot;title&quot;:&quot;Commuting by Bicycle: An Overview of the Literature&quot;,&quot;author&quot;:[{&quot;family&quot;:&quot;Heinen&quot;,&quot;given&quot;:&quot;Eva&quot;,&quot;parse-names&quot;:false,&quot;dropping-particle&quot;:&quot;&quot;,&quot;non-dropping-particle&quot;:&quot;&quot;},{&quot;family&quot;:&quot;Wee&quot;,&quot;given&quot;:&quot;Bert&quot;,&quot;parse-names&quot;:false,&quot;dropping-particle&quot;:&quot;&quot;,&quot;non-dropping-particle&quot;:&quot;van&quot;},{&quot;family&quot;:&quot;Maat&quot;,&quot;given&quot;:&quot;Kees&quot;,&quot;parse-names&quot;:false,&quot;dropping-particle&quot;:&quot;&quot;,&quot;non-dropping-particle&quot;:&quot;&quot;}],&quot;container-title&quot;:&quot;Transport Reviews&quot;,&quot;container-title-short&quot;:&quot;Transp. Rev.&quot;,&quot;accessed&quot;:{&quot;date-parts&quot;:[[2026,4,22]]},&quot;DOI&quot;:&quot;10.1080/01441640903187001&quot;,&quot;ISSN&quot;:&quot;01441647&quot;,&quot;URL&quot;:&quot;https://scholar.google.com/scholar_url?url=https://www.tandfonline.com/doi/pdf/10.1080/01441640903187001%3Fcasa_token%3Ds5Vke43CByAAAAAA:8Zzmfne7Z1RsAGIFIhUL-KjXHrxZpnYtkpuJeNIxwvKXkzT07CL5EDytAde-zKXPYfuWg4Ef3JTf&amp;hl=en&amp;sa=T&amp;oi=ucasa&amp;ct=ucasa&amp;ei=Q8Ppab32AdXXieoPjom1oQ0&amp;scisig=ADi0EEWnyboaMhXR9v1v5HYNbPCp&quot;,&quot;issued&quot;:{&quot;date-parts&quot;:[[2010,1]]},&quot;page&quot;:&quot;59-96&quot;,&quot;abstract&quot;:&quot;For society and for the individual, cycling presents a number of interesting advantages over other modes of transport. Individuals benefit from the fact that cycling is a healthy and cheap form of ...&quot;,&quot;publisher&quot;:&quot;Routledge&quot;,&quot;issue&quot;:&quot;1&quot;,&quot;volume&quot;:&quot;30&quot;},&quot;isTemporary&quot;:false},{&quot;id&quot;:&quot;e77d3695-e5ed-324b-a44b-4e159b4edb01&quot;,&quot;itemData&quot;:{&quot;type&quot;:&quot;article-journal&quot;,&quot;id&quot;:&quot;e77d3695-e5ed-324b-a44b-4e159b4edb01&quot;,&quot;title&quot;:&quot;To scoot or not to scoot: Findings from a recent survey about the benefits and barriers of using E-scooters for riders and non-riders&quot;,&quot;author&quot;:[{&quot;family&quot;:&quot;Sanders&quot;,&quot;given&quot;:&quot;Rebecca L.&quot;,&quot;parse-names&quot;:false,&quot;dropping-particle&quot;:&quot;&quot;,&quot;non-dropping-particle&quot;:&quot;&quot;},{&quot;family&quot;:&quot;Branion-Calles&quot;,&quot;given&quot;:&quot;Michael&quot;,&quot;parse-names&quot;:false,&quot;dropping-particle&quot;:&quot;&quot;,&quot;non-dropping-particle&quot;:&quot;&quot;},{&quot;family&quot;:&quot;Nelson&quot;,&quot;given&quot;:&quot;Trisalyn A.&quot;,&quot;parse-names&quot;:false,&quot;dropping-particle&quot;:&quot;&quot;,&quot;non-dropping-particle&quot;:&quot;&quot;}],&quot;container-title&quot;:&quot;Transportation Research Part A: Policy and Practice&quot;,&quot;container-title-short&quot;:&quot;Transp. Res. Part A Policy Pract.&quot;,&quot;accessed&quot;:{&quot;date-parts&quot;:[[2026,4,22]]},&quot;DOI&quot;:&quot;10.1016/j.tra.2020.07.009&quot;,&quot;ISSN&quot;:&quot;0965-8564&quot;,&quot;URL&quot;:&quot;https://www.sciencedirect.com/science/article/pii/S0965856420306522&quot;,&quot;issued&quot;:{&quot;date-parts&quot;:[[2020,9,1]]},&quot;page&quot;:&quot;217-227&quot;,&quot;abstract&quot;:&quot;E-scooters are rapidly changing transportation in US cities and university campuses. Hailed as a convenient, inexpensive solution for “last mile” and other short trips, e-scooters are available in over 100 US cities and were used for nearly forty million trips in 2018. Yet relatively little is known about e-scooter use, including who uses them, for which types of trips, and the perceived benefits and barriers related to e-scooters. This information is particularly important in light of concerns about safety and the loss of physical activity (PA) due to replacing walking and biking with e-scooting. In this paper, we aim to characterize trends in the barriers and benefits related to e-scooter use within a professional population. We surveyed 1,256 university staff in Tempe, AZ, finding that 36% of respondents had ridden e-scooters and 40% indicated that they would do so outside of campus in the next year. Overwhelmingly, e-scooters are seen as a convenient way to travel, particularly in the heat and compared to walking. However, demographic differences were notable, particularly regarding barriers. African American and non-white Hispanic respondents were significantly more likely than non-Hispanic white respondents to intend to try e-scooters and to be unhappy with current transportation options. E-scooters are also associated with concerns about traffic safety – particularly for women – and barriers related to being able to find working equipment when needed. These findings suggest that e-scooters fill an important transportation niche and may contribute to transportation equity, and that efforts to address barriers could further enhance that contribution.&quot;,&quot;publisher&quot;:&quot;Pergamon&quot;,&quot;volume&quot;:&quot;139&quot;},&quot;isTemporary&quot;:false}]},{&quot;citationID&quot;:&quot;MENDELEY_CITATION_2a79265d-29f2-4c95-b331-3a7595c5e436&quot;,&quot;properties&quot;:{&quot;noteIndex&quot;:0},&quot;isEdited&quot;:false,&quot;manualOverride&quot;:{&quot;isManuallyOverridden&quot;:false,&quot;citeprocText&quot;:&quot;(Garrard et al., 2008; Prati et al., 2019)&quot;,&quot;manualOverrideText&quot;:&quot;&quot;},&quot;citationTag&quot;:&quot;MENDELEY_CITATION_v3_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&quot;,&quot;citationItems&quot;:[{&quot;id&quot;:&quot;94038214-7866-34de-afee-167178a4b838&quot;,&quot;itemData&quot;:{&quot;type&quot;:&quot;article-journal&quot;,&quot;id&quot;:&quot;94038214-7866-34de-afee-167178a4b838&quot;,&quot;title&quot;:&quot;Gender differences in cycling patterns and attitudes towards cycling in a sample of European regular cyclists&quot;,&quot;author&quot;:[{&quot;family&quot;:&quot;Prati&quot;,&quot;given&quot;:&quot;Gabriele&quot;,&quot;parse-names&quot;:false,&quot;dropping-particle&quot;:&quot;&quot;,&quot;non-dropping-particle&quot;:&quot;&quot;},{&quot;family&quot;:&quot;Fraboni&quot;,&quot;given&quot;:&quot;Federico&quot;,&quot;parse-names&quot;:false,&quot;dropping-particle&quot;:&quot;&quot;,&quot;non-dropping-particle&quot;:&quot;&quot;},{&quot;family&quot;:&quot;Angelis&quot;,&quot;given&quot;:&quot;Marco&quot;,&quot;parse-names&quot;:false,&quot;dropping-particle&quot;:&quot;&quot;,&quot;non-dropping-particle&quot;:&quot;De&quot;},{&quot;family&quot;:&quot;Pietrantoni&quot;,&quot;given&quot;:&quot;Luca&quot;,&quot;parse-names&quot;:false,&quot;dropping-particle&quot;:&quot;&quot;,&quot;non-dropping-particle&quot;:&quot;&quot;},{&quot;family&quot;:&quot;Johnson&quot;,&quot;given&quot;:&quot;Daniel&quot;,&quot;parse-names&quot;:false,&quot;dropping-particle&quot;:&quot;&quot;,&quot;non-dropping-particle&quot;:&quot;&quot;},{&quot;family&quot;:&quot;Shires&quot;,&quot;given&quot;:&quot;Jeremy&quot;,&quot;parse-names&quot;:false,&quot;dropping-particle&quot;:&quot;&quot;,&quot;non-dropping-particle&quot;:&quot;&quot;}],&quot;container-title&quot;:&quot;Journal of Transport Geography&quot;,&quot;accessed&quot;:{&quot;date-parts&quot;:[[2026,4,1]]},&quot;DOI&quot;:&quot;10.1016/j.jtrangeo.2019.05.006&quot;,&quot;ISSN&quot;:&quot;0966-6923&quot;,&quot;URL&quot;:&quot;https://www.sciencedirect.com/science/article/abs/pii/S0966692318305556?via%3Dihub&quot;,&quot;issued&quot;:{&quot;date-parts&quot;:[[2019,6,1]]},&quot;page&quot;:&quot;1-7&quot;,&quot;abstract&quot;:&quot;Previous research has shown that men cycle more than women and women tent to report less favourable perceptions and attitudes towards cycling than men. Gender differences in perceptions and attitudes towards cycling may be influenced by such difference in bicycle use. Attitudinal differences concerning cycling between male and female may be the consequence and not only the cause of gender imbalance in bicycle use. To our knowledge, no previous research has focused on gender differences in perceptions and attitudes towards cycling involving a sample with gender balance in bicycle use (e.g. regular cyclists). In our study, we investigated gender differences in attitudes towards cycling and towards cycling infrastructure, purpose of cycling, risk perception, and exposure to severe crashes in a large sample of regular cyclists. Following a cross-sectional design, we collected data from 2417 participants from Hungary, Italy, Spain, Sweden, Netherlands, and United Kingdom. A survey was administered to an online panel of respondents. Gender differences in attitudes towards cycling were small in terms of effect size or non-significant, with women having more positive attitudes in personal benefits rather than mobility benefits. Women reported gender-stereotyped reasons for cycling more than men, except for social activities. Also, women showed higher discomfort than men cycling in mixed traffic and higher risk perception than men. Furthermore, men reported higher exposure to severe crashes than women. We contend that bicycle use and gender role (i.e. society's shared beliefs concerning a range of attitudes, norms, and behaviours that are generally considered appropriate or desirable for individuals based on their actual or perceived sex)can affect differences between male and female cyclists in perceptions, attitudes towards cycling, and cycling behaviours.&quot;,&quot;publisher&quot;:&quot;Pergamon&quot;,&quot;volume&quot;:&quot;78&quot;,&quot;container-title-short&quot;:&quot;J. Transp. Geogr.&quot;},&quot;isTemporary&quot;:false},{&quot;id&quot;:&quot;ddee0f4e-3b67-3219-91df-67f8e7e7078a&quot;,&quot;itemData&quot;:{&quot;type&quot;:&quot;article-journal&quot;,&quot;id&quot;:&quot;ddee0f4e-3b67-3219-91df-67f8e7e7078a&quot;,&quot;title&quot;:&quot;Promoting transportation cycling for women: The role of bicycle infrastructure&quot;,&quot;author&quot;:[{&quot;family&quot;:&quot;Garrard&quot;,&quot;given&quot;:&quot;Jan&quot;,&quot;parse-names&quot;:false,&quot;dropping-particle&quot;:&quot;&quot;,&quot;non-dropping-particle&quot;:&quot;&quot;},{&quot;family&quot;:&quot;Rose&quot;,&quot;given&quot;:&quot;Geoffrey&quot;,&quot;parse-names&quot;:false,&quot;dropping-particle&quot;:&quot;&quot;,&quot;non-dropping-particle&quot;:&quot;&quot;},{&quot;family&quot;:&quot;Lo&quot;,&quot;given&quot;:&quot;Sing Kai&quot;,&quot;parse-names&quot;:false,&quot;dropping-particle&quot;:&quot;&quot;,&quot;non-dropping-particle&quot;:&quot;&quot;}],&quot;container-title&quot;:&quot;Preventive Medicine&quot;,&quot;container-title-short&quot;:&quot;Prev. Med. (Baltim).&quot;,&quot;accessed&quot;:{&quot;date-parts&quot;:[[2026,4,25]]},&quot;DOI&quot;:&quot;10.1016/j.ypmed.2007.07.010&quot;,&quot;ISSN&quot;:&quot;0091-7435&quot;,&quot;PMID&quot;:&quot;17698185&quot;,&quot;URL&quot;:&quot;https://www.sciencedirect.com/science/article/abs/pii/S0091743507003039?casa_token=lPQ1iViZgSkAAAAA:HBJmjIgo1SsYmc0x1tg3wScWSt6l7ITiqXUXd_P584I-yaRI2SPJU9W1qkC-SlUI6x8bZpvflg&quot;,&quot;issued&quot;:{&quot;date-parts&quot;:[[2008,1,1]]},&quot;page&quot;:&quot;55-59&quot;,&quot;abstract&quot;:&quot;Objective.: Females are substantially less likely than males to cycle for transport in countries with low bicycle transport mode share. We investigated whether female commuter cyclists were more likely to use bicycle routes that provide separation from motor vehicle traffic. Methods.: Census of cyclists observed at 15 locations (including off-road bicycle paths, on-road lanes and roads with no bicycle facilities) within a 7.4 km radius of the central business district (CBD) of Melbourne, Australia, during peak commuting times in February 2004. Results.: 6589 cyclists were observed, comprising 5229 males (79.4%) and 1360 females (20.6%). After adjustment for distance of the bicycle facility from the CBD, females showed a preference for using off-road paths rather than roads with no bicycle facilities (odds ratio [OR] = 1.43, 95% confidence interval [CI]: 1.12, 1.83), or roads with on-road bicycle lanes (OR = 1.34, 95% CI: 1.03, 1.75). Conclusions.: Consistent with gender differences in risk aversion, female commuter cyclists preferred to use routes with maximum separation from motorized traffic. Improved cycling infrastructure in the form of bicycle paths and lanes that provide a high degree of separation from motor traffic is likely to be important for increasing transportation cycling amongst under-represented population groups such as women. © 2007 Elsevier Inc. All rights reserved.&quot;,&quot;publisher&quot;:&quot;Academic Press&quot;,&quot;issue&quot;:&quot;1&quot;,&quot;volume&quot;:&quot;46&quot;},&quot;isTemporary&quot;:false}]},{&quot;citationID&quot;:&quot;MENDELEY_CITATION_c4738ea6-3dc9-44f5-acba-a701d3bcb330&quot;,&quot;properties&quot;:{&quot;noteIndex&quot;:0},&quot;isEdited&quot;:false,&quot;manualOverride&quot;:{&quot;isManuallyOverridden&quot;:true,&quot;citeprocText&quot;:&quot;(Brüchert et al., 2022; Van Cauwenberg et al., 2012)&quot;,&quot;manualOverrideText&quot;:&quot;(Van Cauwenberg et al., 2012; Brüchert et al., 2022)&quot;},&quot;citationTag&quot;:&quot;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&quot;,&quot;citationItems&quot;:[{&quot;id&quot;:&quot;673347f3-6c99-342f-a675-2536418dff6f&quot;,&quot;itemData&quot;:{&quot;type&quot;:&quot;article-journal&quot;,&quot;id&quot;:&quot;673347f3-6c99-342f-a675-2536418dff6f&quot;,&quot;title&quot;:&quot;Environmental factors influencing older adults' walking for transportation: a study using walk-along interviews&quot;,&quot;author&quot;:[{&quot;family&quot;:&quot;Cauwenberg&quot;,&quot;given&quot;:&quot;Jelle&quot;,&quot;parse-names&quot;:false,&quot;dropping-particle&quot;:&quot;&quot;,&quot;non-dropping-particle&quot;:&quot;Van&quot;},{&quot;family&quot;:&quot;Holle&quot;,&quot;given&quot;:&quot;Veerle&quot;,&quot;parse-names&quot;:false,&quot;dropping-particle&quot;:&quot;&quot;,&quot;non-dropping-particle&quot;:&quot;Van&quot;},{&quot;family&quot;:&quot;Simons&quot;,&quot;given&quot;:&quot;Dorien&quot;,&quot;parse-names&quot;:false,&quot;dropping-particle&quot;:&quot;&quot;,&quot;non-dropping-particle&quot;:&quot;&quot;},{&quot;family&quot;:&quot;Deridder&quot;,&quot;given&quot;:&quot;Riet&quot;,&quot;parse-names&quot;:false,&quot;dropping-particle&quot;:&quot;&quot;,&quot;non-dropping-particle&quot;:&quot;&quot;},{&quot;family&quot;:&quot;Clarys&quot;,&quot;given&quot;:&quot;Peter&quot;,&quot;parse-names&quot;:false,&quot;dropping-particle&quot;:&quot;&quot;,&quot;non-dropping-particle&quot;:&quot;&quot;},{&quot;family&quot;:&quot;Goubert&quot;,&quot;given&quot;:&quot;Liesbet&quot;,&quot;parse-names&quot;:false,&quot;dropping-particle&quot;:&quot;&quot;,&quot;non-dropping-particle&quot;:&quot;&quot;},{&quot;family&quot;:&quot;Nasar&quot;,&quot;given&quot;:&quot;Jack&quot;,&quot;parse-names&quot;:false,&quot;dropping-particle&quot;:&quot;&quot;,&quot;non-dropping-particle&quot;:&quot;&quot;},{&quot;family&quot;:&quot;Salmon&quot;,&quot;given&quot;:&quot;Jo&quot;,&quot;parse-names&quot;:false,&quot;dropping-particle&quot;:&quot;&quot;,&quot;non-dropping-particle&quot;:&quot;&quot;},{&quot;family&quot;:&quot;Bourdeaudhuij&quot;,&quot;given&quot;:&quot;Ilse&quot;,&quot;parse-names&quot;:false,&quot;dropping-particle&quot;:&quot;&quot;,&quot;non-dropping-particle&quot;:&quot;De&quot;},{&quot;family&quot;:&quot;Deforche&quot;,&quot;given&quot;:&quot;Benedicte&quot;,&quot;parse-names&quot;:false,&quot;dropping-particle&quot;:&quot;&quot;,&quot;non-dropping-particle&quot;:&quot;&quot;}],&quot;container-title&quot;:&quot;International Journal of Behavioral Nutrition and Physical Activity&quot;,&quot;DOI&quot;:&quot;10.1186/1479-5868-9-85&quot;,&quot;ISSN&quot;:&quot;14795868&quot;,&quot;PMID&quot;:&quot;22780948&quot;,&quot;issued&quot;:{&quot;date-parts&quot;:[[2012,7,10]]},&quot;abstract&quot;:&quot;Background: Current knowledge on the relationship between the physical environment and walking for transportation among older adults (≥ 65 years) is limited. Qualitative research can provide valuable information and inform further research. However, qualitative studies are scarce and fail to include neighborhood outings necessary to study participants' experiences and perceptions while interacting with and interpreting the local social and physical environment. The current study sought to uncover the perceived environmental influences on Flemish older adults' walking for transportation. To get detailed and context-sensitive environmental information, it used walk-along interviews.Methods: Purposeful convenience sampling was used to recruit 57 older adults residing in urban or semi-urban areas. Walk-along interviews to and from a destination (e.g. a shop) located within a 15 minutes' walk from the participants' home were conducted. Content analysis was performed using NVivo 9 software (QSR International). An inductive approach was used to derive categories and subcategories from the data.Results: Data were categorized in the following categories and subcategories: access to facilities (shops &amp; services, public transit, connectivity), walking facilities (sidewalk quality, crossings, legibility, benches), traffic safety (busy traffic, behavior of other road users), familiarity, safety from crime (physical factors, other persons), social contacts, aesthetics (buildings, natural elements, noise &amp; smell, openness, decay) and weather.Conclusions: The findings indicate that to promote walking for transportation a neighborhood should provide good access to shops and services, well-maintained walking facilities, aesthetically appealing places, streets with little traffic and places for social interaction. In addition, the neighborhood environment should evoke feelings of familiarity and safety from crime. Future quantitative studies should investigate if (changes in) these environmental factors relate to (changes in) older adults' walking for transportation. © 2012 Van Cauwenberg et al.; licensee BioMed Central Ltd.&quot;,&quot;volume&quot;:&quot;9&quot;,&quot;container-title-short&quot;:&quot;&quot;},&quot;isTemporary&quot;:false},{&quot;id&quot;:&quot;da68cc5a-3387-3630-8c27-e451d81bdcbb&quot;,&quot;itemData&quot;:{&quot;type&quot;:&quot;article-journal&quot;,&quot;id&quot;:&quot;da68cc5a-3387-3630-8c27-e451d81bdcbb&quot;,&quot;title&quot;:&quot;The relationship between perceived built environment and cycling or e-biking for transport among older adults–a cross-sectional study&quot;,&quot;author&quot;:[{&quot;family&quot;:&quot;Brüchert&quot;,&quot;given&quot;:&quot;Tanja&quot;,&quot;parse-names&quot;:false,&quot;dropping-particle&quot;:&quot;&quot;,&quot;non-dropping-particle&quot;:&quot;&quot;},{&quot;family&quot;:&quot;Quentin&quot;,&quot;given&quot;:&quot;Paula&quot;,&quot;parse-names&quot;:false,&quot;dropping-particle&quot;:&quot;&quot;,&quot;non-dropping-particle&quot;:&quot;&quot;},{&quot;family&quot;:&quot;Bolte&quot;,&quot;given&quot;:&quot;Gabriele&quot;,&quot;parse-names&quot;:false,&quot;dropping-particle&quot;:&quot;&quot;,&quot;non-dropping-particle&quot;:&quot;&quot;}],&quot;container-title&quot;:&quot;PLoS ONE&quot;,&quot;container-title-short&quot;:&quot;PLoS One&quot;,&quot;DOI&quot;:&quot;10.1371/journal.pone.0267314&quot;,&quot;ISSN&quot;:&quot;19326203&quot;,&quot;PMID&quot;:&quot;35503760&quot;,&quot;issued&quot;:{&quot;date-parts&quot;:[[2022,5,1]]},&quot;abstract&quot;:&quot;The built environment plays a key role in promoting active mobility for healthy aging. Encouraging active mobility among older adults, however, can be especially challenging in more rural areas where distances tend to be longer and infrastructure is favoring car traffic. The association of older adults’ perception of attributes of the built environment with cycling and e-biking for transport was investigated. The potential moderating effects of age, sex, and mobility impairments were explored. A cross-sectional survey was conducted in towns and communities of &lt;100,000 inhabitants, including 2,144 participants (mean age: 74; 53% men). Three different cycling outcomes (any cycling/e-biking, frequency (≥3 days/week) and amount (minutes/week)) were analyzed among all cyclists and e-bike users separately, resulting in six dependent variables. The impact of ten environmental attributes on these outcomes was analyzed in separate models. Overall, street connectivity, and the proximity and number of destinations were most important. Only street connectivity and traffic safety were related to minutes cycling or e-biking per week. Cycling amount was higher overall for e-biking but fewer environmental attributes showed an association compared to any cycling, regardless of bicycle type. Traffic safety was not associated with four out of the six cycling outcomes and was inversely associated with minutes cycling or e-biking. Density was not related to any of the variables investigated. Several interaction effects of sex, age, and mobility impairments were found. Further research is needed on environmental attributes influencing e-bike use, the most important types of destinations, and a more differentiated assessment of perceived traffic safety in older adults.&quot;,&quot;publisher&quot;:&quot;Public Library of Science&quot;,&quot;issue&quot;:&quot;5 May&quot;,&quot;volume&quot;:&quot;17&quot;},&quot;isTemporary&quot;:false}]},{&quot;citationID&quot;:&quot;MENDELEY_CITATION_40d8b054-75a8-43b9-92b2-9df1b7e27c80&quot;,&quot;properties&quot;:{&quot;noteIndex&quot;:0},&quot;isEdited&quot;:false,&quot;manualOverride&quot;:{&quot;isManuallyOverridden&quot;:true,&quot;citeprocText&quot;:&quot;(Bruner et al., 2023; Oluyomi et al., 2014)&quot;,&quot;manualOverrideText&quot;:&quot;(Oluyomi et al., 2014; Bruner et al., 2023)&quot;},&quot;citationTag&quot;:&quot;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&quot;,&quot;citationItems&quot;:[{&quot;id&quot;:&quot;95780c30-1bec-3dd6-aede-34f064c6be18&quot;,&quot;itemData&quot;:{&quot;type&quot;:&quot;article-journal&quot;,&quot;id&quot;:&quot;95780c30-1bec-3dd6-aede-34f064c6be18&quot;,&quot;title&quot;:&quot;Parental safety concerns and active school commute: Correlates across multiple domains in the home-to-school journey&quot;,&quot;author&quot;:[{&quot;family&quot;:&quot;Oluyomi&quot;,&quot;given&quot;:&quot;Abiodun O.&quot;,&quot;parse-names&quot;:false,&quot;dropping-particle&quot;:&quot;&quot;,&quot;non-dropping-particle&quot;:&quot;&quot;},{&quot;family&quot;:&quot;Lee&quot;,&quot;given&quot;:&quot;Chanam&quot;,&quot;parse-names&quot;:false,&quot;dropping-particle&quot;:&quot;&quot;,&quot;non-dropping-particle&quot;:&quot;&quot;},{&quot;family&quot;:&quot;Nehme&quot;,&quot;given&quot;:&quot;Eileen&quot;,&quot;parse-names&quot;:false,&quot;dropping-particle&quot;:&quot;&quot;,&quot;non-dropping-particle&quot;:&quot;&quot;},{&quot;family&quot;:&quot;Dowdy&quot;,&quot;given&quot;:&quot;Diane&quot;,&quot;parse-names&quot;:false,&quot;dropping-particle&quot;:&quot;&quot;,&quot;non-dropping-particle&quot;:&quot;&quot;},{&quot;family&quot;:&quot;Ory&quot;,&quot;given&quot;:&quot;Marcia G.&quot;,&quot;parse-names&quot;:false,&quot;dropping-particle&quot;:&quot;&quot;,&quot;non-dropping-particle&quot;:&quot;&quot;},{&quot;family&quot;:&quot;Hoelscher&quot;,&quot;given&quot;:&quot;Deanna M.&quot;,&quot;parse-names&quot;:false,&quot;dropping-particle&quot;:&quot;&quot;,&quot;non-dropping-particle&quot;:&quot;&quot;}],&quot;container-title&quot;:&quot;International Journal of Behavioral Nutrition and Physical Activity&quot;,&quot;DOI&quot;:&quot;10.1186/1479-5868-11-32&quot;,&quot;ISSN&quot;:&quot;14795868&quot;,&quot;PMID&quot;:&quot;24602213&quot;,&quot;issued&quot;:{&quot;date-parts&quot;:[[2014,3,6]]},&quot;abstract&quot;:&quot;Background: Empirical evidence of the relationship between safety concerns and walking to school (WTS) is growing. However, current research offers limited understanding of the multiple domains of parental safety concerns and the specific mechanisms through which parents articulate safety concerns about WTS. A more detailed understanding is needed to inform environmental and policy interventions. This study examined the relationships between both traffic safety and personal safety concerns and WTS in the U.S. Methods: This cross-sectional analysis examined data from the Texas Childhood Obesity Prevention Policy Evaluation (T-COPPE) project, an evaluation of state-wide obesity prevention policy interventions. All study data were from the survey (n = 830) of parents with 4th grade students attending 81 elementary schools across Texas, and living within two miles from their children's schools. Traffic safety and personal safety concerns were captured for the home neighborhood, en-route to school, and school environments. Binary logistic regression analysis was used to assess the odds of WTS controlling for significant covariates. Results: Overall, 18% of parents reported that their child walked to school on most days of the week. For traffic safety, students were more likely to walk to school if their parent reported favorable perceptions about the following items in the home neighborhood environment: higher sidewalk availability, well maintained sidewalks and safe road crossings. For the route to school, the odds of WTS were higher for those who reported \&quot;no problem\&quot; with each one of the following: traffic speed, amount of traffic, sidewalks/pathways, intersection/crossing safety, and crossing guards, when compared to those that reported \&quot;always a problem\&quot;. For personal safety in the en-route to school environment, the odds of WTS were lower when parents reported concerns about: stray or dangerous animals and availability of others with whom to walk. Conclusions: Findings offered insights into the specific issues that drive safety concerns for elementary school children's WTS behaviors. The observed associations between more favorable perceptions of safety and WTS provide further justification for practical intervention strategies to reduce WTS barriers that can potentially bring long-term physical activity and health benefits to school-aged children. © 2014 Oluyomi et al.; licensee BioMed Central Ltd.&quot;,&quot;publisher&quot;:&quot;BioMed Central Ltd.&quot;,&quot;issue&quot;:&quot;1&quot;,&quot;volume&quot;:&quot;11&quot;,&quot;container-title-short&quot;:&quot;&quot;},&quot;isTemporary&quot;:false},{&quot;id&quot;:&quot;7e5edbf9-36d3-38c0-934d-2c8bd3cbc1af&quot;,&quot;itemData&quot;:{&quot;type&quot;:&quot;article-journal&quot;,&quot;id&quot;:&quot;7e5edbf9-36d3-38c0-934d-2c8bd3cbc1af&quot;,&quot;title&quot;:&quot;Child and parent perspectives on active school transportation: Barriers and facilitators in a northern environment&quot;,&quot;author&quot;:[{&quot;family&quot;:&quot;Bruner&quot;,&quot;given&quot;:&quot;Brenda&quot;,&quot;parse-names&quot;:false,&quot;dropping-particle&quot;:&quot;&quot;,&quot;non-dropping-particle&quot;:&quot;&quot;},{&quot;family&quot;:&quot;Rickwood&quot;,&quot;given&quot;:&quot;Greg&quot;,&quot;parse-names&quot;:false,&quot;dropping-particle&quot;:&quot;&quot;,&quot;non-dropping-particle&quot;:&quot;&quot;},{&quot;family&quot;:&quot;Shwed&quot;,&quot;given&quot;:&quot;Alanna&quot;,&quot;parse-names&quot;:false,&quot;dropping-particle&quot;:&quot;&quot;,&quot;non-dropping-particle&quot;:&quot;&quot;},{&quot;family&quot;:&quot;Karvinen&quot;,&quot;given&quot;:&quot;Kristina&quot;,&quot;parse-names&quot;:false,&quot;dropping-particle&quot;:&quot;&quot;,&quot;non-dropping-particle&quot;:&quot;&quot;},{&quot;family&quot;:&quot;Lévesque&quot;,&quot;given&quot;:&quot;Lucie&quot;,&quot;parse-names&quot;:false,&quot;dropping-particle&quot;:&quot;&quot;,&quot;non-dropping-particle&quot;:&quot;&quot;},{&quot;family&quot;:&quot;Mantha&quot;,&quot;given&quot;:&quot;Shannon&quot;,&quot;parse-names&quot;:false,&quot;dropping-particle&quot;:&quot;&quot;,&quot;non-dropping-particle&quot;:&quot;&quot;},{&quot;family&quot;:&quot;Raymer&quot;,&quot;given&quot;:&quot;Graydon&quot;,&quot;parse-names&quot;:false,&quot;dropping-particle&quot;:&quot;&quot;,&quot;non-dropping-particle&quot;:&quot;&quot;}],&quot;container-title&quot;:&quot;Journal of Transport and Health&quot;,&quot;container-title-short&quot;:&quot;J. Transp. Health&quot;,&quot;DOI&quot;:&quot;10.1016/j.jth.2023.101708&quot;,&quot;ISSN&quot;:&quot;22141405&quot;,&quot;issued&quot;:{&quot;date-parts&quot;:[[2023,11,1]]},&quot;abstract&quot;:&quot;Introduction: There is a positive correlation between active school transportation and increased physical activity in children. Unfortunately, over half of Canadian children rely solely on inactive modes of transportation to and from school. The purpose of this study was to explore barriers and facilitators to active school transportation among children and parents in a small city in northeastern Ontario, Canada. Methods: Semi-structured interviews were conducted with parents (n = 15) and two focus groups were held with elementary, school-aged children (n = 14). Interviews with parents were guided by the modified Physically Active School Settings survey to investigate barriers and facilitators to active transportation to school. Children were asked open-ended questions about their barriers and facilitators to active school transportation. Transcribed audio recordings underwent content analysis. Results: Findings revealed key factors that influence children and their parents’ decisions related to active transportation to school. Parents discussed vehicle traffic, wild animals (i.e., bears), infrastructure, and limited safety knowledge as barriers. Children discussed similar barriers and potential solutions such as maps of safe routes, traveling in groups, and improving infrastructure. Conclusions: Results highlight context is important for understanding barriers and facilitators to engaging in active transportation to school. To overcome barriers and support facilitators, local active transportation stakeholders need to work together to implement long-term school-based initiatives.&quot;,&quot;publisher&quot;:&quot;Elsevier Ltd&quot;,&quot;volume&quot;:&quot;33&quot;},&quot;isTemporary&quot;:false}]},{&quot;citationID&quot;:&quot;MENDELEY_CITATION_44a6453e-d33e-4a5b-938f-1581ff8debf8&quot;,&quot;properties&quot;:{&quot;noteIndex&quot;:0},&quot;isEdited&quot;:false,&quot;manualOverride&quot;:{&quot;isManuallyOverridden&quot;:false,&quot;citeprocText&quot;:&quot;(Evenson et al., 2012; Foster et al., 2021)&quot;,&quot;manualOverrideText&quot;:&quot;&quot;},&quot;citationTag&quot;:&quot;MENDELEY_CITATION_v3_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&quot;,&quot;citationItems&quot;:[{&quot;id&quot;:&quot;c9c8ba1e-5eb3-32c4-8e6d-35983ed70832&quot;,&quot;itemData&quot;:{&quot;type&quot;:&quot;article-journal&quot;,&quot;id&quot;:&quot;c9c8ba1e-5eb3-32c4-8e6d-35983ed70832&quot;,&quot;title&quot;:&quot;Safe Habitats: Does the Association Between Neighborhood Crime and Walking Differ by Neighborhood Disadvantage?&quot;,&quot;author&quot;:[{&quot;family&quot;:&quot;Foster&quot;,&quot;given&quot;:&quot;Sarah&quot;,&quot;parse-names&quot;:false,&quot;dropping-particle&quot;:&quot;&quot;,&quot;non-dropping-particle&quot;:&quot;&quot;},{&quot;family&quot;:&quot;Hooper&quot;,&quot;given&quot;:&quot;Paula&quot;,&quot;parse-names&quot;:false,&quot;dropping-particle&quot;:&quot;&quot;,&quot;non-dropping-particle&quot;:&quot;&quot;},{&quot;family&quot;:&quot;Burton&quot;,&quot;given&quot;:&quot;Nicola W.&quot;,&quot;parse-names&quot;:false,&quot;dropping-particle&quot;:&quot;&quot;,&quot;non-dropping-particle&quot;:&quot;&quot;},{&quot;family&quot;:&quot;Brown&quot;,&quot;given&quot;:&quot;Wendy J.&quot;,&quot;parse-names&quot;:false,&quot;dropping-particle&quot;:&quot;&quot;,&quot;non-dropping-particle&quot;:&quot;&quot;},{&quot;family&quot;:&quot;Giles-Corti&quot;,&quot;given&quot;:&quot;Billie&quot;,&quot;parse-names&quot;:false,&quot;dropping-particle&quot;:&quot;&quot;,&quot;non-dropping-particle&quot;:&quot;&quot;},{&quot;family&quot;:&quot;Rachele&quot;,&quot;given&quot;:&quot;Jerome N.&quot;,&quot;parse-names&quot;:false,&quot;dropping-particle&quot;:&quot;&quot;,&quot;non-dropping-particle&quot;:&quot;&quot;},{&quot;family&quot;:&quot;Turrell&quot;,&quot;given&quot;:&quot;Gavin&quot;,&quot;parse-names&quot;:false,&quot;dropping-particle&quot;:&quot;&quot;,&quot;non-dropping-particle&quot;:&quot;&quot;}],&quot;container-title&quot;:&quot;Environment and Behavior&quot;,&quot;container-title-short&quot;:&quot;Environ. Behav.&quot;,&quot;accessed&quot;:{&quot;date-parts&quot;:[[2026,6,21]]},&quot;DOI&quot;:&quot;10.1177/0013916519853300&quot;,&quot;ISSN&quot;:&quot;1552390X&quot;,&quot;URL&quot;:&quot;https://scholar.google.com/scholar_url?url=https://journals.sagepub.com/doi/pdf/10.1177/0013916519853300%3Fcasa_token%3D0RfpqLxxzO8AAAAA:76hQOzNTK_hapqbqM1EXfUoCtIs47TIZgUaC-6DIWymWWiUplrPjWLL6ibfl3Wjz8iTDSJi5Fw7B&amp;hl=en&amp;sa=T&amp;oi=ucasa&amp;ct=ucasa&amp;ei=yMs5apPAPKew6rQPw82MgAY&amp;scisig=ANDmEU7mw0R6HOnYB8OPpaIwxC6g&quot;,&quot;issued&quot;:{&quot;date-parts&quot;:[[2021,1,1]]},&quot;page&quot;:&quot;3-39&quot;,&quot;abstract&quot;:&quot;Interrelationships between neighborhood walkability, area disadvantage, and crime may contribute to the inconsistent associations between crime and walking. We examined associations between crime a...&quot;,&quot;publisher&quot;:&quot;SAGE PublicationsSage CA: Los Angeles, CA&quot;,&quot;issue&quot;:&quot;1&quot;,&quot;volume&quot;:&quot;53&quot;},&quot;isTemporary&quot;:false},{&quot;id&quot;:&quot;7107a2f3-691e-3320-a134-f8dfab692ca4&quot;,&quot;itemData&quot;:{&quot;type&quot;:&quot;report&quot;,&quot;id&quot;:&quot;7107a2f3-691e-3320-a134-f8dfab692ca4&quot;,&quot;title&quot;:&quot;Associations of adult physical activity with perceived safety and police-recorded crime: the Multi-ethnic Study of Atherosclerosis&quot;,&quot;author&quot;:[{&quot;family&quot;:&quot;Evenson&quot;,&quot;given&quot;:&quot;Kelly R&quot;,&quot;parse-names&quot;:false,&quot;dropping-particle&quot;:&quot;&quot;,&quot;non-dropping-particle&quot;:&quot;&quot;},{&quot;family&quot;:&quot;Block&quot;,&quot;given&quot;:&quot;Richard&quot;,&quot;parse-names&quot;:false,&quot;dropping-particle&quot;:&quot;&quot;,&quot;non-dropping-particle&quot;:&quot;&quot;},{&quot;family&quot;:&quot;Roux&quot;,&quot;given&quot;:&quot;Ana V Diez&quot;,&quot;parse-names&quot;:false,&quot;dropping-particle&quot;:&quot;&quot;,&quot;non-dropping-particle&quot;:&quot;&quot;},{&quot;family&quot;:&quot;Mcginn&quot;,&quot;given&quot;:&quot;Aileen P&quot;,&quot;parse-names&quot;:false,&quot;dropping-particle&quot;:&quot;&quot;,&quot;non-dropping-particle&quot;:&quot;&quot;},{&quot;family&quot;:&quot;Wen&quot;,&quot;given&quot;:&quot;Fang&quot;,&quot;parse-names&quot;:false,&quot;dropping-particle&quot;:&quot;&quot;,&quot;non-dropping-particle&quot;:&quot;&quot;},{&quot;family&quot;:&quot;Rodríguez&quot;,&quot;given&quot;:&quot;Daniel A&quot;,&quot;parse-names&quot;:false,&quot;dropping-particle&quot;:&quot;&quot;,&quot;non-dropping-particle&quot;:&quot;&quot;}],&quot;DOI&quot;:&quot;10.1186/1479-5868-9-146&quot;,&quot;URL&quot;:&quot;http://www.ijbnpa.org/content/9/1/146&quot;,&quot;issued&quot;:{&quot;date-parts&quot;:[[2012]]},&quot;abstract&quot;:&quot;Background: Due to the inconsistent findings of prior studies, we explored the association of perceived safety and police-recorded crime measures with physical activity. Methods: The study included 818 Chicago participants of the Multiethnic Study of Atherosclerosis 45 to 84 years of age. Questionnaire-assessed physical activity included a) transport walking; b) leisure walking; and c) non-walking leisure activities. Perceived safety was assessed through an interviewer-administered questionnaire. Police-recorded crime was assessed through 2-year counts of selected crimes (total and outdoor incivilities, criminal offenses, homicides) per 1000 population. Associations were examined using generalized estimating equation logistic regression models. Results: Perceiving a safer neighborhood was positively associated with transport walking and perceiving lower violence was associated with leisure walking. Those in the lowest tertile of total or outdoor incivilities were more likely to report transport walking. Models with both perceived safety and police-recorded measures of crime as independent variables had superior fit for both transport walking and leisure walking outcomes. Neither perceived safety nor police-recorded measures of crime were associated with non-walking leisure activity.&quot;,&quot;container-title-short&quot;:&quot;&quot;},&quot;isTemporary&quot;:false}]},{&quot;citationID&quot;:&quot;MENDELEY_CITATION_6ae18f60-4046-4b60-be2d-ff93551bb878&quot;,&quot;properties&quot;:{&quot;noteIndex&quot;:0},&quot;isEdited&quot;:false,&quot;manualOverride&quot;:{&quot;isManuallyOverridden&quot;:true,&quot;citeprocText&quot;:&quot;(Mason et al., 2013; Ravensbergen, Buliung, &amp;#38; Laliberté, 2020)&quot;,&quot;manualOverrideText&quot;:&quot;(Mason et al., 2013; Ravensbergen et al., 2020a)&quot;},&quot;citationTag&quot;:&quot;MENDELEY_CITATION_v3_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&quot;,&quot;citationItems&quot;:[{&quot;id&quot;:&quot;b30c93e0-f164-3bed-9259-efd370aa84f4&quot;,&quot;itemData&quot;:{&quot;type&quot;:&quot;article-journal&quot;,&quot;id&quot;:&quot;b30c93e0-f164-3bed-9259-efd370aa84f4&quot;,&quot;title&quot;:&quot;\&quot;Safe Going\&quot;: The influence of crime rates and perceived crime and safety on walking in deprived neighbourhoods&quot;,&quot;author&quot;:[{&quot;family&quot;:&quot;Mason&quot;,&quot;given&quot;:&quot;Phil&quot;,&quot;parse-names&quot;:false,&quot;dropping-particle&quot;:&quot;&quot;,&quot;non-dropping-particle&quot;:&quot;&quot;},{&quot;family&quot;:&quot;Kearns&quot;,&quot;given&quot;:&quot;Ade&quot;,&quot;parse-names&quot;:false,&quot;dropping-particle&quot;:&quot;&quot;,&quot;non-dropping-particle&quot;:&quot;&quot;},{&quot;family&quot;:&quot;Livingston&quot;,&quot;given&quot;:&quot;Mark&quot;,&quot;parse-names&quot;:false,&quot;dropping-particle&quot;:&quot;&quot;,&quot;non-dropping-particle&quot;:&quot;&quot;}],&quot;container-title&quot;:&quot;Social Science and Medicine&quot;,&quot;container-title-short&quot;:&quot;Soc. Sci. Med.&quot;,&quot;DOI&quot;:&quot;10.1016/j.socscimed.2013.04.011&quot;,&quot;ISSN&quot;:&quot;02779536&quot;,&quot;PMID&quot;:&quot;23849234&quot;,&quot;issued&quot;:{&quot;date-parts&quot;:[[2013,8]]},&quot;page&quot;:&quot;15-24&quot;,&quot;abstract&quot;:&quot;Few studies have simultaneously examined the relationship of levels of recorded crime, perceptions of crime and disorder, and safety from crime with rates of physical activity. We developed a series of multilevel ordinal regression models to examine these aspects in relation to self-reported neighbourhood walking frequency in a cross-sectional sample of 3824 British adults from 29 deprived neighbourhoods in Glasgow, UK. Perceptions of several serious local antisocial behaviours (drunkenness and burglary) and feelings of personal safety (feeling safe in the home and if walking alone in the local area at night) were consistently associated, respectively, with less and more frequent walking. Conversely, perceiving drug dealing or drug use as a serious problem was associated with walking more frequently. There was a small but significant association between walking frequency in neighbourhoods with higher recorded person crime (but not property crime) rates when considered in conjunction with other aspects of disorder and crime safety, although not when additionally controlling for sociodemographic, neighbourhood and community aspects. The magnitude of these objective and perceived crime-related effects is modest and features of the psychosocial environment and social cohesion (having a sense of progress from living in the neighbourhood, group participation and positively rating social venues), as well as health and personal income deprivation, may more strongly determine levels of neighbourhood walking. Nevertheless, physical activity benefits may accrue at the population level through provision of environments that are safer from crime. Our study also shows the importance to local walking of neighbourhood management, which reduces problems of disorder, and of social regeneration, which helps strengthen sense of community. © 2013 Elsevier Ltd.&quot;,&quot;volume&quot;:&quot;91&quot;},&quot;isTemporary&quot;:false},{&quot;id&quot;:&quot;9f416067-341b-32b8-90f6-dac0d3a9cc1b&quot;,&quot;itemData&quot;:{&quot;type&quot;:&quot;article-journal&quot;,&quot;id&quot;:&quot;9f416067-341b-32b8-90f6-dac0d3a9cc1b&quot;,&quot;title&quot;:&quot;Fear of cycling: Social, spatial, and temporal dimensions&quot;,&quot;author&quot;:[{&quot;family&quot;:&quot;Ravensbergen&quot;,&quot;given&quot;:&quot;Léa&quot;,&quot;parse-names&quot;:false,&quot;dropping-particle&quot;:&quot;&quot;,&quot;non-dropping-particle&quot;:&quot;&quot;},{&quot;family&quot;:&quot;Buliung&quot;,&quot;given&quot;:&quot;Ron&quot;,&quot;parse-names&quot;:false,&quot;dropping-particle&quot;:&quot;&quot;,&quot;non-dropping-particle&quot;:&quot;&quot;},{&quot;family&quot;:&quot;Laliberté&quot;,&quot;given&quot;:&quot;Nicole&quot;,&quot;parse-names&quot;:false,&quot;dropping-particle&quot;:&quot;&quot;,&quot;non-dropping-particle&quot;:&quot;&quot;}],&quot;container-title&quot;:&quot;Journal of Transport Geography&quot;,&quot;container-title-short&quot;:&quot;J. Transp. Geogr.&quot;,&quot;DOI&quot;:&quot;10.1016/j.jtrangeo.2020.102813&quot;,&quot;ISSN&quot;:&quot;09666923&quot;,&quot;issued&quot;:{&quot;date-parts&quot;:[[2020,7,1]]},&quot;abstract&quot;:&quot;Objective and perceived risk, danger, and safety concerns are often identified as barriers to taking up cycling. While a vast literature examines cycling safety, risk, and danger, little research examines relationships between fear and cycling, i.e. the emotional experience of risk, danger, and safety concerns. This paper addresses this research gap by exploring the fears reported by recent immigrants who are new cyclists in Toronto, Canada. Cyclists expressed many different types of fear; their fears were dynamic and possessed social, temporal, and spatial qualities. The two most frequent fears participants described were fear of injury and fear for personal safety. Fear of injury varied across the city and by time of day. It was also shaped by past cycling experiences, while appearing to attenuate with the accumulation of cycling skills. Fear of injury can also be social; and the primary focus herein is on how it can be gendered. For instance, gendered access to opportunities to cycle throughout the life course can shape cycling fear(s). Fear for personal safety was primarily expressed by women, was often shaped by past experiences of street harassment, and changed throughout the day, across the city, and was understood in relation to other places. Participants also described fears related to bicycle theft, getting lost, encountering mechanical problems, and getting in trouble with law enforcement.&quot;,&quot;publisher&quot;:&quot;Elsevier Ltd&quot;,&quot;volume&quot;:&quot;87&quot;},&quot;isTemporary&quot;:false}]},{&quot;citationID&quot;:&quot;MENDELEY_CITATION_67980896-9277-47ca-81f8-ab155801937a&quot;,&quot;properties&quot;:{&quot;noteIndex&quot;:0},&quot;isEdited&quot;:false,&quot;manualOverride&quot;:{&quot;isManuallyOverridden&quot;:true,&quot;citeprocText&quot;:&quot;(Graystone et al., 2022; Stark &amp;#38; Meschik, 2018)&quot;,&quot;manualOverrideText&quot;:&quot;(Stark and Meschik, 2018; Graystone et al., 2022)&quot;},&quot;citationTag&quot;:&quot;MENDELEY_CITATION_v3_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&quot;,&quot;citationItems&quot;:[{&quot;id&quot;:&quot;0aa31b2e-e7f5-3290-8214-9de0a6be3962&quot;,&quot;itemData&quot;:{&quot;type&quot;:&quot;article-journal&quot;,&quot;id&quot;:&quot;0aa31b2e-e7f5-3290-8214-9de0a6be3962&quot;,&quot;title&quot;:&quot;Women's everyday mobility: Frightening situations and their impacts on travel behaviour&quot;,&quot;author&quot;:[{&quot;family&quot;:&quot;Stark&quot;,&quot;given&quot;:&quot;Juliane&quot;,&quot;parse-names&quot;:false,&quot;dropping-particle&quot;:&quot;&quot;,&quot;non-dropping-particle&quot;:&quot;&quot;},{&quot;family&quot;:&quot;Meschik&quot;,&quot;given&quot;:&quot;Michael&quot;,&quot;parse-names&quot;:false,&quot;dropping-particle&quot;:&quot;&quot;,&quot;non-dropping-particle&quot;:&quot;&quot;}],&quot;container-title&quot;:&quot;Transportation Research Part F: Traffic Psychology and Behaviour&quot;,&quot;container-title-short&quot;:&quot;Transp. Res. Part F Traffic Psychol. Behav.&quot;,&quot;DOI&quot;:&quot;10.1016/j.trf.2018.02.017&quot;,&quot;ISSN&quot;:&quot;13698478&quot;,&quot;issued&quot;:{&quot;date-parts&quot;:[[2018,4,1]]},&quot;page&quot;:&quot;311-323&quot;,&quot;abstract&quot;:&quot;This paper investigates frightening situations women face in their everyday mobility. The focus is not on serious criminal offences but rather on all situations causing fear such as harassment and the influence on the travel behaviour of women. Two surveys were conducted in Austria in 2012 and 2013 to assess whether and how many women are affected and to get insights in locations of the incidents and the circumstances. The personal security aspects of different modes of transport are investigated. The results show that women who experienced frightening situations tend to avoid certain destinations or routes and travel modes more than other women. The results also confirm that women in general have constrained travel behaviour because of fear about their personal security. When it is impossible to change route or travel time e.g. due to personal restraints, or when simply no other transport mode is available, women are captives to use unwanted transport options, even when they have to reckon with frightening situations. The conclusions summarize that women's personal security plays an important role in terms of travel behaviour and increased attention should be paid by authorities as well as city- and transport planners striving for sustainable built environments. As the share of affected women is high and it can be assumed that women are more often imperilled than men the questions arises, if this can be assimilated to unequal mobility opportunities, finally resulting in a social deficiency for women.&quot;,&quot;publisher&quot;:&quot;Elsevier Ltd&quot;,&quot;volume&quot;:&quot;54&quot;},&quot;isTemporary&quot;:false},{&quot;id&quot;:&quot;d0c2e36c-e2d6-37f5-808c-05e907c70c7a&quot;,&quot;itemData&quot;:{&quot;type&quot;:&quot;article-journal&quot;,&quot;id&quot;:&quot;d0c2e36c-e2d6-37f5-808c-05e907c70c7a&quot;,&quot;title&quot;:&quot;Gendered perceptions of cycling safety and on-street bicycle infrastructure: Bridging the gap&quot;,&quot;author&quot;:[{&quot;family&quot;:&quot;Graystone&quot;,&quot;given&quot;:&quot;Matthew&quot;,&quot;parse-names&quot;:false,&quot;dropping-particle&quot;:&quot;&quot;,&quot;non-dropping-particle&quot;:&quot;&quot;},{&quot;family&quot;:&quot;Mitra&quot;,&quot;given&quot;:&quot;Raktim&quot;,&quot;parse-names&quot;:false,&quot;dropping-particle&quot;:&quot;&quot;,&quot;non-dropping-particle&quot;:&quot;&quot;},{&quot;family&quot;:&quot;Hess&quot;,&quot;given&quot;:&quot;Paul M.&quot;,&quot;parse-names&quot;:false,&quot;dropping-particle&quot;:&quot;&quot;,&quot;non-dropping-particle&quot;:&quot;&quot;}],&quot;container-title&quot;:&quot;Transportation Research Part D: Transport and Environment&quot;,&quot;accessed&quot;:{&quot;date-parts&quot;:[[2026,6,21]]},&quot;DOI&quot;:&quot;10.1016/j.trd.2022.103237&quot;,&quot;ISSN&quot;:&quot;1361-9209&quot;,&quot;URL&quot;:&quot;https://www.sciencedirect.com/science/article/pii/S1361920922000670?casa_token=Ei9ZZrpe2xoAAAAA:xU2PH7QDO8_XaDHuvx1AJFiM8sypEqnb7ZHfIAccpgje-NmLVxUWMmCWFjzbWlrvEtDzFR0GYQ&quot;,&quot;issued&quot;:{&quot;date-parts&quot;:[[2022,4,1]]},&quot;page&quot;:&quot;103237&quot;,&quot;abstract&quot;:&quot;Unsafe cycling environments are often hypothesized as a key factor behind a gender gap in bicycling. We examine gendered safety perceptions using data from street intercept surveys across 10 urban and suburban study areas in the Toronto region, Canada, five with on-street bicycle infrastructure, and five without. Results reinforce that cyclists who identify as women are more concerned about safety overall compared to those who identify as men. However, we found no gendered difference in fear of collision and injury. Instead, women reported more concerns related to verbal abuse/bullying, and with how drivers interact with cyclists. Significant gendered difference in the likelihood of having higher concerns of being bullied or verbally abused existed regardless of the presence of bicycle infrastructure. Drawing on feminist theories of performativity and embodiment, we conclude that safety perceptions are likely a product of social norms, expectations, and traditions related to a cyclists’ gender expression.&quot;,&quot;publisher&quot;:&quot;Pergamon&quot;,&quot;volume&quot;:&quot;105&quot;,&quot;container-title-short&quot;:&quot;Transp. Res. D Transp. Environ.&quot;},&quot;isTemporary&quot;:false}]},{&quot;citationID&quot;:&quot;MENDELEY_CITATION_fef9e273-8a31-4b64-8427-f50d3257e721&quot;,&quot;properties&quot;:{&quot;noteIndex&quot;:0},&quot;isEdited&quot;:false,&quot;manualOverride&quot;:{&quot;isManuallyOverridden&quot;:true,&quot;citeprocText&quot;:&quot;(Belloc et al., 2025; Heinen et al., 2010)&quot;,&quot;manualOverrideText&quot;:&quot;(Heinen et al., 2010; Belloc et al., 2025)&quot;},&quot;citationTag&quot;:&quot;MENDELEY_CITATION_v3_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&quot;,&quot;citationItems&quot;:[{&quot;id&quot;:&quot;99af49df-ff8a-328e-8be5-a8c6c50a957c&quot;,&quot;itemData&quot;:{&quot;type&quot;:&quot;article-journal&quot;,&quot;id&quot;:&quot;99af49df-ff8a-328e-8be5-a8c6c50a957c&quot;,&quot;title&quot;:&quot;Weather Conditions and Daily Commuting&quot;,&quot;author&quot;:[{&quot;family&quot;:&quot;Belloc&quot;,&quot;given&quot;:&quot;Ignacio&quot;,&quot;parse-names&quot;:false,&quot;dropping-particle&quot;:&quot;&quot;,&quot;non-dropping-particle&quot;:&quot;&quot;},{&quot;family&quot;:&quot;Gimenez-Nadal&quot;,&quot;given&quot;:&quot;José Ignacio&quot;,&quot;parse-names&quot;:false,&quot;dropping-particle&quot;:&quot;&quot;,&quot;non-dropping-particle&quot;:&quot;&quot;},{&quot;family&quot;:&quot;Molina&quot;,&quot;given&quot;:&quot;José Alberto&quot;,&quot;parse-names&quot;:false,&quot;dropping-particle&quot;:&quot;&quot;,&quot;non-dropping-particle&quot;:&quot;&quot;}],&quot;container-title&quot;:&quot;Journal of Regional Science&quot;,&quot;container-title-short&quot;:&quot;J. Reg. Sci.&quot;,&quot;accessed&quot;:{&quot;date-parts&quot;:[[2026,6,21]]},&quot;DOI&quot;:&quot;10.1111/jors.12764&quot;,&quot;ISSN&quot;:&quot;14679787&quot;,&quot;URL&quot;:&quot;/doi/pdf/10.1111/jors.12764&quot;,&quot;issued&quot;:{&quot;date-parts&quot;:[[2025,6,1]]},&quot;page&quot;:&quot;818-842&quot;,&quot;abstract&quot;:&quot;Climate change and global warming are severe threats that currently affect the daily lives of the world population. One of the human behaviors that can be most affected by weather conditions is that of personal travel, including commuting, an activity that millions of workers worldwide engage in daily. Within this framework, we analyze the relationships between weather conditions and daily commuting in the US. To that end, we use twenty nationally representative American Time Use Surveys, combined with daily weather data at the county level, spanning the period from 2003 to 2023. The analysis reveals significant relationships between daily weather conditions and commuting mode choices. Specifically, rainy days, high temperatures, and elevated snowfall are positively associated with an increased probability of using cars as the primary commuting mode. In contrast, these weather conditions exhibit a negative relationship with alternative modes of transport, such as public transit or walking. Further findings suggest that these estimates are predominantly driven by days characterized by extremely high temperatures, heavy precipitation, and light snowfall. Finally, our results suggest adaptation to higher temperatures in warmer regions. These results are important for the design of policies aimed at mitigating the mobility consequences of climate change.&quot;,&quot;publisher&quot;:&quot;John Wiley and Sons Inc&quot;,&quot;issue&quot;:&quot;3&quot;,&quot;volume&quot;:&quot;65&quot;},&quot;isTemporary&quot;:false},{&quot;id&quot;:&quot;076b83c9-641e-32c4-abc5-3e51d0a29e80&quot;,&quot;itemData&quot;:{&quot;type&quot;:&quot;article-journal&quot;,&quot;id&quot;:&quot;076b83c9-641e-32c4-abc5-3e51d0a29e80&quot;,&quot;title&quot;:&quot;Commuting by Bicycle: An Overview of the Literature&quot;,&quot;author&quot;:[{&quot;family&quot;:&quot;Heinen&quot;,&quot;given&quot;:&quot;Eva&quot;,&quot;parse-names&quot;:false,&quot;dropping-particle&quot;:&quot;&quot;,&quot;non-dropping-particle&quot;:&quot;&quot;},{&quot;family&quot;:&quot;Wee&quot;,&quot;given&quot;:&quot;Bert&quot;,&quot;parse-names&quot;:false,&quot;dropping-particle&quot;:&quot;&quot;,&quot;non-dropping-particle&quot;:&quot;van&quot;},{&quot;family&quot;:&quot;Maat&quot;,&quot;given&quot;:&quot;Kees&quot;,&quot;parse-names&quot;:false,&quot;dropping-particle&quot;:&quot;&quot;,&quot;non-dropping-particle&quot;:&quot;&quot;}],&quot;container-title&quot;:&quot;Transport Reviews&quot;,&quot;container-title-short&quot;:&quot;Transp. Rev.&quot;,&quot;accessed&quot;:{&quot;date-parts&quot;:[[2026,4,22]]},&quot;DOI&quot;:&quot;10.1080/01441640903187001&quot;,&quot;ISSN&quot;:&quot;01441647&quot;,&quot;URL&quot;:&quot;https://scholar.google.com/scholar_url?url=https://www.tandfonline.com/doi/pdf/10.1080/01441640903187001%3Fcasa_token%3Ds5Vke43CByAAAAAA:8Zzmfne7Z1RsAGIFIhUL-KjXHrxZpnYtkpuJeNIxwvKXkzT07CL5EDytAde-zKXPYfuWg4Ef3JTf&amp;hl=en&amp;sa=T&amp;oi=ucasa&amp;ct=ucasa&amp;ei=Q8Ppab32AdXXieoPjom1oQ0&amp;scisig=ADi0EEWnyboaMhXR9v1v5HYNbPCp&quot;,&quot;issued&quot;:{&quot;date-parts&quot;:[[2010,1]]},&quot;page&quot;:&quot;59-96&quot;,&quot;abstract&quot;:&quot;For society and for the individual, cycling presents a number of interesting advantages over other modes of transport. Individuals benefit from the fact that cycling is a healthy and cheap form of ...&quot;,&quot;publisher&quot;:&quot;Routledge&quot;,&quot;issue&quot;:&quot;1&quot;,&quot;volume&quot;:&quot;30&quot;},&quot;isTemporary&quot;:false}]},{&quot;citationID&quot;:&quot;MENDELEY_CITATION_61dcde07-f927-4ab3-b671-c7f6e85956a9&quot;,&quot;properties&quot;:{&quot;noteIndex&quot;:0},&quot;isEdited&quot;:false,&quot;manualOverride&quot;:{&quot;isManuallyOverridden&quot;:true,&quot;citeprocText&quot;:&quot;(Böcker &amp;#38; Thorsson, 2014; Nosal &amp;#38; Miranda-Moreno, 2014)&quot;,&quot;manualOverrideText&quot;:&quot;(Nosal and Miranda-Moreno, 2014; Böcker and Thorsson, 2014)&quot;},&quot;citationTag&quot;:&quot;MENDELEY_CITATION_v3_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&quot;,&quot;citationItems&quot;:[{&quot;id&quot;:&quot;1fe3613f-01ae-3ba0-9ad3-d344db03117b&quot;,&quot;itemData&quot;:{&quot;type&quot;:&quot;article-journal&quot;,&quot;id&quot;:&quot;1fe3613f-01ae-3ba0-9ad3-d344db03117b&quot;,&quot;title&quot;:&quot;Integrated weather effects on cycling shares, frequencies, and durations in Rotterdam, the Netherlands&quot;,&quot;author&quot;:[{&quot;family&quot;:&quot;Böcker&quot;,&quot;given&quot;:&quot;Lars&quot;,&quot;parse-names&quot;:false,&quot;dropping-particle&quot;:&quot;&quot;,&quot;non-dropping-particle&quot;:&quot;&quot;},{&quot;family&quot;:&quot;Thorsson&quot;,&quot;given&quot;:&quot;Sofia&quot;,&quot;parse-names&quot;:false,&quot;dropping-particle&quot;:&quot;&quot;,&quot;non-dropping-particle&quot;:&quot;&quot;}],&quot;container-title&quot;:&quot;Weather, Climate, and Society&quot;,&quot;DOI&quot;:&quot;10.1175/WCAS-D-13-00066.1&quot;,&quot;ISSN&quot;:&quot;19488335&quot;,&quot;issued&quot;:{&quot;date-parts&quot;:[[2014,10,1]]},&quot;page&quot;:&quot;468-481&quot;,&quot;abstract&quot;:&quot;With the increasing societal interest in climate change, health, accessibility, and liveability and subsequent policy aims to promote active transport modes over car usage, many scholars have investigated the relationship between weather and cycling. Existing studies, however, hardly address the effects of weather on cycling durations and often lack assessments of the combined effects of different meteorological variables and potential nonlinearity of these effects. Drawing on travel diary data from a panel study of 945 Greater Rotterdam respondents (the Netherlands), this paper investigates and compares the effects of different meteorological variables, singly aswell as combined, on cycling frequencies, cycling durations, and the exchange between cycling and other transport modes. Results show linear negative effects of precipitation sum and wind speed and nonlinear bell-shaped effects of thermal variables on cycling and opposite effects on car usage. Out of three thermal variables investigated,mean radiant temperature (radiant heat exchange between humans and the environment) and physiological equivalent temperature (an index combining the effects of air temperature, mean radiant temperature, air humidity, and wind speed) better explain cycling behavior than just air temperature. Optimum thermal conditions for cycling were found on days with maximum air temperatures around 24°C, mean radiant temperatures around 52°C, and physiological equivalent temperatures around 30°C. Policy and planning implications are highlighted that could reduce cyclists' exposures to disadvantageous weather conditions such as heat, precipitation, and wind, at present and in a potentially changing climate.&quot;,&quot;publisher&quot;:&quot;American Meteorological Society&quot;,&quot;issue&quot;:&quot;4&quot;,&quot;volume&quot;:&quot;6&quot;,&quot;container-title-short&quot;:&quot;&quot;},&quot;isTemporary&quot;:false},{&quot;id&quot;:&quot;275d5188-589c-3521-a90c-22dec86e7434&quot;,&quot;itemData&quot;:{&quot;type&quot;:&quot;article-journal&quot;,&quot;id&quot;:&quot;275d5188-589c-3521-a90c-22dec86e7434&quot;,&quot;title&quot;:&quot;The effect of weather on the use of North American bicycle facilities: A multi-city analysis using automatic counts&quot;,&quot;author&quot;:[{&quot;family&quot;:&quot;Nosal&quot;,&quot;given&quot;:&quot;Thomas&quot;,&quot;parse-names&quot;:false,&quot;dropping-particle&quot;:&quot;&quot;,&quot;non-dropping-particle&quot;:&quot;&quot;},{&quot;family&quot;:&quot;Miranda-Moreno&quot;,&quot;given&quot;:&quot;Luis F.&quot;,&quot;parse-names&quot;:false,&quot;dropping-particle&quot;:&quot;&quot;,&quot;non-dropping-particle&quot;:&quot;&quot;}],&quot;container-title&quot;:&quot;Transportation Research Part A: Policy and Practice&quot;,&quot;container-title-short&quot;:&quot;Transp. Res. Part A Policy Pract.&quot;,&quot;DOI&quot;:&quot;10.1016/j.tra.2014.04.012&quot;,&quot;ISSN&quot;:&quot;09658564&quot;,&quot;issued&quot;:{&quot;date-parts&quot;:[[2014,8]]},&quot;page&quot;:&quot;213-225&quot;,&quot;abstract&quot;:&quot;This study investigates the impact of weather on the use of urban bicycle facilities in Montreal, Ottawa, Vancouver and Portland, as well as on the Green Route in Quebec. This research makes use of long-term hourly and daily counts collected automatically using inductive loop detectors. The count data locations are organized into two groups - utilitarian and recreational. Using regression models with autoregressive and moving average (ARMA) errors, the direct impact and lagged effects of weather variables on hourly and daily bicycle counts are investigated. Among the main findings, temperature and humidity are positively and negatively associated with cycling, respectively, with a non-linear association in most cases. Precipitation has a significant negative impact on cycling flows, and its effect was observed to increase with rain intensity. Lagged effects of rain were also observed, such as the effect of rain in the previous three hours, rain in the morning only, and rain in the afternoon only. Furthermore, urban bicycle flows are more sensitive to weather on weekends than on weekdays, and recreational facilities are more sensitive than utilitarian facilities. © 2014 Elsevier Ltd.&quot;,&quot;publisher&quot;:&quot;Elsevier Ltd&quot;,&quot;issue&quot;:&quot;1&quot;,&quot;volume&quot;:&quot;66&quot;},&quot;isTemporary&quot;:false}]},{&quot;citationID&quot;:&quot;MENDELEY_CITATION_4238db92-d736-4a4f-8387-87e3e4ce08f1&quot;,&quot;properties&quot;:{&quot;noteIndex&quot;:0},&quot;isEdited&quot;:false,&quot;manualOverride&quot;:{&quot;isManuallyOverridden&quot;:true,&quot;citeprocText&quot;:&quot;(Habib et al., 2021; McGuckin et al., 2005; McGuckin &amp;#38; Murakami, 1999)&quot;,&quot;manualOverrideText&quot;:&quot;(McGuckin and Murakami, 1999; McGuckin et al., 2005; Habib et al., 2021)&quot;},&quot;citationTag&quot;:&quot;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&quot;,&quot;citationItems&quot;:[{&quot;id&quot;:&quot;8c04c5a4-608e-316d-8b41-692fb3eb2d59&quot;,&quot;itemData&quot;:{&quot;type&quot;:&quot;article-journal&quot;,&quot;id&quot;:&quot;8c04c5a4-608e-316d-8b41-692fb3eb2d59&quot;,&quot;title&quot;:&quot;Exploring travel behavior of households with pre-school aged children&quot;,&quot;author&quot;:[{&quot;family&quot;:&quot;Habib&quot;,&quot;given&quot;:&quot;Muhammad Ahsanul&quot;,&quot;parse-names&quot;:false,&quot;dropping-particle&quot;:&quot;&quot;,&quot;non-dropping-particle&quot;:&quot;&quot;},{&quot;family&quot;:&quot;Anik&quot;,&quot;given&quot;:&quot;Md Asif Hasan&quot;,&quot;parse-names&quot;:false,&quot;dropping-particle&quot;:&quot;&quot;,&quot;non-dropping-particle&quot;:&quot;&quot;},{&quot;family&quot;:&quot;Robertson&quot;,&quot;given&quot;:&quot;Caroline&quot;,&quot;parse-names&quot;:false,&quot;dropping-particle&quot;:&quot;&quot;,&quot;non-dropping-particle&quot;:&quot;&quot;}],&quot;container-title&quot;:&quot;Transportation Research Record&quot;,&quot;container-title-short&quot;:&quot;Transp. Res. Rec.&quot;,&quot;DOI&quot;:&quot;10.1177/0361198120988006&quot;,&quot;ISSN&quot;:&quot;21694052&quot;,&quot;issued&quot;:{&quot;date-parts&quot;:[[2021]]},&quot;page&quot;:&quot;314-328&quot;,&quot;abstract&quot;:&quot;Child-care centers are major trip generators for households with pre-school aged children (\\ 5 years). This paper presents a framework to analyze the factors affecting daily travel choices and challenges of child-care going households. Through rigorous literature review, this study first identifies important variables affecting mode choice, child-care center choice, transit use, and intention to drive. Next, it develops and distributes an online survey questionnaire to the registered child-care centers in Halifax Regional Municipality, Canada, to get data on individual households’ travel choices, challenges, factors affecting those choices, and importance level of those factors, as well as socio-demographic information. The study collects data from over 200 households, which is then analyzed using structural equation modeling to examine the effects of the identified factors such as safety, cost, distance, location, affordability, and convenience on day-to-day child-care trip decisions. The findings suggest that most of the families (73%) rely on private vehicles to make child-care trips as a result of family time, travel freedom, and parking availability. Other variables that motivate them to drive are travel safety, convenience, and opportunity to do trip chaining. Results show that 57% of the households group their child-care trip with a work trip. Distance to nearest bus stop, carrying child belongings, and length of trip to child-care are considered major barriers for transit use. The results of this study are expected to assist policy makers to understand travel patterns and barriers of households with pre-school aged children and help in designing communities to promote sustainable travel behavior.&quot;,&quot;publisher&quot;:&quot;SAGE Publications Ltd&quot;,&quot;issue&quot;:&quot;5&quot;,&quot;volume&quot;:&quot;2675&quot;},&quot;isTemporary&quot;:false},{&quot;id&quot;:&quot;c2a6f35b-73a9-3b7f-b7cc-ac69674c3e70&quot;,&quot;itemData&quot;:{&quot;type&quot;:&quot;article-journal&quot;,&quot;id&quot;:&quot;c2a6f35b-73a9-3b7f-b7cc-ac69674c3e70&quot;,&quot;title&quot;:&quot;Trip-Chaining Trends in the United States: Understanding Travel Behavior for Policy Making&quot;,&quot;author&quot;:[{&quot;family&quot;:&quot;McGuckin&quot;,&quot;given&quot;:&quot;Nancy&quot;,&quot;parse-names&quot;:false,&quot;dropping-particle&quot;:&quot;&quot;,&quot;non-dropping-particle&quot;:&quot;&quot;},{&quot;family&quot;:&quot;Zmud&quot;,&quot;given&quot;:&quot;Johanna&quot;,&quot;parse-names&quot;:false,&quot;dropping-particle&quot;:&quot;&quot;,&quot;non-dropping-particle&quot;:&quot;&quot;},{&quot;family&quot;:&quot;Nakamoto&quot;,&quot;given&quot;:&quot;Yukiko&quot;,&quot;parse-names&quot;:false,&quot;dropping-particle&quot;:&quot;&quot;,&quot;non-dropping-particle&quot;:&quot;&quot;}],&quot;container-title&quot;:&quot;Transportation Research Record&quot;,&quot;container-title-short&quot;:&quot;Transp. Res. Rec.&quot;,&quot;accessed&quot;:{&quot;date-parts&quot;:[[2026,5,19]]},&quot;DOI&quot;:&quot;10.1177/0361198105191700122&quot;,&quot;ISSN&quot;:&quot;0361-1981&quot;,&quot;URL&quot;:&quot;/doi/pdf/10.1177/0361198105191700122?download=true&quot;,&quot;issued&quot;:{&quot;date-parts&quot;:[[2005,1]]},&quot;page&quot;:&quot;199-204&quot;,&quot;abstract&quot;:&quot;This paper uses data from the 1995 Nationwide Personal Transportation Survey and the 2001 National Household Travel Survey to examine trip-chaining trends in the United States. The research focuses...&quot;,&quot;publisher&quot;:&quot;SAGE PublicationsSage CA: Los Angeles, CA&quot;,&quot;issue&quot;:&quot;1&quot;,&quot;volume&quot;:&quot;1917&quot;},&quot;isTemporary&quot;:false},{&quot;id&quot;:&quot;a84532be-c916-3a81-b741-36e317251c3c&quot;,&quot;itemData&quot;:{&quot;type&quot;:&quot;article-journal&quot;,&quot;id&quot;:&quot;a84532be-c916-3a81-b741-36e317251c3c&quot;,&quot;title&quot;:&quot;Examining trip-chaining behavior: Comparison of travel by men and women&quot;,&quot;author&quot;:[{&quot;family&quot;:&quot;McGuckin&quot;,&quot;given&quot;:&quot;Nancy&quot;,&quot;parse-names&quot;:false,&quot;dropping-particle&quot;:&quot;&quot;,&quot;non-dropping-particle&quot;:&quot;&quot;},{&quot;family&quot;:&quot;Murakami&quot;,&quot;given&quot;:&quot;Elaine&quot;,&quot;parse-names&quot;:false,&quot;dropping-particle&quot;:&quot;&quot;,&quot;non-dropping-particle&quot;:&quot;&quot;}],&quot;container-title&quot;:&quot;Transportation Research Record&quot;,&quot;container-title-short&quot;:&quot;Transp. Res. Rec.&quot;,&quot;accessed&quot;:{&quot;date-parts&quot;:[[2026,5,19]]},&quot;DOI&quot;:&quot;10.3141/1693-12&quot;,&quot;ISSN&quot;:&quot;03611981&quot;,&quot;URL&quot;:&quot;/doi/pdf/10.3141/1693-12?download=true&quot;,&quot;issued&quot;:{&quot;date-parts&quot;:[[1999]]},&quot;page&quot;:&quot;79-85&quot;,&quot;abstract&quot;:&quot;Gender and household life cycle together affect daily travel behavior. Although this makes intuitive sense, transportation planners and policy makers have done little to understand what effect and impact these factors have on daily transportation choices. The 1995 Nationwide Personal Transportation Survey was used to examine trip-chaining behavior of adult men and women traveling Monday through Friday. The data show that women continue to make more trips to perform household-sustaining activities such as shopping and family errands to a greater extent than men. Women, especially with children in the household, are more likely to chain these household-sustaining trips to the trip to and from work. Women's participation in the labor force is at an all-time high, but women's patterns in travel to work are different from men's patterns, and they vary with family and life-cycle status. The type and location of jobs that women take are likely affected by their greater household and family responsibilities. The biggest question for the future is whether and how the changes in women's status in the workplace, and perhaps the concomitant change in the household dynamics and responsibilities, will affect travel behavior of both men and women. These changes will deeply affect the development of programs related to transit, land-use planning, work schedules, telecommuting, and other programs related to automobile use.&quot;,&quot;publisher&quot;:&quot;National Research Council&quot;,&quot;issue&quot;:&quot;1693&quot;},&quot;isTemporary&quot;:false}]},{&quot;citationID&quot;:&quot;MENDELEY_CITATION_07a897b9-9616-432c-bb1e-dec74af56da8&quot;,&quot;properties&quot;:{&quot;noteIndex&quot;:0},&quot;isEdited&quot;:false,&quot;manualOverride&quot;:{&quot;isManuallyOverridden&quot;:true,&quot;citeprocText&quot;:&quot;(Buehler, 2011; Buehler &amp;#38; Pucher, 2024)&quot;,&quot;manualOverrideText&quot;:&quot;(Buehler, 2011; Buehler and Pucher, 2024)&quot;},&quot;citationTag&quot;:&quot;MENDELEY_CITATION_v3_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&quot;,&quot;citationItems&quot;:[{&quot;id&quot;:&quot;88175314-2399-3a2a-a266-138127ba07bd&quot;,&quot;itemData&quot;:{&quot;type&quot;:&quot;article-journal&quot;,&quot;id&quot;:&quot;88175314-2399-3a2a-a266-138127ba07bd&quot;,&quot;title&quot;:&quot;Determinants of transport mode choice: a comparison of Germany and the USA&quot;,&quot;author&quot;:[{&quot;family&quot;:&quot;Buehler&quot;,&quot;given&quot;:&quot;Ralph&quot;,&quot;parse-names&quot;:false,&quot;dropping-particle&quot;:&quot;&quot;,&quot;non-dropping-particle&quot;:&quot;&quot;}],&quot;container-title&quot;:&quot;Journal of Transport Geography&quot;,&quot;container-title-short&quot;:&quot;J. Transp. Geogr.&quot;,&quot;DOI&quot;:&quot;10.1016/j.jtrangeo.2010.07.005&quot;,&quot;ISSN&quot;:&quot;09666923&quot;,&quot;issued&quot;:{&quot;date-parts&quot;:[[2011,7]]},&quot;page&quot;:&quot;644-657&quot;,&quot;abstract&quot;:&quot;Germany and the USA have among the highest motorization rates in the world. Yet Germans make a four times higher share of trips by foot, bike, and public transport and drive for a 25% lower share of trips as Americans. Using two comparable national travel surveys this paper empirically investigates determinants of transport mode choice in Germany and the USA. In both countries higher population density, a greater mix of land-uses, household proximity to public transport, and fewer cars per household are associated with a lower share of trips by automobile. However, considerable differences remain: all groups of society in America are more car-dependent than Germans. Even controlling for dissimilarities in socio-economic factors and land-use, Germans are more likely to walk, cycle, and use public transport. Moreover, Americans living in dense, mixed-use areas, and close to public transport are more likely to drive than Germans living in lower density areas, with more limited mix of land-uses, and farther from public transport. Differences in transport policy that make car travel slower, more expensive, less convenient, and alternatives to the automobile more attractive in Germany may help account for the remaining differences. © 2010 Elsevier Ltd.&quot;,&quot;issue&quot;:&quot;4&quot;,&quot;volume&quot;:&quot;19&quot;},&quot;isTemporary&quot;:false},{&quot;id&quot;:&quot;8ea6942d-d77b-3069-8b5a-ef9b4001ddda&quot;,&quot;itemData&quot;:{&quot;type&quot;:&quot;article-journal&quot;,&quot;id&quot;:&quot;8ea6942d-d77b-3069-8b5a-ef9b4001ddda&quot;,&quot;title&quot;:&quot;Socioeconomic variations in walking rates in the United States: Recent evidence from the 2022 National Household Travel Survey&quot;,&quot;author&quot;:[{&quot;family&quot;:&quot;Buehler&quot;,&quot;given&quot;:&quot;Ralph&quot;,&quot;parse-names&quot;:false,&quot;dropping-particle&quot;:&quot;&quot;,&quot;non-dropping-particle&quot;:&quot;&quot;},{&quot;family&quot;:&quot;Pucher&quot;,&quot;given&quot;:&quot;John&quot;,&quot;parse-names&quot;:false,&quot;dropping-particle&quot;:&quot;&quot;,&quot;non-dropping-particle&quot;:&quot;&quot;}],&quot;container-title&quot;:&quot;Journal of Transport &amp; Health&quot;,&quot;container-title-short&quot;:&quot;J. Transp. Health&quot;,&quot;accessed&quot;:{&quot;date-parts&quot;:[[2026,4,1]]},&quot;DOI&quot;:&quot;10.1016/J.JTH.2024.101875&quot;,&quot;ISSN&quot;:&quot;2214-1405&quot;,&quot;URL&quot;:&quot;https://www.sciencedirect.com/science/article/pii/S221414052400121X?via%3Dihub&quot;,&quot;issued&quot;:{&quot;date-parts&quot;:[[2024,9,1]]},&quot;page&quot;:&quot;101875&quot;,&quot;abstract&quot;:&quot;Introduction: We use the 2022 National Household Travel Survey for the USA—the first since the peaking of the COVID-19 pandemic—to examine variations in walking rates related to differences in socioeconomic characteristics. Our analysis provides the most recent national estimates of socioeconomic variation in walking, by far the most important form of daily physical activity in the USA. Methods: We used graphical bivariate analysis and multiple regressions to explore the relationship between each of the socioeconomic variables and the following daily walk rates: the number of walk trips, time walked, and distance walked. We also analyzed three binary variables indicating whether a person made at least one walk trip during the travel day, achieved the equivalent of 150 min of walking per week, and walked on five or more days during the previous 30 days. Results: Higher education levels, not owning a car, not having a driver's license, not working, working from home, and high density are strongly related to higher levels of walking. We found no significant differences or mixed results for gender, age, race, and income. Because the 2022 NHTS incorporated significant changes in methodology, sample size, survey questions, and variable definitions, its estimated trip rates cannot be compared directly to the 2017 NHTS—the last survey prior to COVID. Moreover, the 2022 NHTS greatly underestimated walk trips because—unlike previous NHTS surveys—it omitted the trip diary as well as multiple prompts to remember short trips, especially walk trips. Conclusions: The relationships we estimated between various walk rates and the nine socioeconomic variables for 2022 were generally consistent with the results of previous studies, including those examining the 2001, 2009, and 2017 NHTS. That suggests that these relationships have remained stable over time—even if absolute rates of walking have changed, as indicated by other studies.&quot;,&quot;publisher&quot;:&quot;Elsevier&quot;,&quot;volume&quot;:&quot;38&quot;},&quot;isTemporary&quot;:false}]},{&quot;citationID&quot;:&quot;MENDELEY_CITATION_15a0c252-1d47-4574-ad41-b898b8d7c2d2&quot;,&quot;properties&quot;:{&quot;noteIndex&quot;:0},&quot;isEdited&quot;:false,&quot;manualOverride&quot;:{&quot;isManuallyOverridden&quot;:false,&quot;citeprocText&quot;:&quot;(Pucher et al., 2011)&quot;,&quot;manualOverrideText&quot;:&quot;&quot;},&quot;citationTag&quot;:&quot;MENDELEY_CITATION_v3_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&quot;,&quot;citationItems&quot;:[{&quot;id&quot;:&quot;0d336365-9a0f-3b87-a4d8-8fec17913252&quot;,&quot;itemData&quot;:{&quot;type&quot;:&quot;article-journal&quot;,&quot;id&quot;:&quot;0d336365-9a0f-3b87-a4d8-8fec17913252&quot;,&quot;title&quot;:&quot;Walking and cycling in the United States, 2001-2009: Evidence from the National Household Travel Surveys&quot;,&quot;author&quot;:[{&quot;family&quot;:&quot;Pucher&quot;,&quot;given&quot;:&quot;John&quot;,&quot;parse-names&quot;:false,&quot;dropping-particle&quot;:&quot;&quot;,&quot;non-dropping-particle&quot;:&quot;&quot;},{&quot;family&quot;:&quot;Buehler&quot;,&quot;given&quot;:&quot;Ralph&quot;,&quot;parse-names&quot;:false,&quot;dropping-particle&quot;:&quot;&quot;,&quot;non-dropping-particle&quot;:&quot;&quot;},{&quot;family&quot;:&quot;Merom&quot;,&quot;given&quot;:&quot;Dafna&quot;,&quot;parse-names&quot;:false,&quot;dropping-particle&quot;:&quot;&quot;,&quot;non-dropping-particle&quot;:&quot;&quot;},{&quot;family&quot;:&quot;Bauman&quot;,&quot;given&quot;:&quot;Adrian&quot;,&quot;parse-names&quot;:false,&quot;dropping-particle&quot;:&quot;&quot;,&quot;non-dropping-particle&quot;:&quot;&quot;}],&quot;container-title&quot;:&quot;American Journal of Public Health&quot;,&quot;container-title-short&quot;:&quot;Am. J. Public Health&quot;,&quot;accessed&quot;:{&quot;date-parts&quot;:[[2026,4,22]]},&quot;DOI&quot;:&quot;10.2105/AJPH.2010.300067&quot;,&quot;ISSN&quot;:&quot;00900036&quot;,&quot;PMID&quot;:&quot;21551387&quot;,&quot;URL&quot;:&quot;/doi/pdf/10.2105/AJPH.2010.300067?download=true&quot;,&quot;issued&quot;:{&quot;date-parts&quot;:[[2011,12,1]]},&quot;abstract&quot;:&quot;Objectives: To assess changes in walking and cycling in the United States between 2001 and 2009. Methods: The 2001 and 2009 National Household Travel Surveys were used to compute the frequency, duration, and distance of walking and cycling per capita. The population-weighted person and trip files were merged to calculate the prevalence of any walking and cycling and of walking and cycling at least 30 minutes per day. Results: The average American made 17 more walk trips in 2009 than in 2001, covering 9 more miles per year, compared with only 2 more bike trips, and 5 more miles cycling. At the population level, the prevalence of \&quot;any walking\&quot; remained unchanged (about 18%), whereas walking at least 30 minutes per day increased from 7.2% to 8.0%. The prevalence of \&quot;any cycling\&quot; and cycling 30 minutes per day remained unchanged (1.7% and 0.9%, respectively). Active travel declined for women, children, and seniors, but increased among men, the middle aged, employed, well-educated, and persons without a car. Conclusions: Walking increased slightly, whereas cycling levels stagnated, and the overall prevalence of active travel remained low. Improved infrastructure for walking and cycling must be combined with programs to encourage active travel among more groups, especially children, seniors, and women.&quot;,&quot;publisher&quot;:&quot;American Public Health Association&quot;,&quot;issue&quot;:&quot;SUPPL. 1&quot;,&quot;volume&quot;:&quot;101&quot;},&quot;isTemporary&quot;:false,&quot;suppress-author&quot;:false,&quot;composite&quot;:false,&quot;author-only&quot;:false}]},{&quot;citationID&quot;:&quot;MENDELEY_CITATION_cc2e3251-560e-47bb-9d54-2baa0ad719bb&quot;,&quot;properties&quot;:{&quot;noteIndex&quot;:0},&quot;isEdited&quot;:false,&quot;manualOverride&quot;:{&quot;isManuallyOverridden&quot;:false,&quot;citeprocText&quot;:&quot;(Caspi et al., 2020)&quot;,&quot;manualOverrideText&quot;:&quot;&quot;},&quot;citationTag&quot;:&quot;MENDELEY_CITATION_v3_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&quot;,&quot;citationItems&quot;:[{&quot;id&quot;:&quot;2914ba02-4f13-3be1-b2c4-5e9222cc3f16&quot;,&quot;itemData&quot;:{&quot;type&quot;:&quot;article-journal&quot;,&quot;id&quot;:&quot;2914ba02-4f13-3be1-b2c4-5e9222cc3f16&quot;,&quot;title&quot;:&quot;Spatial associations of dockless shared e-scooter usage&quot;,&quot;author&quot;:[{&quot;family&quot;:&quot;Caspi&quot;,&quot;given&quot;:&quot;Or&quot;,&quot;parse-names&quot;:false,&quot;dropping-particle&quot;:&quot;&quot;,&quot;non-dropping-particle&quot;:&quot;&quot;},{&quot;family&quot;:&quot;Smart&quot;,&quot;given&quot;:&quot;Michael J.&quot;,&quot;parse-names&quot;:false,&quot;dropping-particle&quot;:&quot;&quot;,&quot;non-dropping-particle&quot;:&quot;&quot;},{&quot;family&quot;:&quot;Noland&quot;,&quot;given&quot;:&quot;Robert B.&quot;,&quot;parse-names&quot;:false,&quot;dropping-particle&quot;:&quot;&quot;,&quot;non-dropping-particle&quot;:&quot;&quot;}],&quot;container-title&quot;:&quot;Transportation Research Part D: Transport and Environment&quot;,&quot;container-title-short&quot;:&quot;Transp. Res. D Transp. Environ.&quot;,&quot;DOI&quot;:&quot;10.1016/j.trd.2020.102396&quot;,&quot;ISSN&quot;:&quot;13619209&quot;,&quot;issued&quot;:{&quot;date-parts&quot;:[[2020,9,1]]},&quot;abstract&quot;:&quot;In this study, we explore the usage of e-scooter sharing services in Austin, Texas over about a six-month period. The study is based on trip records of all the shared e-scooter operators in Austin and includes trip start and end locations. We use both analysis of trip patterns and spatial regression techniques to examine how the built environment, land use, and demographics affect e-scooter trip generation. Our findings show that people use e-scooters almost exclusively in central Austin. Commuting does not seem to be the main trip purpose, and usage of e-scooters is associated with areas with high employment rates, and in areas with bicycle infrastructure. People use e-scooter sharing regardless of the affluence of the neighborhood, although less affluent areas with high usage rates have large student populations, suggesting that students use this mode of travel. Implications for planners suggest that better bicycle infrastructure will facilitate e-scooter usage, college towns are a ready market for e-scooter sharing services, and e-scooters may be a substitute for some short non-work trips, reducing car usage, and benefiting the environment.&quot;,&quot;publisher&quot;:&quot;Elsevier Ltd&quot;,&quot;volume&quot;:&quot;86&quot;},&quot;isTemporary&quot;:false,&quot;suppress-author&quot;:false,&quot;composite&quot;:false,&quot;author-only&quot;:false}]},{&quot;citationID&quot;:&quot;MENDELEY_CITATION_cfe13999-9022-40b3-bfbd-9bb4a600dac0&quot;,&quot;properties&quot;:{&quot;noteIndex&quot;:0},&quot;isEdited&quot;:false,&quot;manualOverride&quot;:{&quot;isManuallyOverridden&quot;:true,&quot;citeprocText&quot;:&quot;(Fang et al., 2022; Kärmeniemi et al., 2019)&quot;,&quot;manualOverrideText&quot;:&quot;(Kärmeniemi et al., 2019; Fang et al., 2022)&quot;},&quot;citationTag&quot;:&quot;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&quot;,&quot;citationItems&quot;:[{&quot;id&quot;:&quot;fb54f1ed-0ab0-3a24-9c83-b7c7366b87f1&quot;,&quot;itemData&quot;:{&quot;type&quot;:&quot;article-journal&quot;,&quot;id&quot;:&quot;fb54f1ed-0ab0-3a24-9c83-b7c7366b87f1&quot;,&quot;title&quot;:&quot;Residential relocation trajectories and neighborhood density, mixed land use and access networks as predictors of walking and bicycling in the Northern Finland Birth Cohort 1966&quot;,&quot;author&quot;:[{&quot;family&quot;:&quot;Kärmeniemi&quot;,&quot;given&quot;:&quot;Mikko&quot;,&quot;parse-names&quot;:false,&quot;dropping-particle&quot;:&quot;&quot;,&quot;non-dropping-particle&quot;:&quot;&quot;},{&quot;family&quot;:&quot;Lankila&quot;,&quot;given&quot;:&quot;Tiina&quot;,&quot;parse-names&quot;:false,&quot;dropping-particle&quot;:&quot;&quot;,&quot;non-dropping-particle&quot;:&quot;&quot;},{&quot;family&quot;:&quot;Ikäheimo&quot;,&quot;given&quot;:&quot;Tiina&quot;,&quot;parse-names&quot;:false,&quot;dropping-particle&quot;:&quot;&quot;,&quot;non-dropping-particle&quot;:&quot;&quot;},{&quot;family&quot;:&quot;Puhakka&quot;,&quot;given&quot;:&quot;Soile&quot;,&quot;parse-names&quot;:false,&quot;dropping-particle&quot;:&quot;&quot;,&quot;non-dropping-particle&quot;:&quot;&quot;},{&quot;family&quot;:&quot;Niemelä&quot;,&quot;given&quot;:&quot;Maisa&quot;,&quot;parse-names&quot;:false,&quot;dropping-particle&quot;:&quot;&quot;,&quot;non-dropping-particle&quot;:&quot;&quot;},{&quot;family&quot;:&quot;Jämsä&quot;,&quot;given&quot;:&quot;Timo&quot;,&quot;parse-names&quot;:false,&quot;dropping-particle&quot;:&quot;&quot;,&quot;non-dropping-particle&quot;:&quot;&quot;},{&quot;family&quot;:&quot;Koivumaa-Honkanen&quot;,&quot;given&quot;:&quot;Heli&quot;,&quot;parse-names&quot;:false,&quot;dropping-particle&quot;:&quot;&quot;,&quot;non-dropping-particle&quot;:&quot;&quot;},{&quot;family&quot;:&quot;Korpelainen&quot;,&quot;given&quot;:&quot;Raija&quot;,&quot;parse-names&quot;:false,&quot;dropping-particle&quot;:&quot;&quot;,&quot;non-dropping-particle&quot;:&quot;&quot;}],&quot;container-title&quot;:&quot;International Journal of Behavioral Nutrition and Physical Activity 2019 16:1&quot;,&quot;accessed&quot;:{&quot;date-parts&quot;:[[2026,6,21]]},&quot;DOI&quot;:&quot;10.1186/S12966-019-0856-8&quot;,&quot;ISSN&quot;:&quot;1479-5868&quot;,&quot;PMID&quot;:&quot;31639003&quot;,&quot;URL&quot;:&quot;https://link.springer.com/article/10.1186/s12966-019-0856-8&quot;,&quot;issued&quot;:{&quot;date-parts&quot;:[[2019,10,21]]},&quot;page&quot;:&quot;88-&quot;,&quot;abstract&quot;:&quot;Given the high global prevalence of physical inactivity, there is a need to design cities that support active modes of transportation. High density diverse neighborhoods with good access networks have been associated with enhanced walking and cycling, but there is a lack of large-scale longitudinal studies utilizing a life course perspective to model residential relocation trajectories. The objectives of the present longitudinal study were to model and visualize residential relocation trajectories between 31 and 46 years of age based on neighborhood density, mixed land use and access networks (DMA), and to assess neighborhood DMA as a predictor of self-reported regular walking and cycling and objectively measured physical activity. Based on data from the Northern Finland Birth Cohort 1966 (N&amp;nbsp;= 5947), we used self-reported regular walking and cycling and objectively measured physical activity as outcome variables and objectively assessed neighborhood DMA as the main explanatory variable. We conducted sequence analysis to model residential relocation trajectories, and generalized linear mixed models and Fisher’s exact test were used to explore longitudinal associations between neighborhood DMA and physical activity. Over 80% of the participants lived in a neighborhood with the same level of neighborhood DMA during the follow-up. Relocation occurred more often from higher to lower DMA neighborhoods than reverse. Increased neighborhood DMA was associated with increased regular walking (OR 1.03; 95% CI: 1.00, 1.05; p&amp;nbsp;= 0.023) and cycling (OR 1.17; 95% CI: 1.12, 1.23; p&amp;nbsp;&amp;lt; &amp;nbsp;0.001). Residential relocation trajectory from lower to highest neighborhood DMA increased the odds of starting regular walking (OR 3.15; 95% CI: 1.50, 7.14; p&amp;nbsp;= 0.001) and cycling (OR 2.63; 95% CI: 1.23, 5.79; p&amp;nbsp;= 0.009) as compared to higher to lower neighborhood DMA trajectory. The results strongly support the hypothesis that increasing urban DMA can enhance regular walking and cycling at population level and so improve public health. The findings have implications for zoning and transportation policies, favoring the creation of dense and diverse neighborhoods with good access networks to support regular walking and cycling.&quot;,&quot;publisher&quot;:&quot;BioMed Central&quot;,&quot;issue&quot;:&quot;1&quot;,&quot;volume&quot;:&quot;16&quot;,&quot;container-title-short&quot;:&quot;&quot;},&quot;isTemporary&quot;:false},{&quot;id&quot;:&quot;c2ace40d-be64-37f6-9437-d95cf4d6e7e0&quot;,&quot;itemData&quot;:{&quot;type&quot;:&quot;article-journal&quot;,&quot;id&quot;:&quot;c2ace40d-be64-37f6-9437-d95cf4d6e7e0&quot;,&quot;title&quot;:&quot;Which trip destination matters? Estimating the influence of the built environment on mode choice for home-based complex tours&quot;,&quot;author&quot;:[{&quot;family&quot;:&quot;Fang&quot;,&quot;given&quot;:&quot;Jia&quot;,&quot;parse-names&quot;:false,&quot;dropping-particle&quot;:&quot;&quot;,&quot;non-dropping-particle&quot;:&quot;&quot;},{&quot;family&quot;:&quot;Yan&quot;,&quot;given&quot;:&quot;Xiang&quot;,&quot;parse-names&quot;:false,&quot;dropping-particle&quot;:&quot;&quot;,&quot;non-dropping-particle&quot;:&quot;&quot;},{&quot;family&quot;:&quot;Bejleri&quot;,&quot;given&quot;:&quot;Ilir&quot;,&quot;parse-names&quot;:false,&quot;dropping-particle&quot;:&quot;&quot;,&quot;non-dropping-particle&quot;:&quot;&quot;},{&quot;family&quot;:&quot;Chen&quot;,&quot;given&quot;:&quot;Changjie&quot;,&quot;parse-names&quot;:false,&quot;dropping-particle&quot;:&quot;&quot;,&quot;non-dropping-particle&quot;:&quot;&quot;}],&quot;container-title&quot;:&quot;Journal of Transport Geography&quot;,&quot;container-title-short&quot;:&quot;J. Transp. Geogr.&quot;,&quot;accessed&quot;:{&quot;date-parts&quot;:[[2026,6,21]]},&quot;DOI&quot;:&quot;10.1016/j.jtrangeo.2022.103474&quot;,&quot;ISSN&quot;:&quot;0966-6923&quot;,&quot;URL&quot;:&quot;https://www.sciencedirect.com/science/article/pii/S0966692322001971?casa_token=VBokdNpFdfoAAAAA:lU9L1B5zmHSviBkgrCmvGoHSuZEk3j9x2yv2aN0uFDgJ_Y4_oZBB4I66DBC9KIJQUN-FGECXtA&quot;,&quot;issued&quot;:{&quot;date-parts&quot;:[[2022,12,1]]},&quot;page&quot;:&quot;103474&quot;,&quot;abstract&quot;:&quot;This study investigates how built environment (BE) characteristics at various trip destinations of a home-based tour shape travel mode choice. A complex home-based tour involves multiple out-of-home destinations, each of which may have distinct land-use patterns. Measuring the BE at various destinations of a complex tour has been an empirical challenge for the BE and travel behavior literature. Existing studies usually focus on the BE at the main destination of a tour, paying little attention to how BE attributes at other destinations of the tour shape travel behavior. This study addresses this issue by examining how and to what extent different measurements of the BE at destinations associated with a complex home-based tour influence the estimation of travel mode choice. We compare the measurement of the BE at three different trip destination categories: 1) the destination with the main activity (i.e., workplaces), which is the dominating approach applied in the existing literature, 2) the destination with the least compact BE, and 3) all destinations of a tour, with their BE variables being averaged. Our results reveal that BE characteristics at the destination with the least compact BE has the strongest explanatory power in estimating individuals' mode choice for home-based non-work tours. For home-based work tours, BE variables at the main destination have the highest impact on individuals' mode choice. In addition, travelers' mode choice for a tour, especially their use of public transit, is strongly influenced by the destination with the least compact BE.&quot;,&quot;publisher&quot;:&quot;Pergamon&quot;,&quot;volume&quot;:&quot;105&quot;},&quot;isTemporary&quot;:false}]},{&quot;citationID&quot;:&quot;MENDELEY_CITATION_e47a331a-b3d8-4328-b3a1-d6ed5e3ea91a&quot;,&quot;properties&quot;:{&quot;noteIndex&quot;:0},&quot;isEdited&quot;:false,&quot;manualOverride&quot;:{&quot;isManuallyOverridden&quot;:true,&quot;citeprocText&quot;:&quot;(Caspi et al., 2020; Ghaffar et al., 2023; Millard-Ball et al., 2025)&quot;,&quot;manualOverrideText&quot;:&quot;Caspi et al., 2020; Ghaffar et al., 2023; Millard-Ball et al., 2025)&quot;},&quot;citationTag&quot;:&quot;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&quot;,&quot;citationItems&quot;:[{&quot;id&quot;:&quot;f500e346-0ecf-3bc7-a1e7-5e7ed0e66b3d&quot;,&quot;itemData&quot;:{&quot;type&quot;:&quot;article-journal&quot;,&quot;id&quot;:&quot;f500e346-0ecf-3bc7-a1e7-5e7ed0e66b3d&quot;,&quot;title&quot;:&quot;Meta-analysis of shared micromobility ridership determinants&quot;,&quot;author&quot;:[{&quot;family&quot;:&quot;Ghaffar&quot;,&quot;given&quot;:&quot;Arash&quot;,&quot;parse-names&quot;:false,&quot;dropping-particle&quot;:&quot;&quot;,&quot;non-dropping-particle&quot;:&quot;&quot;},{&quot;family&quot;:&quot;Hyland&quot;,&quot;given&quot;:&quot;Michael&quot;,&quot;parse-names&quot;:false,&quot;dropping-particle&quot;:&quot;&quot;,&quot;non-dropping-particle&quot;:&quot;&quot;},{&quot;family&quot;:&quot;Saphores&quot;,&quot;given&quot;:&quot;Jean Daniel&quot;,&quot;parse-names&quot;:false,&quot;dropping-particle&quot;:&quot;&quot;,&quot;non-dropping-particle&quot;:&quot;&quot;}],&quot;container-title&quot;:&quot;Transportation Research Part D: Transport and Environment&quot;,&quot;accessed&quot;:{&quot;date-parts&quot;:[[2026,6,23]]},&quot;DOI&quot;:&quot;10.1016/j.trd.2023.103847&quot;,&quot;ISSN&quot;:&quot;1361-9209&quot;,&quot;URL&quot;:&quot;https://www.sciencedirect.com/science/article/pii/S1361920923002444&quot;,&quot;issued&quot;:{&quot;date-parts&quot;:[[2023,8,1]]},&quot;page&quot;:&quot;103847&quot;,&quot;abstract&quot;:&quot;Shared micromobility (SμM)—shared e-scooters and (e-)bikes—offer moderate-speed, space-efficient, and carbon-light mobility, promoting environmental sustainability and healthy travel. SμM benefits and SμM data availability have fueled a growing literature that analyses SμM ridership. We present a meta-analysis of 29 studies that estimate statistical models of zone- or station-based SμM trip counts, including 22 that examine station-based bikeshare systems. The meta-analysis reveals positive elasticities between SμM usage and population density (median elasticity of 0.16), employment density (0.07), median household income (0.33), bus stops (0.12), metro stations (0.17), bike infrastructure (0.09), and nearby station capacity (0.32). In contrast, station elevation has a negative elasticity. These magnitudes can inform SμM providers and transportation planners seeking to plan/design SμM systems to promote environmentally sustainable travel. Additionally, we critique the existing literature's failure to (i) capture spatial dependencies, and (ii) discuss the practical implications of model parameters. Finally, we identify themes for future research.&quot;,&quot;publisher&quot;:&quot;Pergamon&quot;,&quot;volume&quot;:&quot;121&quot;,&quot;container-title-short&quot;:&quot;Transp. Res. D Transp. Environ.&quot;},&quot;isTemporary&quot;:false},{&quot;id&quot;:&quot;2914ba02-4f13-3be1-b2c4-5e9222cc3f16&quot;,&quot;itemData&quot;:{&quot;type&quot;:&quot;article-journal&quot;,&quot;id&quot;:&quot;2914ba02-4f13-3be1-b2c4-5e9222cc3f16&quot;,&quot;title&quot;:&quot;Spatial associations of dockless shared e-scooter usage&quot;,&quot;author&quot;:[{&quot;family&quot;:&quot;Caspi&quot;,&quot;given&quot;:&quot;Or&quot;,&quot;parse-names&quot;:false,&quot;dropping-particle&quot;:&quot;&quot;,&quot;non-dropping-particle&quot;:&quot;&quot;},{&quot;family&quot;:&quot;Smart&quot;,&quot;given&quot;:&quot;Michael J.&quot;,&quot;parse-names&quot;:false,&quot;dropping-particle&quot;:&quot;&quot;,&quot;non-dropping-particle&quot;:&quot;&quot;},{&quot;family&quot;:&quot;Noland&quot;,&quot;given&quot;:&quot;Robert B.&quot;,&quot;parse-names&quot;:false,&quot;dropping-particle&quot;:&quot;&quot;,&quot;non-dropping-particle&quot;:&quot;&quot;}],&quot;container-title&quot;:&quot;Transportation Research Part D: Transport and Environment&quot;,&quot;container-title-short&quot;:&quot;Transp. Res. D Transp. Environ.&quot;,&quot;DOI&quot;:&quot;10.1016/j.trd.2020.102396&quot;,&quot;ISSN&quot;:&quot;13619209&quot;,&quot;issued&quot;:{&quot;date-parts&quot;:[[2020,9,1]]},&quot;abstract&quot;:&quot;In this study, we explore the usage of e-scooter sharing services in Austin, Texas over about a six-month period. The study is based on trip records of all the shared e-scooter operators in Austin and includes trip start and end locations. We use both analysis of trip patterns and spatial regression techniques to examine how the built environment, land use, and demographics affect e-scooter trip generation. Our findings show that people use e-scooters almost exclusively in central Austin. Commuting does not seem to be the main trip purpose, and usage of e-scooters is associated with areas with high employment rates, and in areas with bicycle infrastructure. People use e-scooter sharing regardless of the affluence of the neighborhood, although less affluent areas with high usage rates have large student populations, suggesting that students use this mode of travel. Implications for planners suggest that better bicycle infrastructure will facilitate e-scooter usage, college towns are a ready market for e-scooter sharing services, and e-scooters may be a substitute for some short non-work trips, reducing car usage, and benefiting the environment.&quot;,&quot;publisher&quot;:&quot;Elsevier Ltd&quot;,&quot;volume&quot;:&quot;86&quot;},&quot;isTemporary&quot;:false},{&quot;id&quot;:&quot;4fc58381-00ce-3abf-9319-f7f9a17c5acc&quot;,&quot;itemData&quot;:{&quot;type&quot;:&quot;article-journal&quot;,&quot;id&quot;:&quot;4fc58381-00ce-3abf-9319-f7f9a17c5acc&quot;,&quot;title&quot;:&quot;Global health and climate benefits from walking and cycling infrastructure&quot;,&quot;author&quot;:[{&quot;family&quot;:&quot;Millard-Ball&quot;,&quot;given&quot;:&quot;Adam&quot;,&quot;parse-names&quot;:false,&quot;dropping-particle&quot;:&quot;&quot;,&quot;non-dropping-particle&quot;:&quot;&quot;},{&quot;family&quot;:&quot;Reginald&quot;,&quot;given&quot;:&quot;Monisha&quot;,&quot;parse-names&quot;:false,&quot;dropping-particle&quot;:&quot;&quot;,&quot;non-dropping-particle&quot;:&quot;&quot;},{&quot;family&quot;:&quot;Yusuf&quot;,&quot;given&quot;:&quot;Yasmina&quot;,&quot;parse-names&quot;:false,&quot;dropping-particle&quot;:&quot;&quot;,&quot;non-dropping-particle&quot;:&quot;&quot;},{&quot;family&quot;:&quot;Bian&quot;,&quot;given&quot;:&quot;Christopher&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2422334122&quot;,&quot;ISSN&quot;:&quot;10916490&quot;,&quot;PMID&quot;:&quot;40489615&quot;,&quot;issued&quot;:{&quot;date-parts&quot;:[[2025,6,17]]},&quot;abstract&quot;:&quot;We use a globally consistent dataset—Google Environmental Insights Explorer—to quantify how urban form and transport infrastructure affect walking and cycling rates in 11,587 cities from 121 countries across six continents. At the city level, population density has the largest effect on walk mode share and has a positive impact on cycling too, as higher densities bring destinations within feasible walk and cycle distances. Density has the strongest effects in wealthier countries where travelers often have more travel choices, while in lower-income places, walking and cycling may be primarily driven by financial constraints. We also find positive effects of bicycle lanes (proxying for a wider array of street design practices) on both walking and cycling. In the median city, each new km of bicycle lanes is associated with ~13,400 additional km yr-1 of bicycle travel. If every city increased the extent of its bicycle network to the level of Copenhagen, Denmark, our simulations indicate reductions in private vehicle emissions of ~6% and health benefits of ~US$435 billion per year.&quot;,&quot;publisher&quot;:&quot;National Academy of Sciences&quot;,&quot;issue&quot;:&quot;24&quot;,&quot;volume&quot;:&quot;122&quot;},&quot;isTemporary&quot;:false}]},{&quot;citationID&quot;:&quot;MENDELEY_CITATION_00544c89-ada4-4788-8d52-2d9f0d74d45c&quot;,&quot;properties&quot;:{&quot;noteIndex&quot;:0},&quot;isEdited&quot;:false,&quot;manualOverride&quot;:{&quot;isManuallyOverridden&quot;:true,&quot;citeprocText&quot;:&quot;(Porter et al., 2020; Sanders et al., 2020; Soto et al., 2022; Zaganjor et al., 2025)&quot;,&quot;manualOverrideText&quot;:&quot;Porter et al., 2020; Sanders et al., 2020; Soto et al., 2022; Zaganjor et al., 2025)&quot;},&quot;citationTag&quot;:&quot;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&quot;,&quot;citationItems&quot;:[{&quot;id&quot;:&quot;d5b8893a-801d-35b6-a684-03389546c586&quot;,&quot;itemData&quot;:{&quot;type&quot;:&quot;article-journal&quot;,&quot;id&quot;:&quot;d5b8893a-801d-35b6-a684-03389546c586&quot;,&quot;title&quot;:&quot;Self-Reported Reasons Preventing US Adults From Walking to Places Within 10 Minutes of Home&quot;,&quot;author&quot;:[{&quot;family&quot;:&quot;Zaganjor&quot;,&quot;given&quot;:&quot;Hatidza&quot;,&quot;parse-names&quot;:false,&quot;dropping-particle&quot;:&quot;&quot;,&quot;non-dropping-particle&quot;:&quot;&quot;},{&quot;family&quot;:&quot;Chen&quot;,&quot;given&quot;:&quot;Tiffany J.&quot;,&quot;parse-names&quot;:false,&quot;dropping-particle&quot;:&quot;&quot;,&quot;non-dropping-particle&quot;:&quot;&quot;},{&quot;family&quot;:&quot;Dyke&quot;,&quot;given&quot;:&quot;Miriam E.&quot;,&quot;parse-names&quot;:false,&quot;dropping-particle&quot;:&quot;&quot;,&quot;non-dropping-particle&quot;:&quot;Van&quot;},{&quot;family&quot;:&quot;Soto&quot;,&quot;given&quot;:&quot;Graycie W.&quot;,&quot;parse-names&quot;:false,&quot;dropping-particle&quot;:&quot;&quot;,&quot;non-dropping-particle&quot;:&quot;&quot;},{&quot;family&quot;:&quot;Whitfield&quot;,&quot;given&quot;:&quot;Geoffrey P.&quot;,&quot;parse-names&quot;:false,&quot;dropping-particle&quot;:&quot;&quot;,&quot;non-dropping-particle&quot;:&quot;&quot;},{&quot;family&quot;:&quot;Smith&quot;,&quot;given&quot;:&quot;Akimi&quot;,&quot;parse-names&quot;:false,&quot;dropping-particle&quot;:&quot;&quot;,&quot;non-dropping-particle&quot;:&quot;&quot;},{&quot;family&quot;:&quot;Devlin&quot;,&quot;given&quot;:&quot;Heather M.&quot;,&quot;parse-names&quot;:false,&quot;dropping-particle&quot;:&quot;&quot;,&quot;non-dropping-particle&quot;:&quot;&quot;},{&quot;family&quot;:&quot;Irani&quot;,&quot;given&quot;:&quot;Katherine&quot;,&quot;parse-names&quot;:false,&quot;dropping-particle&quot;:&quot;&quot;,&quot;non-dropping-particle&quot;:&quot;&quot;},{&quot;family&quot;:&quot;Rose&quot;,&quot;given&quot;:&quot;Ken&quot;,&quot;parse-names&quot;:false,&quot;dropping-particle&quot;:&quot;&quot;,&quot;non-dropping-particle&quot;:&quot;&quot;},{&quot;family&quot;:&quot;Matjasko&quot;,&quot;given&quot;:&quot;Jennifer L.&quot;,&quot;parse-names&quot;:false,&quot;dropping-particle&quot;:&quot;&quot;,&quot;non-dropping-particle&quot;:&quot;&quot;}],&quot;container-title&quot;:&quot;Preventing Chronic Disease&quot;,&quot;container-title-short&quot;:&quot;Prev. Chronic Dis.&quot;,&quot;accessed&quot;:{&quot;date-parts&quot;:[[2026,4,5]]},&quot;DOI&quot;:&quot;10.5888/pcd22.240394&quot;,&quot;ISSN&quot;:&quot;1545-1151&quot;,&quot;PMID&quot;:&quot;40539902&quot;,&quot;issued&quot;:{&quot;date-parts&quot;:[[2025,6,1]]},&quot;abstract&quot;:&quot;Introduction Increasing walking for transportation is a strategy to integrate physical activity into daily life. We examined reported environmental, access, and individual reasons for not walking to places near home among US adults, by sociodemographic characteristics and geographic location. Methods We used data from the 2022 SummerStyles survey on 3,967 US adults aged 18 years or older. We calculated prevalence of reporting 11 selected reasons for not walking to places within 10 minutes of home, overall and by sex, race or ethnicity, age, education, income, US census region, and metropolitan residence (an area with at least 1 urban area of ≥50,000 inhabitants) versus nonmetropolitan residence. We used Bonferroni-corrected pairwise comparisons and orthogonal polynomial contrasts (ordered groups) to compare prevalence by subgroup. Results Overall, 79.0% of respondents identified at least 1 reason for not walking to places near home (within 10 minutes). Commonly reported reasons were hot and humid conditions (36.0%), no places to walk within 10 minutes (24.9%), a preference for driving (22.1%), and inconvenience (21.5%). The reasons varied significantly across sociodemographic and geographic subgroups. The prevalence of reporting none of the listed reasons was higher among males than females, higher among non-Hispanic Black and non-Hispanic Asian adults than non-Hispanic White adults, and higher among adults from the Northeast versus the South. Conclusion Eight of 10 US adults reported at least 1 environmental, access, or individual reason for not walking to places near home. Designing communities to make walking for transportation more accessible, convenient, and desirable may help address the leading reasons reported, which may support adults in adding more physical activity to their daily lives.&quot;,&quot;publisher&quot;:&quot;Centers for Disease Control and Prevention (CDC)&quot;,&quot;volume&quot;:&quot;22&quot;},&quot;isTemporary&quot;:false},{&quot;id&quot;:&quot;5ca983f5-7599-3467-9733-8d06b53fd651&quot;,&quot;itemData&quot;:{&quot;type&quot;:&quot;article-journal&quot;,&quot;id&quot;:&quot;5ca983f5-7599-3467-9733-8d06b53fd651&quot;,&quot;title&quot;:&quot;Traffic as a barrier to walking safely in the United States: Perceived reasons and potential mitigation strategies&quot;,&quot;author&quot;:[{&quot;family&quot;:&quot;Soto&quot;,&quot;given&quot;:&quot;Graycie W.&quot;,&quot;parse-names&quot;:false,&quot;dropping-particle&quot;:&quot;&quot;,&quot;non-dropping-particle&quot;:&quot;&quot;},{&quot;family&quot;:&quot;Whitfield&quot;,&quot;given&quot;:&quot;Geoffrey P.&quot;,&quot;parse-names&quot;:false,&quot;dropping-particle&quot;:&quot;&quot;,&quot;non-dropping-particle&quot;:&quot;&quot;},{&quot;family&quot;:&quot;Webber&quot;,&quot;given&quot;:&quot;Bryant J.&quot;,&quot;parse-names&quot;:false,&quot;dropping-particle&quot;:&quot;&quot;,&quot;non-dropping-particle&quot;:&quot;&quot;},{&quot;family&quot;:&quot;Omura&quot;,&quot;given&quot;:&quot;John D.&quot;,&quot;parse-names&quot;:false,&quot;dropping-particle&quot;:&quot;&quot;,&quot;non-dropping-particle&quot;:&quot;&quot;},{&quot;family&quot;:&quot;Chen&quot;,&quot;given&quot;:&quot;Tiffany J.&quot;,&quot;parse-names&quot;:false,&quot;dropping-particle&quot;:&quot;&quot;,&quot;non-dropping-particle&quot;:&quot;&quot;},{&quot;family&quot;:&quot;Zaganjor&quot;,&quot;given&quot;:&quot;Hatidza&quot;,&quot;parse-names&quot;:false,&quot;dropping-particle&quot;:&quot;&quot;,&quot;non-dropping-particle&quot;:&quot;&quot;},{&quot;family&quot;:&quot;Rose&quot;,&quot;given&quot;:&quot;Kenneth&quot;,&quot;parse-names&quot;:false,&quot;dropping-particle&quot;:&quot;&quot;,&quot;non-dropping-particle&quot;:&quot;&quot;}],&quot;container-title&quot;:&quot;Preventive Medicine Reports&quot;,&quot;container-title-short&quot;:&quot;Prev. Med. Rep.&quot;,&quot;DOI&quot;:&quot;10.1016/j.pmedr.2022.102003&quot;,&quot;ISSN&quot;:&quot;22113355&quot;,&quot;issued&quot;:{&quot;date-parts&quot;:[[2022,12,1]]},&quot;abstract&quot;:&quot;Motor vehicle traffic is commonly cited as a barrier to walking, but national level perceptions of traffic characteristics that negatively influence walking and potential traffic mitigation strategies remain unclear. The objectives of this study were to describe perceptions of (1) traffic characteristics that make walking unsafe in the United States and (2) potential mitigation strategies to address these concerns among those who report traffic as a barrier to walking. Data were from FallStyles, a nationwide internet panel survey conducted in October 2019 (n = 3,284 adults). Respondents reported if traffic makes walking unsafe where they live; those who answered yes were then asked about traffic characteristics that make walking unsafe (number of vehicles, speed of vehicles, distracted or impaired driving, types of vehicles, and other reasons) and potential mitigation strategies (new or improved sidewalks, crosswalks, pedestrian signals, street lighting, things that slow vehicles down, separating the sidewalk from the road, fewer vehicle lanes, and other). Prevalence of responses was assessed overall and by select sociodemographic and geographic characteristics, and by walking status. Nearly 25% of US adults reported that traffic is a barrier to walking where they live. Of these, 79% selected vehicle speed as a contributing traffic characteristic, and 57% indicated new or improved sidewalks as a potential mitigation strategy. These top responses were shared across all sociodemographic, geographic, and walking behavior subgroups. Speed reduction efforts and built environment enhancements such as sidewalks may alleviate pedestrian safety concerns. Promotion campaigns may be needed to bring awareness to such changes.&quot;,&quot;publisher&quot;:&quot;Elsevier Inc.&quot;,&quot;volume&quot;:&quot;30&quot;},&quot;isTemporary&quot;:false},{&quot;id&quot;:&quot;29fed488-73df-3ddc-b5d2-9b93c323fc82&quot;,&quot;itemData&quot;:{&quot;type&quot;:&quot;article-journal&quot;,&quot;id&quot;:&quot;29fed488-73df-3ddc-b5d2-9b93c323fc82&quot;,&quot;title&quot;:&quot;Perceived barriers to commuter and exercise bicycling in U.S. adults: The 2017 National Household Travel Survey&quot;,&quot;author&quot;:[{&quot;family&quot;:&quot;Porter&quot;,&quot;given&quot;:&quot;Anna K.&quot;,&quot;parse-names&quot;:false,&quot;dropping-particle&quot;:&quot;&quot;,&quot;non-dropping-particle&quot;:&quot;&quot;},{&quot;family&quot;:&quot;Kontou&quot;,&quot;given&quot;:&quot;Eleftheria&quot;,&quot;parse-names&quot;:false,&quot;dropping-particle&quot;:&quot;&quot;,&quot;non-dropping-particle&quot;:&quot;&quot;},{&quot;family&quot;:&quot;McDonald&quot;,&quot;given&quot;:&quot;Noreen C.&quot;,&quot;parse-names&quot;:false,&quot;dropping-particle&quot;:&quot;&quot;,&quot;non-dropping-particle&quot;:&quot;&quot;},{&quot;family&quot;:&quot;Evenson&quot;,&quot;given&quot;:&quot;Kelly R.&quot;,&quot;parse-names&quot;:false,&quot;dropping-particle&quot;:&quot;&quot;,&quot;non-dropping-particle&quot;:&quot;&quot;}],&quot;container-title&quot;:&quot;Journal of Transport &amp; Health&quot;,&quot;container-title-short&quot;:&quot;J. Transp. Health&quot;,&quot;accessed&quot;:{&quot;date-parts&quot;:[[2026,4,22]]},&quot;DOI&quot;:&quot;10.1016/j.jth.2020.100820&quot;,&quot;ISSN&quot;:&quot;2214-1405&quot;,&quot;URL&quot;:&quot;https://www.sciencedirect.com/science/article/abs/pii/S2214140519304062?casa_token=J9G2p0YRPSQAAAAA:jEB7Bd7DKU4x0KfntFnJEbV9jlOM2-iWk13afQJPdrY_SnWykJ1Tv5HByr4pWolKVuxOipykdw&quot;,&quot;issued&quot;:{&quot;date-parts&quot;:[[2020,3,1]]},&quot;page&quot;:&quot;100820&quot;,&quot;abstract&quot;:&quot;Introduction: Bicycling is a type of physical activity associated with positive health outcomes, but many barriers exist to regular bicycling for recreation and transportation. The objective of this study was to describe self-reported barriers to bicycling overall, and by bicycling domain, among a national sample of persons aged 16 and above that reported bicycling outside in the past week. Methods: This analysis, conducted in 2019, utilized data from the United States (US) Department of Transportation's 2017 National Household Travel Survey (NHTS). Weighted point estimates and 95% confidence intervals were calculated for reported barriers to bicycling by category of bicyclist: exercise-exclusive, multi-use, and commuter. Results: The final analytic sample was 18,189, representing approximately 7% of the US population (N = 20,911,680). Barriers that prevented bicycling more was reported by 37.9% of the US population of adult bicyclists (95% CI 37.2, 38.6). Barriers related to safety were more commonly reported (31.9% of total bicyclists), compared to barriers related to infrastructure (22.1% of total bicyclists). Safety-related barriers were more commonly reported among multi-use bicyclist (33.7% vs. 30.9% of exercise-exclusive). Commuter bicyclists reported infrastructure barriers the least (13.9% vs. 22.7% of exercise-exclusive). The most commonly reported single barrier to bicycling more, regardless of bicycling category, was heavy traffic (10.3% of total bicyclists), followed by no nearby paths or trails (7.6% of total bicyclists). Overall, distribution of individual barriers was similar across categories of bicyclists: exercise-exclusive, multi-use, and commuter. Conclusions: Heavy traffic and lack of separated paths or trails were the most frequently identified barriers to bicycling more. Communities wishing to promote bicycling for transportation, recreation, or both should consider how traffic reduction strategies and changes in the built environment could make bicycling safer and more accessible.&quot;,&quot;publisher&quot;:&quot;Elsevier&quot;,&quot;volume&quot;:&quot;16&quot;},&quot;isTemporary&quot;:false},{&quot;id&quot;:&quot;e77d3695-e5ed-324b-a44b-4e159b4edb01&quot;,&quot;itemData&quot;:{&quot;type&quot;:&quot;article-journal&quot;,&quot;id&quot;:&quot;e77d3695-e5ed-324b-a44b-4e159b4edb01&quot;,&quot;title&quot;:&quot;To scoot or not to scoot: Findings from a recent survey about the benefits and barriers of using E-scooters for riders and non-riders&quot;,&quot;author&quot;:[{&quot;family&quot;:&quot;Sanders&quot;,&quot;given&quot;:&quot;Rebecca L.&quot;,&quot;parse-names&quot;:false,&quot;dropping-particle&quot;:&quot;&quot;,&quot;non-dropping-particle&quot;:&quot;&quot;},{&quot;family&quot;:&quot;Branion-Calles&quot;,&quot;given&quot;:&quot;Michael&quot;,&quot;parse-names&quot;:false,&quot;dropping-particle&quot;:&quot;&quot;,&quot;non-dropping-particle&quot;:&quot;&quot;},{&quot;family&quot;:&quot;Nelson&quot;,&quot;given&quot;:&quot;Trisalyn A.&quot;,&quot;parse-names&quot;:false,&quot;dropping-particle&quot;:&quot;&quot;,&quot;non-dropping-particle&quot;:&quot;&quot;}],&quot;container-title&quot;:&quot;Transportation Research Part A: Policy and Practice&quot;,&quot;container-title-short&quot;:&quot;Transp. Res. Part A Policy Pract.&quot;,&quot;accessed&quot;:{&quot;date-parts&quot;:[[2026,4,22]]},&quot;DOI&quot;:&quot;10.1016/j.tra.2020.07.009&quot;,&quot;ISSN&quot;:&quot;0965-8564&quot;,&quot;URL&quot;:&quot;https://www.sciencedirect.com/science/article/pii/S0965856420306522&quot;,&quot;issued&quot;:{&quot;date-parts&quot;:[[2020,9,1]]},&quot;page&quot;:&quot;217-227&quot;,&quot;abstract&quot;:&quot;E-scooters are rapidly changing transportation in US cities and university campuses. Hailed as a convenient, inexpensive solution for “last mile” and other short trips, e-scooters are available in over 100 US cities and were used for nearly forty million trips in 2018. Yet relatively little is known about e-scooter use, including who uses them, for which types of trips, and the perceived benefits and barriers related to e-scooters. This information is particularly important in light of concerns about safety and the loss of physical activity (PA) due to replacing walking and biking with e-scooting. In this paper, we aim to characterize trends in the barriers and benefits related to e-scooter use within a professional population. We surveyed 1,256 university staff in Tempe, AZ, finding that 36% of respondents had ridden e-scooters and 40% indicated that they would do so outside of campus in the next year. Overwhelmingly, e-scooters are seen as a convenient way to travel, particularly in the heat and compared to walking. However, demographic differences were notable, particularly regarding barriers. African American and non-white Hispanic respondents were significantly more likely than non-Hispanic white respondents to intend to try e-scooters and to be unhappy with current transportation options. E-scooters are also associated with concerns about traffic safety – particularly for women – and barriers related to being able to find working equipment when needed. These findings suggest that e-scooters fill an important transportation niche and may contribute to transportation equity, and that efforts to address barriers could further enhance that contribution.&quot;,&quot;publisher&quot;:&quot;Pergamon&quot;,&quot;volume&quot;:&quot;139&quot;},&quot;isTemporary&quot;:false}]},{&quot;citationID&quot;:&quot;MENDELEY_CITATION_f0fc89a9-2bb7-48ce-99ed-4072ca158dfa&quot;,&quot;properties&quot;:{&quot;noteIndex&quot;:0},&quot;isEdited&quot;:false,&quot;manualOverride&quot;:{&quot;isManuallyOverridden&quot;:true,&quot;citeprocText&quot;:&quot;(Lee et al., 2023)&quot;,&quot;manualOverrideText&quot;:&quot;Lee et al., 2023&quot;},&quot;citationTag&quot;:&quot;MENDELEY_CITATION_v3_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&quot;,&quot;citationItems&quot;:[{&quot;id&quot;:&quot;dc235ce9-6441-3be9-981d-d1840d6ccd2e&quot;,&quot;itemData&quot;:{&quot;type&quot;:&quot;article-journal&quot;,&quot;id&quot;:&quot;dc235ce9-6441-3be9-981d-d1840d6ccd2e&quot;,&quot;title&quot;:&quot;Street environments and crime around low-income and minority schools: Adopting an environmental audit tool to assess crime prevention through environmental design (CPTED)&quot;,&quot;author&quot;:[{&quot;family&quot;:&quot;Lee&quot;,&quot;given&quot;:&quot;Sungmin&quot;,&quot;parse-names&quot;:false,&quot;dropping-particle&quot;:&quot;&quot;,&quot;non-dropping-particle&quot;:&quot;&quot;},{&quot;family&quot;:&quot;Lee&quot;,&quot;given&quot;:&quot;Chanam&quot;,&quot;parse-names&quot;:false,&quot;dropping-particle&quot;:&quot;&quot;,&quot;non-dropping-particle&quot;:&quot;&quot;},{&quot;family&quot;:&quot;Won Nam&quot;,&quot;given&quot;:&quot;Ji&quot;,&quot;parse-names&quot;:false,&quot;dropping-particle&quot;:&quot;&quot;,&quot;non-dropping-particle&quot;:&quot;&quot;},{&quot;family&quot;:&quot;Vernez Moudon&quot;,&quot;given&quot;:&quot;Anne&quot;,&quot;parse-names&quot;:false,&quot;dropping-particle&quot;:&quot;&quot;,&quot;non-dropping-particle&quot;:&quot;&quot;},{&quot;family&quot;:&quot;Mendoza&quot;,&quot;given&quot;:&quot;Jason A.&quot;,&quot;parse-names&quot;:false,&quot;dropping-particle&quot;:&quot;&quot;,&quot;non-dropping-particle&quot;:&quot;&quot;}],&quot;container-title&quot;:&quot;Landscape and Urban Planning&quot;,&quot;container-title-short&quot;:&quot;Landsc. Urban Plan.&quot;,&quot;DOI&quot;:&quot;10.1016/j.landurbplan.2022.104676&quot;,&quot;ISSN&quot;:&quot;01692046&quot;,&quot;issued&quot;:{&quot;date-parts&quot;:[[2023,4,1]]},&quot;abstract&quot;:&quot;Crime prevention through environmental design (CPTED) suggests an association between micro-scale environmental conditions and crime, but little empirical research exists on the detailed street-level environmental features associated with crime near low-income and minority schools. This study focuses on the neighborhoods around 14 elementary schools serving lower income populations in Seattle, WA to assess if the distribution of crime incidences (2013–2017) is linked with the street-level environmental features that reflect CPTED principles. We used a total of 40 audit variables that were included in the four domains derived from the broken windows theory and CPTED principles: natural surveillance (e.g., number of windows, balconies, and a sense of surveillance), territoriality (e.g., crime watch signs, trees), image/maintenance (e.g., graffiti and a sense of maintenance/cleanness), and geographical juxtaposition (e.g., bus stops, presence of arterial). We found that multiple crime types had significant associations with CPTED components at the street level. Among the CPTED domains, two image/maintenance features (i.e., maintenance of streets and visual quality of buildings) and two geographical juxtaposition features (i.e., being adjacent to multi-family housing and bus stops) were consistently associated with both violent and property crime. The findings suggest that local efforts to improve maintenance of streets and visual quality of buildings and broader planning efforts to control specific land uses near schools are important to improve safety in marginalized neighborhoods near schools that tend to be more vulnerable to crime. Our research on micro-scale environmental determinants of crime can also serve as promising targets for CPTED research and initiatives.&quot;,&quot;publisher&quot;:&quot;Elsevier B.V.&quot;,&quot;volume&quot;:&quot;232&quot;},&quot;isTemporary&quot;:false,&quot;suppress-author&quot;:false,&quot;composite&quot;:false,&quot;author-only&quot;:false}]},{&quot;citationID&quot;:&quot;MENDELEY_CITATION_f98a3577-ac1e-4a9e-a080-3e34a2a7c500&quot;,&quot;properties&quot;:{&quot;noteIndex&quot;:0},&quot;isEdited&quot;:false,&quot;manualOverride&quot;:{&quot;isManuallyOverridden&quot;:true,&quot;citeprocText&quot;:&quot;(Robbennolt et al., 2025)&quot;,&quot;manualOverrideText&quot;:&quot;Robbennolt et al., 2025&quot;},&quot;citationTag&quot;:&quot;MENDELEY_CITATION_v3_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&quot;,&quot;citationItems&quot;:[{&quot;id&quot;:&quot;1f263b5f-6998-38d3-9487-445f330a4e99&quot;,&quot;itemData&quot;:{&quot;type&quot;:&quot;report&quot;,&quot;id&quot;:&quot;1f263b5f-6998-38d3-9487-445f330a4e99&quot;,&quot;title&quot;:&quot;Transportation Heartbeat of America Survey Wave 1: Findings and Recommendations&quot;,&quot;author&quot;:[{&quot;family&quot;:&quot;Robbennolt&quot;,&quot;given&quot;:&quot;Dale&quot;,&quot;parse-names&quot;:false,&quot;dropping-particle&quot;:&quot;&quot;,&quot;non-dropping-particle&quot;:&quot;&quot;},{&quot;family&quot;:&quot;Beliveau&quot;,&quot;given&quot;:&quot;Anna&quot;,&quot;parse-names&quot;:false,&quot;dropping-particle&quot;:&quot;&quot;,&quot;non-dropping-particle&quot;:&quot;&quot;},{&quot;family&quot;:&quot;Batur&quot;,&quot;given&quot;:&quot;Irfan&quot;,&quot;parse-names&quot;:false,&quot;dropping-particle&quot;:&quot;&quot;,&quot;non-dropping-particle&quot;:&quot;&quot;},{&quot;family&quot;:&quot;Pendyala&quot;,&quot;given&quot;:&quot;Ram M&quot;,&quot;parse-names&quot;:false,&quot;dropping-particle&quot;:&quot;&quot;,&quot;non-dropping-particle&quot;:&quot;&quot;},{&quot;family&quot;:&quot;Mokhtarian&quot;,&quot;given&quot;:&quot;Patricia L&quot;,&quot;parse-names&quot;:false,&quot;dropping-particle&quot;:&quot;&quot;,&quot;non-dropping-particle&quot;:&quot;&quot;},{&quot;family&quot;:&quot;Shaw&quot;,&quot;given&quot;:&quot;Atiyya F&quot;,&quot;parse-names&quot;:false,&quot;dropping-particle&quot;:&quot;&quot;,&quot;non-dropping-particle&quot;:&quot;&quot;},{&quot;family&quot;:&quot;Polzin&quot;,&quot;given&quot;:&quot;Steven E&quot;,&quot;parse-names&quot;:false,&quot;dropping-particle&quot;:&quot;&quot;,&quot;non-dropping-particle&quot;:&quot;&quot;},{&quot;family&quot;:&quot;Conway&quot;,&quot;given&quot;:&quot;Alison J&quot;,&quot;parse-names&quot;:false,&quot;dropping-particle&quot;:&quot;&quot;,&quot;non-dropping-particle&quot;:&quot;&quot;},{&quot;family&quot;:&quot;Chen&quot;,&quot;given&quot;:&quot;Cynthia&quot;,&quot;parse-names&quot;:false,&quot;dropping-particle&quot;:&quot;&quot;,&quot;non-dropping-particle&quot;:&quot;&quot;},{&quot;family&quot;:&quot;Bhat&quot;,&quot;given&quot;:&quot;Chandra R&quot;,&quot;parse-names&quot;:false,&quot;dropping-particle&quot;:&quot;&quot;,&quot;non-dropping-particle&quot;:&quot;&quot;}],&quot;issued&quot;:{&quot;date-parts&quot;:[[2025,8]]},&quot;abstract&quot;:&quot;In the rapidly evolving travel environment in the United States, an investigation into changes in attitudes, lifestyles, and travel behaviors is critical to predict and proactively shape future behavioral responses. Accordingly, in this research, we track behaviors, choices, and travel trends of individuals residing in the United States, through a major multi-university, multi-year survey data collection effort that integrates a panel survey component with a cross-sectional survey component. The first wave of the survey, conducted from October 2024 through January 2025 includes detailed coverage of attitudes regarding transportation and mobility, current transportation behaviors at the time of each wave, values and preferences regarding transportation development and economic investments in transportation infrastructure, knowledge and intentions regarding potential future transportation technologies, and specific preferences and behaviors regarding electric vehicles and online activity participation. Results from the first wave of data collection provide important insights to help planners and policymakers navigate the changing landscape of transportation in the United States. 1 1. INTRODUCTION 1.1 Background and Motivation The landscape of transportation demand is undergoing rapid transformation, driven by factors such as the growth in information and communication technologies, the increasing prevalence of on-demand transportation services, growing environmental concerns, and disruptions to regular routines and lifestyle changes brought about by the COVID-19 pandemic. In such an evolving travel environment, an investigation into changes in attitudes, lifestyles, and, ultimately, travel behaviors is valuable to predict and proactively shape future behavioral responses, as well as for effective transportation planning and policy-making at the intersection of environmental goals, equity concerns, and technological advancement. In this context, understanding the broad range of perspectives and behaviors that influence transportation outcomes across the country, as well as how these behaviors may continue to evolve in the coming years in response to transportation environment changes, takes center stage. Accordingly, in this research, we track behaviors, choices, and travel trends over time of individuals residing in the United States (U.S.), through a major multi-university, multi-year survey data collection effort that integrates a panel survey component with a cross-sectional survey component. The first wave of this survey (which we label as the Transportation Heartbeat of America \&quot;THA\&quot; survey) was collected between October 2024 and January 2025, capturing detailed information about respondents' travel behaviors, attitudes toward new technologies, environmental preferences, and satisfaction with current transportation systems, among a variety of other topics. This first wave provides the foundation for the panel component as respondents will be tracked over the next four years. Additionally, a unique aspect of our survey effort is that it will also include a component that tracks the \&quot;pulse\&quot; of U.S. businesses and employers regarding employer-provided transportation benefits, work-from-home options offered to employees, and the use of e-commerce and delivery platforms to reach customers. This employer perspective-oriented component is intended to provide important insights into how businesses are responding to these same changes in the transportation and social environment as well as insights into growing market segments providing e-commerce options and service deliveries. In short, the THA survey will provide deep insights on the future of transportation in the U.S. and beyond. In this paper, we focus on the survey component related to individuals and households, focusing on the results of the recently conducted first wave of data collection.&quot;,&quot;container-title-short&quot;:&quot;&quot;},&quot;isTemporary&quot;:false,&quot;suppress-author&quot;:false,&quot;composite&quot;:false,&quot;author-only&quot;:false}]},{&quot;citationID&quot;:&quot;MENDELEY_CITATION_771b8bd7-0648-4eae-bc2c-7c70119221de&quot;,&quot;properties&quot;:{&quot;noteIndex&quot;:0},&quot;isEdited&quot;:false,&quot;manualOverride&quot;:{&quot;isManuallyOverridden&quot;:false,&quot;citeprocText&quot;:&quot;(Chapman et al., 2021)&quot;,&quot;manualOverrideText&quot;:&quot;&quot;},&quot;citationTag&quot;:&quot;MENDELEY_CITATION_v3_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&quot;,&quot;citationItems&quot;:[{&quot;id&quot;:&quot;5867c70f-914c-375c-ab78-590b18fc4495&quot;,&quot;itemData&quot;:{&quot;type&quot;:&quot;report&quot;,&quot;id&quot;:&quot;5867c70f-914c-375c-ab78-590b18fc4495&quot;,&quot;title&quot;:&quot;Smart Location Database Technical\nDocumentation and User Guide Version 3.0. U.S. Environmental Protection Agency.&quot;,&quot;author&quot;:[{&quot;family&quot;:&quot;Chapman&quot;,&quot;given&quot;:&quot;Jim&quot;,&quot;parse-names&quot;:false,&quot;dropping-particle&quot;:&quot;&quot;,&quot;non-dropping-particle&quot;:&quot;&quot;},{&quot;family&quot;:&quot;Fox&quot;,&quot;given&quot;:&quot;Eric&quot;,&quot;parse-names&quot;:false,&quot;dropping-particle&quot;:&quot;&quot;,&quot;non-dropping-particle&quot;:&quot;&quot;},{&quot;family&quot;:&quot;Bachman&quot;,&quot;given&quot;:&quot;William&quot;,&quot;parse-names&quot;:false,&quot;dropping-particle&quot;:&quot;&quot;,&quot;non-dropping-particle&quot;:&quot;&quot;},{&quot;family&quot;:&quot;Frank&quot;,&quot;given&quot;:&quot;Lawrence&quot;,&quot;parse-names&quot;:false,&quot;dropping-particle&quot;:&quot;&quot;,&quot;non-dropping-particle&quot;:&quot;&quot;}],&quot;accessed&quot;:{&quot;date-parts&quot;:[[2026,5,27]]},&quot;issued&quot;:{&quot;date-parts&quot;:[[2021]]},&quot;container-title-short&quot;:&quot;&quot;},&quot;isTemporary&quot;:false,&quot;suppress-author&quot;:false,&quot;composite&quot;:false,&quot;author-only&quot;:false}]},{&quot;citationID&quot;:&quot;MENDELEY_CITATION_abf27b35-f6cf-4c66-8566-dc5422a9b6bb&quot;,&quot;properties&quot;:{&quot;noteIndex&quot;:0},&quot;isEdited&quot;:false,&quot;manualOverride&quot;:{&quot;isManuallyOverridden&quot;:true,&quot;citeprocText&quot;:&quot;(Aguilera-García et al., 2024; Baquero Larriva et al., 2024; Blazanin et al., 2022; Sanders et al., 2020)&quot;,&quot;manualOverrideText&quot;:&quot;Sanders et al., 2020; Blazanin et al., 2022; Baquero Larriva et al., 2024; Aguilera-García et al., 2024)&quot;},&quot;citationTag&quot;:&quot;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&quot;,&quot;citationItems&quot;:[{&quot;id&quot;:&quot;0ec2df70-3cd9-3863-807d-eeedc1deac9b&quot;,&quot;itemData&quot;:{&quot;type&quot;:&quot;article-journal&quot;,&quot;id&quot;:&quot;0ec2df70-3cd9-3863-807d-eeedc1deac9b&quot;,&quot;title&quot;:&quot;E-scooter sharing and bikesharing systems: An individual-level analysis of factors affecting first-use and use frequency&quot;,&quot;author&quot;:[{&quot;family&quot;:&quot;Blazanin&quot;,&quot;given&quot;:&quot;Gina&quot;,&quot;parse-names&quot;:false,&quot;dropping-particle&quot;:&quot;&quot;,&quot;non-dropping-particle&quot;:&quot;&quot;},{&quot;family&quot;:&quot;Mondal&quot;,&quot;given&quot;:&quot;Aupal&quot;,&quot;parse-names&quot;:false,&quot;dropping-particle&quot;:&quot;&quot;,&quot;non-dropping-particle&quot;:&quot;&quot;},{&quot;family&quot;:&quot;Asmussen&quot;,&quot;given&quot;:&quot;Katherine E.&quot;,&quot;parse-names&quot;:false,&quot;dropping-particle&quot;:&quot;&quot;,&quot;non-dropping-particle&quot;:&quot;&quot;},{&quot;family&quot;:&quot;Bhat&quot;,&quot;given&quot;:&quot;Chandra R.&quot;,&quot;parse-names&quot;:false,&quot;dropping-particle&quot;:&quot;&quot;,&quot;non-dropping-particle&quot;:&quot;&quot;}],&quot;container-title&quot;:&quot;Transportation Research Part C: Emerging Technologies&quot;,&quot;container-title-short&quot;:&quot;Transp. Res. Part C Emerg. Technol.&quot;,&quot;DOI&quot;:&quot;10.1016/j.trc.2021.103515&quot;,&quot;ISSN&quot;:&quot;0968090X&quot;,&quot;issued&quot;:{&quot;date-parts&quot;:[[2022,2,1]]},&quot;abstract&quot;:&quot;Shared micromobility modes have increasingly penetrated the mobility environment of cities in the U.S. and the world over. At the same time, to best integrate these emerging modes within the fabric of the existing (and larger) transportation ecosystem, it is critical to understand how individuals may respond and “who” the likely users of these relatively new modes may be. In this paper, we develop a model to analyze first-use and use frequency of two micromobility modes: E-scooter sharing systems (ESS) and Bike sharing systems (BSS). The model employs psycho-social constructs, built environment attributes, as well as individual-level demographics as determinants. In doing so, we explicitly recognize the role played by awareness/first-use of new technologies as a cognitive antecedent to subsequent frequency decisions. The main data source for this analysis is drawn from a 2019 survey of Austin, Texas area residents. Our results highlight the importance of considering psycho-social attitudes to both gain better insights into the behavioral process leading up to ESS/BSS adoption/use as well as ensure an accurate data fit. In particular, there are distinctive pathways of adoption/use frequency for each of the ESS and BSS modes, but also complementary processes and behavioral spillover effects at play that warrant a joint modeling of the ESS and BSS modes. Our results suggest that addressing safety concerns of micromobility modes should be the top priority of providers and public agencies. Efforts solely directed toward extoling the “green” virtues of micromobility modes is likely to have limited returns.&quot;,&quot;publisher&quot;:&quot;Elsevier Ltd&quot;,&quot;volume&quot;:&quot;135&quot;},&quot;isTemporary&quot;:false},{&quot;id&quot;:&quot;3b5e23fd-38e5-3d5d-acff-0b68ce948867&quot;,&quot;itemData&quot;:{&quot;type&quot;:&quot;article-journal&quot;,&quot;id&quot;:&quot;3b5e23fd-38e5-3d5d-acff-0b68ce948867&quot;,&quot;title&quot;:&quot;Which factors influence the use of shared and privately-owned e-scooters in the city of Madrid? Implications for urban mobility&quot;,&quot;author&quot;:[{&quot;family&quot;:&quot;Aguilera-García&quot;,&quot;given&quot;:&quot;Álvaro&quot;,&quot;parse-names&quot;:false,&quot;dropping-particle&quot;:&quot;&quot;,&quot;non-dropping-particle&quot;:&quot;&quot;},{&quot;family&quot;:&quot;Gomez&quot;,&quot;given&quot;:&quot;Juan&quot;,&quot;parse-names&quot;:false,&quot;dropping-particle&quot;:&quot;&quot;,&quot;non-dropping-particle&quot;:&quot;&quot;},{&quot;family&quot;:&quot;Rangel&quot;,&quot;given&quot;:&quot;Thais&quot;,&quot;parse-names&quot;:false,&quot;dropping-particle&quot;:&quot;&quot;,&quot;non-dropping-particle&quot;:&quot;&quot;},{&quot;family&quot;:&quot;Baeza&quot;,&quot;given&quot;:&quot;María de los Ángeles&quot;,&quot;parse-names&quot;:false,&quot;dropping-particle&quot;:&quot;&quot;,&quot;non-dropping-particle&quot;:&quot;&quot;},{&quot;family&quot;:&quot;Vassallo&quot;,&quot;given&quot;:&quot;José Manuel&quot;,&quot;parse-names&quot;:false,&quot;dropping-particle&quot;:&quot;&quot;,&quot;non-dropping-particle&quot;:&quot;&quot;}],&quot;container-title&quot;:&quot;Cities&quot;,&quot;DOI&quot;:&quot;10.1016/j.cities.2023.104785&quot;,&quot;ISSN&quot;:&quot;02642751&quot;,&quot;issued&quot;:{&quot;date-parts&quot;:[[2024,4,1]]},&quot;abstract&quot;:&quot;Micromobility using fully-electric two-wheeled vehicles is increasing in cities worldwide. E-scooters, whether shared or privately-owned, provide short door-to-door trips by facilitating the first/last mile stage of the journey. They are expected to improve livability in cities by reducing harmful emissions and space occupation. In this respect, understanding travel behavior and usage patterns is essential to regulate them appropriately. The purpose of this study is to determine individuals' sociodemographic variables, mobility-related attributes, and latent constructs influencing e-scooter usage. To that end, an individual-level model is estimated to explain the adoption and frequency of use of both shared and private e-scooters based on survey data. The research takes the city of Madrid as a case study, and contributes to a deeper understanding of the differences in the use of privately-owned and shared e-scooters, with a particular focus on the influence of mobility habits and attitudinal variables. The study is complemented with some insights on shared e-scooter usage at the trip-level, which shows the substitution caused on walking trips, and their limited ability to promote modal shifts from the private car. Finally, the research provides valuable implications for urban dynamics and feedback for policymakers and transport planners.&quot;,&quot;publisher&quot;:&quot;Elsevier Ltd&quot;,&quot;volume&quot;:&quot;147&quot;,&quot;container-title-short&quot;:&quot;&quot;},&quot;isTemporary&quot;:false},{&quot;id&quot;:&quot;38f7d4e6-6ec1-3cdf-bc56-540b7c236949&quot;,&quot;itemData&quot;:{&quot;type&quot;:&quot;article&quot;,&quot;id&quot;:&quot;38f7d4e6-6ec1-3cdf-bc56-540b7c236949&quot;,&quot;title&quot;:&quot;Active and healthy ageing: Factors associated with bicycle use and frequency among older adults- A case study in Munich&quot;,&quot;author&quot;:[{&quot;family&quot;:&quot;Baquero Larriva&quot;,&quot;given&quot;:&quot;María Teresa&quot;,&quot;parse-names&quot;:false,&quot;dropping-particle&quot;:&quot;&quot;,&quot;non-dropping-particle&quot;:&quot;&quot;},{&quot;family&quot;:&quot;Büttner&quot;,&quot;given&quot;:&quot;Benjamin&quot;,&quot;parse-names&quot;:false,&quot;dropping-particle&quot;:&quot;&quot;,&quot;non-dropping-particle&quot;:&quot;&quot;},{&quot;family&quot;:&quot;Durán-Rodas&quot;,&quot;given&quot;:&quot;David&quot;,&quot;parse-names&quot;:false,&quot;dropping-particle&quot;:&quot;&quot;,&quot;non-dropping-particle&quot;:&quot;&quot;}],&quot;container-title&quot;:&quot;Journal of Transport and Health&quot;,&quot;container-title-short&quot;:&quot;J. Transp. Health&quot;,&quot;DOI&quot;:&quot;10.1016/j.jth.2024.101772&quot;,&quot;ISSN&quot;:&quot;22141405&quot;,&quot;issued&quot;:{&quot;date-parts&quot;:[[2024,3,1]]},&quot;abstract&quot;:&quot;Introduction: Cities need to take action to adapt to the needs of older people and facilitate their independence, health, and well-being. Active mobility brings economic, social, environmental and health benefits. Cycling tends to decline with age, despite its potential to minimize dependency, social isolation, mobility problems, and sedentary lifestyles. There is a lack of comprehensive understanding of the factors associated with cycling among older people, which limits efforts to develop cycling initiatives for this population. Therefore, this study aims to assess the variables that influence cycling behaviour of adults and older adults. Methods: Taking Munich as a case study, we explored factors associated with the use and frequency of cycling using statistical tests and regression. Factors included neighbourhood's built environment characteristics (5D's), personal or individual level sociodemographic characteristics, and availability and usage of different transport modes from a national mobility survey (Mobilität in Deutschland, 2017, n = 11.430). Results: Statistical differences were found between older and younger adults in the use and frequency of cycling. The neighbourhood's built environment had a greater influence on the cycling behaviour of older adults than younger adults. The results revealed that older people living in peripheral neighbourhoods were more likely to use the bicycle as a means of transport. Currently, these neighbourhoods have a higher percentage of green areas, lower intersection density and lower motorized traffic. In both age groups, higher income and education levels exhibited higher odds of cycling. Additionally, older adults who are occasional car and public transport users were more likely to cycle. Conclusions: Cities should ensure cycling opportunities for individuals of all ages, irrespective of their education level or economic status. To encourage cycling in older people, urban planning efforts should prioritize the creation of safe cycling infrastructure and the development of green spaces.&quot;,&quot;publisher&quot;:&quot;Elsevier Ltd&quot;,&quot;volume&quot;:&quot;35&quot;},&quot;isTemporary&quot;:false},{&quot;id&quot;:&quot;e77d3695-e5ed-324b-a44b-4e159b4edb01&quot;,&quot;itemData&quot;:{&quot;type&quot;:&quot;article-journal&quot;,&quot;id&quot;:&quot;e77d3695-e5ed-324b-a44b-4e159b4edb01&quot;,&quot;title&quot;:&quot;To scoot or not to scoot: Findings from a recent survey about the benefits and barriers of using E-scooters for riders and non-riders&quot;,&quot;author&quot;:[{&quot;family&quot;:&quot;Sanders&quot;,&quot;given&quot;:&quot;Rebecca L.&quot;,&quot;parse-names&quot;:false,&quot;dropping-particle&quot;:&quot;&quot;,&quot;non-dropping-particle&quot;:&quot;&quot;},{&quot;family&quot;:&quot;Branion-Calles&quot;,&quot;given&quot;:&quot;Michael&quot;,&quot;parse-names&quot;:false,&quot;dropping-particle&quot;:&quot;&quot;,&quot;non-dropping-particle&quot;:&quot;&quot;},{&quot;family&quot;:&quot;Nelson&quot;,&quot;given&quot;:&quot;Trisalyn A.&quot;,&quot;parse-names&quot;:false,&quot;dropping-particle&quot;:&quot;&quot;,&quot;non-dropping-particle&quot;:&quot;&quot;}],&quot;container-title&quot;:&quot;Transportation Research Part A: Policy and Practice&quot;,&quot;container-title-short&quot;:&quot;Transp. Res. Part A Policy Pract.&quot;,&quot;accessed&quot;:{&quot;date-parts&quot;:[[2026,4,22]]},&quot;DOI&quot;:&quot;10.1016/j.tra.2020.07.009&quot;,&quot;ISSN&quot;:&quot;0965-8564&quot;,&quot;URL&quot;:&quot;https://www.sciencedirect.com/science/article/pii/S0965856420306522&quot;,&quot;issued&quot;:{&quot;date-parts&quot;:[[2020,9,1]]},&quot;page&quot;:&quot;217-227&quot;,&quot;abstract&quot;:&quot;E-scooters are rapidly changing transportation in US cities and university campuses. Hailed as a convenient, inexpensive solution for “last mile” and other short trips, e-scooters are available in over 100 US cities and were used for nearly forty million trips in 2018. Yet relatively little is known about e-scooter use, including who uses them, for which types of trips, and the perceived benefits and barriers related to e-scooters. This information is particularly important in light of concerns about safety and the loss of physical activity (PA) due to replacing walking and biking with e-scooting. In this paper, we aim to characterize trends in the barriers and benefits related to e-scooter use within a professional population. We surveyed 1,256 university staff in Tempe, AZ, finding that 36% of respondents had ridden e-scooters and 40% indicated that they would do so outside of campus in the next year. Overwhelmingly, e-scooters are seen as a convenient way to travel, particularly in the heat and compared to walking. However, demographic differences were notable, particularly regarding barriers. African American and non-white Hispanic respondents were significantly more likely than non-Hispanic white respondents to intend to try e-scooters and to be unhappy with current transportation options. E-scooters are also associated with concerns about traffic safety – particularly for women – and barriers related to being able to find working equipment when needed. These findings suggest that e-scooters fill an important transportation niche and may contribute to transportation equity, and that efforts to address barriers could further enhance that contribution.&quot;,&quot;publisher&quot;:&quot;Pergamon&quot;,&quot;volume&quot;:&quot;139&quot;},&quot;isTemporary&quot;:false}]},{&quot;citationID&quot;:&quot;MENDELEY_CITATION_527057dd-1004-4d16-9203-5434bc2cc540&quot;,&quot;properties&quot;:{&quot;noteIndex&quot;:0},&quot;isEdited&quot;:false,&quot;manualOverride&quot;:{&quot;isManuallyOverridden&quot;:false,&quot;citeprocText&quot;:&quot;(U.S. Census Bureau, 2026)&quot;,&quot;manualOverrideText&quot;:&quot;&quot;},&quot;citationTag&quot;:&quot;MENDELEY_CITATION_v3_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&quot;,&quot;citationItems&quot;:[{&quot;id&quot;:&quot;850e253f-631f-3b5e-ba69-d937d33a83a3&quot;,&quot;itemData&quot;:{&quot;type&quot;:&quot;webpage&quot;,&quot;id&quot;:&quot;850e253f-631f-3b5e-ba69-d937d33a83a3&quot;,&quot;title&quot;:&quot;American Community Survey (5-Year estimates)&quot;,&quot;author&quot;:[{&quot;family&quot;:&quot;U.S. Census Bureau&quot;,&quot;given&quot;:&quot;&quot;,&quot;parse-names&quot;:false,&quot;dropping-particle&quot;:&quot;&quot;,&quot;non-dropping-particle&quot;:&quot;&quot;}],&quot;issued&quot;:{&quot;date-parts&quot;:[[2025]]},&quot;container-title-short&quot;:&quot;&quot;},&quot;isTemporary&quot;:false,&quot;suppress-author&quot;:false,&quot;composite&quot;:false,&quot;author-only&quot;:false}]},{&quot;citationID&quot;:&quot;MENDELEY_CITATION_4894dc2c-ca17-43b5-9a51-e430b4f115da&quot;,&quot;properties&quot;:{&quot;noteIndex&quot;:0},&quot;isEdited&quot;:false,&quot;manualOverride&quot;:{&quot;isManuallyOverridden&quot;:true,&quot;citeprocText&quot;:&quot;(X. Wang et al., 2023)&quot;,&quot;manualOverrideText&quot;:&quot;(Wang et al., 2023)&quot;},&quot;citationItems&quot;:[{&quot;id&quot;:&quot;315f6d74-253e-38ea-a0b0-07bc877e6613&quot;,&quot;itemData&quot;:{&quot;type&quot;:&quot;article-journal&quot;,&quot;id&quot;:&quot;315f6d74-253e-38ea-a0b0-07bc877e6613&quot;,&quot;title&quot;:&quot;Combining disparate surveys across time to study satisfaction with life: the effects of study context, sampling method, and transport attributes&quot;,&quot;author&quot;:[{&quot;family&quot;:&quot;Wang&quot;,&quot;given&quot;:&quot;Xinyi&quot;,&quot;parse-names&quot;:false,&quot;dropping-particle&quot;:&quot;&quot;,&quot;non-dropping-particle&quot;:&quot;&quot;},{&quot;family&quot;:&quot;Shaw&quot;,&quot;given&quot;:&quot;F. Atiyya&quot;,&quot;parse-names&quot;:false,&quot;dropping-particle&quot;:&quot;&quot;,&quot;non-dropping-particle&quot;:&quot;&quot;},{&quot;family&quot;:&quot;Mokhtarian&quot;,&quot;given&quot;:&quot;Patricia L.&quot;,&quot;parse-names&quot;:false,&quot;dropping-particle&quot;:&quot;&quot;,&quot;non-dropping-particle&quot;:&quot;&quot;},{&quot;family&quot;:&quot;Circella&quot;,&quot;given&quot;:&quot;Giovanni&quot;,&quot;parse-names&quot;:false,&quot;dropping-particle&quot;:&quot;&quot;,&quot;non-dropping-particle&quot;:&quot;&quot;},{&quot;family&quot;:&quot;Watkins&quot;,&quot;given&quot;:&quot;Kari E.&quot;,&quot;parse-names&quot;:false,&quot;dropping-particle&quot;:&quot;&quot;,&quot;non-dropping-particle&quot;:&quot;&quot;}],&quot;container-title&quot;:&quot;Transportation&quot;,&quot;container-title-short&quot;:&quot;Transportation (Amst).&quot;,&quot;DOI&quot;:&quot;10.1007/s11116-021-10252-x&quot;,&quot;ISSN&quot;:&quot;15729435&quot;,&quot;issued&quot;:{&quot;date-parts&quot;:[[2023,4,1]]},&quot;page&quot;:&quot;513-543&quot;,&quot;abstract&quot;:&quot;Satisfaction with life is a self-reported measure of the quality of life that has become a critical societal indicator extensively used for the evaluation and comparison of a wide range of trends and policies. This study fuses five cross-sectional travel surveys conducted from 1992 to 2018 across various geographical locations in California. Using the fused sample, we develop generalized ordered logit models to examine the effects of demographic characteristics, travel-related attributes, general and transport-related attitudinal variables, and context-control variables on individuals’ self-reported measures of life satisfaction. We find that longer commute times, mobility limitations, and a tendency to see travel as a waste of time are negatively associated with life satisfaction. To enable the use of disparate cross-sectional survey data, we incorporate context-control variables into the models. We find that life satisfaction appears to be increasing as GDP per capita increases. Among employed people, the macro-scale unemployment rate positively influences their life satisfaction. Interestingly, all else equal, we find that online opinion panel respondents have lower life satisfaction relative to respondents from other sampling methods (mainly address-based sampling), a finding that should be considered in future research using these sampling methods. Overall, this study provides a unique look at life satisfaction within a transport context, while providing an example of fusing small-scale survey datasets to study longitudinal, domain-specific, influences on variables like subjective well-being.&quot;,&quot;publisher&quot;:&quot;Springer&quot;,&quot;issue&quot;:&quot;2&quot;,&quot;volume&quot;:&quot;50&quot;},&quot;isTemporary&quot;:false,&quot;suppress-author&quot;:false,&quot;composite&quot;:false,&quot;author-only&quot;:false}],&quot;citationTag&quot;:&quot;MENDELEY_CITATION_v3_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&quot;},{&quot;citationID&quot;:&quot;MENDELEY_CITATION_addac9df-c936-407c-aef3-2d5a237fda3e&quot;,&quot;properties&quot;:{&quot;noteIndex&quot;:0},&quot;isEdited&quot;:false,&quot;manualOverride&quot;:{&quot;isManuallyOverridden&quot;:true,&quot;citeprocText&quot;:&quot;(Robbennolt et al., 2026; Solon et al., 2015)&quot;,&quot;manualOverrideText&quot;:&quot;(Solon et al., 2015; Robbennolt et al., 2026)&quot;},&quot;citationTag&quot;:&quot;MENDELEY_CITATION_v3_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&quot;,&quot;citationItems&quot;:[{&quot;id&quot;:&quot;1b6a0c33-e7d2-3627-b03c-307ffb74f9a6&quot;,&quot;itemData&quot;:{&quot;type&quot;:&quot;article-journal&quot;,&quot;id&quot;:&quot;1b6a0c33-e7d2-3627-b03c-307ffb74f9a6&quot;,&quot;title&quot;:&quot;Data collection, weighting, and modeling techniques to estimate consistent population parameters&quot;,&quot;author&quot;:[{&quot;family&quot;:&quot;Robbennolt&quot;,&quot;given&quot;:&quot;Dale&quot;,&quot;parse-names&quot;:false,&quot;dropping-particle&quot;:&quot;&quot;,&quot;non-dropping-particle&quot;:&quot;&quot;},{&quot;family&quot;:&quot;Pendyala&quot;,&quot;given&quot;:&quot;Ram M.&quot;,&quot;parse-names&quot;:false,&quot;dropping-particle&quot;:&quot;&quot;,&quot;non-dropping-particle&quot;:&quot;&quot;},{&quot;family&quot;:&quot;Bhat&quot;,&quot;given&quot;:&quot;Chandra R.&quot;,&quot;parse-names&quot;:false,&quot;dropping-particle&quot;:&quot;&quot;,&quot;non-dropping-particle&quot;:&quot;&quot;}],&quot;container-title&quot;:&quot;Transportation Research Part B: Methodological&quot;,&quot;accessed&quot;:{&quot;date-parts&quot;:[[2026,4,23]]},&quot;DOI&quot;:&quot;10.1016/j.trb.2025.103349&quot;,&quot;ISSN&quot;:&quot;0191-2615&quot;,&quot;URL&quot;:&quot;https://www.sciencedirect.com/science/article/pii/S0191261525001985?via%3Dihub&quot;,&quot;issued&quot;:{&quot;date-parts&quot;:[[2026,1,1]]},&quot;page&quot;:&quot;103349&quot;,&quot;abstract&quot;:&quot;Empirical research studies regularly encounter sampling-related challenges that can impact the validity and reliability of model estimation results. This paper presents a comprehensive examination of the implications of nonrandom sampling for estimator consistency and asymptotic efficiency. Through theoretical and simulation-backed support, we underscore the importance of adopting appropriate sampling and estimation methods in two broad scenarios. First, we demonstrate that achieving range variation in exogenous variables, rather than strict population representativeness, is crucial for estimating individual-level causal relationships when sampling is based only on observed exogenous variables. Second, we investigate the efficacy of weighting approaches when sampling is endogenous and use a joint modeling approach to accommodate unobserved self-selection effects where traditional weighting approaches prove inadequate. Our proposed approach accommodates unobserved correlations and successfully recovers true population parameters when the joint distribution of exogenous variables in the population is known. The methodology also shows improved performance compared to existing methods even when only the population marginal distribution of exogenous variables is available. Notably, our simulation experiments extend beyond the conventional linear regression framework to include binary outcomes, providing crucial insights for nonlinear choice modeling applications. The findings underscore the importance of carefully considering sampling mechanisms and their implications for model estimation, while offering practical guidance for researchers facing various sampling-related challenges in empirical studies.&quot;,&quot;publisher&quot;:&quot;Pergamon&quot;,&quot;volume&quot;:&quot;203&quot;,&quot;container-title-short&quot;:&quot;&quot;},&quot;isTemporary&quot;:false},{&quot;id&quot;:&quot;2b13afa7-a7b7-3dfa-9be1-76aaa8658341&quot;,&quot;itemData&quot;:{&quot;type&quot;:&quot;article-journal&quot;,&quot;id&quot;:&quot;2b13afa7-a7b7-3dfa-9be1-76aaa8658341&quot;,&quot;title&quot;:&quot;What Are We Weighting For?&quot;,&quot;author&quot;:[{&quot;family&quot;:&quot;Solon&quot;,&quot;given&quot;:&quot;Gary&quot;,&quot;parse-names&quot;:false,&quot;dropping-particle&quot;:&quot;&quot;,&quot;non-dropping-particle&quot;:&quot;&quot;},{&quot;family&quot;:&quot;Haider&quot;,&quot;given&quot;:&quot;Steven J.&quot;,&quot;parse-names&quot;:false,&quot;dropping-particle&quot;:&quot;&quot;,&quot;non-dropping-particle&quot;:&quot;&quot;},{&quot;family&quot;:&quot;Wooldridge&quot;,&quot;given&quot;:&quot;Jeffrey M.&quot;,&quot;parse-names&quot;:false,&quot;dropping-particle&quot;:&quot;&quot;,&quot;non-dropping-particle&quot;:&quot;&quot;}],&quot;container-title&quot;:&quot;Journal of Human Resources&quot;,&quot;accessed&quot;:{&quot;date-parts&quot;:[[2026,4,23]]},&quot;DOI&quot;:&quot;10.3368/jhr.50.2.301&quot;,&quot;ISSN&quot;:&quot;0022-166X&quot;,&quot;URL&quot;:&quot;https://jhr.uwpress.org/content/50/2/301&quot;,&quot;issued&quot;:{&quot;date-parts&quot;:[[2015,3,31]]},&quot;page&quot;:&quot;301-316&quot;,&quot;abstract&quot;:&quot;When estimating population descriptive statistics, weighting is called for if needed to make the analysis sample representative of the target population. With regard to research directed instead at estimating causal effects, we discuss three distinct weighting motives: (1) to achieve precise estimates by correcting for heteroskedasticity; (2) to achieve consistent estimates by correcting for endogenous sampling; and (3) to identify average partial effects in the presence of unmodeled heterogeneity of effects. In each case, we find that the motive sometimes does not apply in situations where practitioners often assume it does.&quot;,&quot;publisher&quot;:&quot;University of Wisconsin Press&quot;,&quot;issue&quot;:&quot;2&quot;,&quot;volume&quot;:&quot;50&quot;,&quot;container-title-short&quot;:&quot;&quot;},&quot;isTemporary&quot;:false}]},{&quot;citationID&quot;:&quot;MENDELEY_CITATION_023fccbf-881b-4d22-80fa-4f07794215ef&quot;,&quot;properties&quot;:{&quot;noteIndex&quot;:0},&quot;isEdited&quot;:false,&quot;manualOverride&quot;:{&quot;isManuallyOverridden&quot;:false,&quot;citeprocText&quot;:&quot;(Chapman et al., 2021)&quot;,&quot;manualOverrideText&quot;:&quot;&quot;},&quot;citationTag&quot;:&quot;MENDELEY_CITATION_v3_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&quot;,&quot;citationItems&quot;:[{&quot;id&quot;:&quot;5867c70f-914c-375c-ab78-590b18fc4495&quot;,&quot;itemData&quot;:{&quot;type&quot;:&quot;report&quot;,&quot;id&quot;:&quot;5867c70f-914c-375c-ab78-590b18fc4495&quot;,&quot;title&quot;:&quot;Smart Location Database Technical\nDocumentation and User Guide Version 3.0. U.S. Environmental Protection Agency.&quot;,&quot;author&quot;:[{&quot;family&quot;:&quot;Chapman&quot;,&quot;given&quot;:&quot;Jim&quot;,&quot;parse-names&quot;:false,&quot;dropping-particle&quot;:&quot;&quot;,&quot;non-dropping-particle&quot;:&quot;&quot;},{&quot;family&quot;:&quot;Fox&quot;,&quot;given&quot;:&quot;Eric&quot;,&quot;parse-names&quot;:false,&quot;dropping-particle&quot;:&quot;&quot;,&quot;non-dropping-particle&quot;:&quot;&quot;},{&quot;family&quot;:&quot;Bachman&quot;,&quot;given&quot;:&quot;William&quot;,&quot;parse-names&quot;:false,&quot;dropping-particle&quot;:&quot;&quot;,&quot;non-dropping-particle&quot;:&quot;&quot;},{&quot;family&quot;:&quot;Frank&quot;,&quot;given&quot;:&quot;Lawrence&quot;,&quot;parse-names&quot;:false,&quot;dropping-particle&quot;:&quot;&quot;,&quot;non-dropping-particle&quot;:&quot;&quot;}],&quot;accessed&quot;:{&quot;date-parts&quot;:[[2026,5,27]]},&quot;issued&quot;:{&quot;date-parts&quot;:[[2021]]},&quot;container-title-short&quot;:&quot;&quot;},&quot;isTemporary&quot;:false,&quot;suppress-author&quot;:false,&quot;composite&quot;:false,&quot;author-only&quot;:false}]},{&quot;citationID&quot;:&quot;MENDELEY_CITATION_e405663b-d216-42d5-9f50-bebe6103b18f&quot;,&quot;properties&quot;:{&quot;noteIndex&quot;:0},&quot;isEdited&quot;:false,&quot;manualOverride&quot;:{&quot;isManuallyOverridden&quot;:true,&quot;citeprocText&quot;:&quot;(Bhat, 2018)&quot;,&quot;manualOverrideText&quot;:&quot;Bhat (2018)&quot;},&quot;citationTag&quot;:&quot;MENDELEY_CITATION_v3_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&quot;,&quot;citationItems&quot;:[{&quot;id&quot;:&quot;fd6aefea-42f6-3665-a123-66a224e5fb54&quot;,&quot;itemData&quot;:{&quot;type&quot;:&quot;article-journal&quot;,&quot;id&quot;:&quot;fd6aefea-42f6-3665-a123-66a224e5fb54&quot;,&quot;title&quot;:&quot;New matrix-based methods for the analytic evaluation of the multivariate cumulative normal distribution function&quot;,&quot;author&quot;:[{&quot;family&quot;:&quot;Bhat&quot;,&quot;given&quot;:&quot;Chandra R.&quot;,&quot;parse-names&quot;:false,&quot;dropping-particle&quot;:&quot;&quot;,&quot;non-dropping-particle&quot;:&quot;&quot;}],&quot;container-title&quot;:&quot;Transportation Research Part B: Methodological&quot;,&quot;accessed&quot;:{&quot;date-parts&quot;:[[2026,5,6]]},&quot;DOI&quot;:&quot;10.1016/J.TRB.2018.01.011&quot;,&quot;ISSN&quot;:&quot;0191-2615&quot;,&quot;URL&quot;:&quot;https://www.sciencedirect.com/science/article/abs/pii/S0191261517306847?casa_token=kSJaLyLBP0wAAAAA:E3V1cCSaN693SoaRdcGltPM81T662fNqq2druo5fMXjuZh_JdGEgcnEfIsl2TryQkXjEM3VgfQ&quot;,&quot;issued&quot;:{&quot;date-parts&quot;:[[2018,3,1]]},&quot;page&quot;:&quot;238-256&quot;,&quot;abstract&quot;:&quot;In this paper, we develop a new matrix-based implementation of the Mendell and Elston (ME) analytic approximation to evaluate the multivariate normal cumulative distribution (MVNCD) function, using an LDLT decomposition method followed by a rank 1 update of the LDLT factorization. Our implementation is easy to code for individuals familiar with matrix-based coding. Further, our new matrix-based implementation for the ME algorithm allows us to efficiently write the analytic matrix-based gradients of the approximated MVNCD function with respect to the abscissae and correlation parameters, an issue that is important in econometric model estimation. In addition, we propose four new analytic methods for approximating the MVNCD function. The paper then evaluates the ability of the multiple approximations for individual MVNCD evaluations as well as multinomial probit model estimation. As expected, in our tests for evaluating individual MVNCD functions, we found that the traditional GHK approach degrades rapidly as the dimensionality of integration increases. Concomitant with this degradation in accuracy is a rapid increase in computational time. The analytic approximation methods are also much more stable across different numbers of dimensions of integration, and even the simplest of these methods is superior to the GHK-500 beyond seven dimensions of integration. Based on all the evaluation results in this paper, we recommend the new Two-Variate Bivariate Screening (TVBS) method proposed in this paper as the evaluation approach for MVNCD function evaluation.&quot;,&quot;publisher&quot;:&quot;Pergamon&quot;,&quot;volume&quot;:&quot;109&quot;,&quot;container-title-short&quot;:&quot;&quot;},&quot;isTemporary&quot;:false,&quot;suppress-author&quot;:false,&quot;composite&quot;:false,&quot;author-only&quot;:false}]},{&quot;citationID&quot;:&quot;MENDELEY_CITATION_2cde3c2a-40e4-4d3d-850e-13315498212d&quot;,&quot;properties&quot;:{&quot;noteIndex&quot;:0},&quot;isEdited&quot;:false,&quot;manualOverride&quot;:{&quot;isManuallyOverridden&quot;:true,&quot;citeprocText&quot;:&quot;(D’Agostino et al., 2024; Ravensbergen, Buliung, &amp;#38; Laliberté, 2020; Ravensbergen, Buliung, &amp;#38; Sersli, 2020)&quot;,&quot;manualOverrideText&quot;:&quot;Ravensbergen et al., 2020a; Ravensbergen et al., 2020b; D’Agostino et al., 2024&quot;},&quot;citationTag&quot;:&quot;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&quot;,&quot;citationItems&quot;:[{&quot;id&quot;:&quot;9f416067-341b-32b8-90f6-dac0d3a9cc1b&quot;,&quot;itemData&quot;:{&quot;type&quot;:&quot;article-journal&quot;,&quot;id&quot;:&quot;9f416067-341b-32b8-90f6-dac0d3a9cc1b&quot;,&quot;title&quot;:&quot;Fear of cycling: Social, spatial, and temporal dimensions&quot;,&quot;author&quot;:[{&quot;family&quot;:&quot;Ravensbergen&quot;,&quot;given&quot;:&quot;Léa&quot;,&quot;parse-names&quot;:false,&quot;dropping-particle&quot;:&quot;&quot;,&quot;non-dropping-particle&quot;:&quot;&quot;},{&quot;family&quot;:&quot;Buliung&quot;,&quot;given&quot;:&quot;Ron&quot;,&quot;parse-names&quot;:false,&quot;dropping-particle&quot;:&quot;&quot;,&quot;non-dropping-particle&quot;:&quot;&quot;},{&quot;family&quot;:&quot;Laliberté&quot;,&quot;given&quot;:&quot;Nicole&quot;,&quot;parse-names&quot;:false,&quot;dropping-particle&quot;:&quot;&quot;,&quot;non-dropping-particle&quot;:&quot;&quot;}],&quot;container-title&quot;:&quot;Journal of Transport Geography&quot;,&quot;container-title-short&quot;:&quot;J. Transp. Geogr.&quot;,&quot;DOI&quot;:&quot;10.1016/j.jtrangeo.2020.102813&quot;,&quot;ISSN&quot;:&quot;09666923&quot;,&quot;issued&quot;:{&quot;date-parts&quot;:[[2020,7,1]]},&quot;abstract&quot;:&quot;Objective and perceived risk, danger, and safety concerns are often identified as barriers to taking up cycling. While a vast literature examines cycling safety, risk, and danger, little research examines relationships between fear and cycling, i.e. the emotional experience of risk, danger, and safety concerns. This paper addresses this research gap by exploring the fears reported by recent immigrants who are new cyclists in Toronto, Canada. Cyclists expressed many different types of fear; their fears were dynamic and possessed social, temporal, and spatial qualities. The two most frequent fears participants described were fear of injury and fear for personal safety. Fear of injury varied across the city and by time of day. It was also shaped by past cycling experiences, while appearing to attenuate with the accumulation of cycling skills. Fear of injury can also be social; and the primary focus herein is on how it can be gendered. For instance, gendered access to opportunities to cycle throughout the life course can shape cycling fear(s). Fear for personal safety was primarily expressed by women, was often shaped by past experiences of street harassment, and changed throughout the day, across the city, and was understood in relation to other places. Participants also described fears related to bicycle theft, getting lost, encountering mechanical problems, and getting in trouble with law enforcement.&quot;,&quot;publisher&quot;:&quot;Elsevier Ltd&quot;,&quot;volume&quot;:&quot;87&quot;},&quot;isTemporary&quot;:false},{&quot;id&quot;:&quot;be25fb29-71e9-3a09-a2db-158bd841741b&quot;,&quot;itemData&quot;:{&quot;type&quot;:&quot;article-journal&quot;,&quot;id&quot;:&quot;be25fb29-71e9-3a09-a2db-158bd841741b&quot;,&quot;title&quot;:&quot;Vélomobilities of care in a low-cycling city&quot;,&quot;author&quot;:[{&quot;family&quot;:&quot;Ravensbergen&quot;,&quot;given&quot;:&quot;Léa&quot;,&quot;parse-names&quot;:false,&quot;dropping-particle&quot;:&quot;&quot;,&quot;non-dropping-particle&quot;:&quot;&quot;},{&quot;family&quot;:&quot;Buliung&quot;,&quot;given&quot;:&quot;Ron&quot;,&quot;parse-names&quot;:false,&quot;dropping-particle&quot;:&quot;&quot;,&quot;non-dropping-particle&quot;:&quot;&quot;},{&quot;family&quot;:&quot;Sersli&quot;,&quot;given&quot;:&quot;Stephanie&quot;,&quot;parse-names&quot;:false,&quot;dropping-particle&quot;:&quot;&quot;,&quot;non-dropping-particle&quot;:&quot;&quot;}],&quot;container-title&quot;:&quot;Transportation Research Part A: Policy and Practice&quot;,&quot;container-title-short&quot;:&quot;Transp. Res. Part A Policy Pract.&quot;,&quot;DOI&quot;:&quot;10.1016/j.tra.2020.02.014&quot;,&quot;ISSN&quot;:&quot;09658564&quot;,&quot;issued&quot;:{&quot;date-parts&quot;:[[2020,4,1]]},&quot;page&quot;:&quot;336-347&quot;,&quot;abstract&quot;:&quot;Mobilities of care, the travel required to meet one and others’ household needs such as shopping, running errands, or escorting children, are often understood as difficult to complete by bicycle because they tend to involve transporting goods or people. Because women tend to complete more unpaid household labour than men, the bicycle's assumed incompatibility with household-serving travel has been suggested as a possible explanation for the gender-gap in cycling within low-cycling cities. However, the ways in which people use the bicycle to complete this form of travel in low-cycling cities has yet to be studied. Drawing on semi-structured interviews with residents of Toronto, Canada, who are new to cycling, this paper addresses this knowledge gap by providing a detailed account of how cyclists use their bicycles to complete mobilities of care. Results indicate that traveling with children and grocery shopping in bulk is generally considered difficult by bicycle. Buying small amounts of groceries and trip-chaining, however, was usually perceived as convenient. This paper also frames participants’ experiences completing this gendered travel by bicycle using social practice theory to demonstrate how even difficult household serving trips are possible by bicycle when people are equipped with certain meanings, competencies, and materials. This paper contributes to the cycling literature by demonstrating the ways in which people use bicycles to complete gendered mobilities of care in a low-cycling city. By highlighting the challenges people face, as well as they ways in which some people overcome these challenges, it also points to possible policy interventions that could encourage city cycling.&quot;,&quot;publisher&quot;:&quot;Elsevier Ltd&quot;,&quot;volume&quot;:&quot;134&quot;},&quot;isTemporary&quot;:false},{&quot;id&quot;:&quot;c4d65c6e-7cf4-3d7c-9e55-4e3d1d71bcae&quot;,&quot;itemData&quot;:{&quot;type&quot;:&quot;article-journal&quot;,&quot;id&quot;:&quot;c4d65c6e-7cf4-3d7c-9e55-4e3d1d71bcae&quot;,&quot;title&quot;:&quot;A systematic literature review on women’s daily mobility in the Global North&quot;,&quot;author&quot;:[{&quot;family&quot;:&quot;D’Agostino&quot;,&quot;given&quot;:&quot;Cecilia&quot;,&quot;parse-names&quot;:false,&quot;dropping-particle&quot;:&quot;&quot;,&quot;non-dropping-particle&quot;:&quot;&quot;},{&quot;family&quot;:&quot;Piva&quot;,&quot;given&quot;:&quot;Evila&quot;,&quot;parse-names&quot;:false,&quot;dropping-particle&quot;:&quot;&quot;,&quot;non-dropping-particle&quot;:&quot;&quot;},{&quot;family&quot;:&quot;Pucci&quot;,&quot;given&quot;:&quot;Paola&quot;,&quot;parse-names&quot;:false,&quot;dropping-particle&quot;:&quot;&quot;,&quot;non-dropping-particle&quot;:&quot;&quot;},{&quot;family&quot;:&quot;Rossi&quot;,&quot;given&quot;:&quot;Cristina&quot;,&quot;parse-names&quot;:false,&quot;dropping-particle&quot;:&quot;&quot;,&quot;non-dropping-particle&quot;:&quot;&quot;}],&quot;container-title&quot;:&quot;Transport Reviews&quot;,&quot;container-title-short&quot;:&quot;Transp. Rev.&quot;,&quot;DOI&quot;:&quot;10.1080/01441647.2024.2350613&quot;,&quot;ISSN&quot;:&quot;14645327&quot;,&quot;issued&quot;:{&quot;date-parts&quot;:[[2024]]},&quot;page&quot;:&quot;1016-1044&quot;,&quot;abstract&quot;:&quot;Since the early 1980s, the differences between the daily mobility patterns of men and women have attracted increasing interest from scholars and policymakers. Academic literature has revealed that women in advanced countries tend to travel shorter distances, make more daily trips, use cars less frequently, and are more willing to adopt sustainable travel behaviours than men. However, with changing family and labour market conditions, new trends are emerging, which open avenues for further investigation. Based on these premises, this study systematically reviews recent studies on women’s daily mobility across urban and peri-urban areas of the Global North. The studies published in the last ten years are systematized by developing an analytical framework that facilitates synthesising research findings, identifying research gaps, outlining directions for further studies in the field, and providing insights to policymakers to design initiatives for fair and inclusive mobility.&quot;,&quot;publisher&quot;:&quot;Routledge&quot;,&quot;issue&quot;:&quot;5&quot;,&quot;volume&quot;:&quot;44&quot;},&quot;isTemporary&quot;:false}]},{&quot;citationID&quot;:&quot;MENDELEY_CITATION_d6049671-4a80-4147-aa85-1e277da25628&quot;,&quot;properties&quot;:{&quot;noteIndex&quot;:0},&quot;isEdited&quot;:false,&quot;manualOverride&quot;:{&quot;isManuallyOverridden&quot;:false,&quot;citeprocText&quot;:&quot;(Buehler et al., 2024)&quot;,&quot;manualOverrideText&quot;:&quot;&quot;},&quot;citationTag&quot;:&quot;MENDELEY_CITATION_v3_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&quot;,&quot;citationItems&quot;:[{&quot;id&quot;:&quot;a77dc727-cecf-3f0b-bb36-8792c7284808&quot;,&quot;itemData&quot;:{&quot;type&quot;:&quot;article-journal&quot;,&quot;id&quot;:&quot;a77dc727-cecf-3f0b-bb36-8792c7284808&quot;,&quot;title&quot;:&quot;Trends and determinants of the mobility of older adults in the USA and Germany, 2001–2017&quot;,&quot;author&quot;:[{&quot;family&quot;:&quot;Buehler&quot;,&quot;given&quot;:&quot;Ralph&quot;,&quot;parse-names&quot;:false,&quot;dropping-particle&quot;:&quot;&quot;,&quot;non-dropping-particle&quot;:&quot;&quot;},{&quot;family&quot;:&quot;Pucher&quot;,&quot;given&quot;:&quot;John&quot;,&quot;parse-names&quot;:false,&quot;dropping-particle&quot;:&quot;&quot;,&quot;non-dropping-particle&quot;:&quot;&quot;},{&quot;family&quot;:&quot;Wittwer&quot;,&quot;given&quot;:&quot;Rico&quot;,&quot;parse-names&quot;:false,&quot;dropping-particle&quot;:&quot;&quot;,&quot;non-dropping-particle&quot;:&quot;&quot;},{&quot;family&quot;:&quot;Gerike&quot;,&quot;given&quot;:&quot;Regine&quot;,&quot;parse-names&quot;:false,&quot;dropping-particle&quot;:&quot;&quot;,&quot;non-dropping-particle&quot;:&quot;&quot;}],&quot;container-title&quot;:&quot;Transportation Research Part A: Policy and Practice&quot;,&quot;container-title-short&quot;:&quot;Transp. Res. Part A Policy Pract.&quot;,&quot;DOI&quot;:&quot;10.1016/j.tra.2024.104065&quot;,&quot;ISSN&quot;:&quot;09658564&quot;,&quot;issued&quot;:{&quot;date-parts&quot;:[[2024,5,1]]},&quot;abstract&quot;:&quot;Using the 2001 and 2017 National Household Travel Surveys (NHTS) for the USA and the 2002 and 2017 Mobility in Germany Surveys (MiD) for Germany, this paper examines differences between the two countries in the travel behavior of older adults and to what extent it has changed between 2001/2002 and 2017. We use five mobility indicators to portray the travel behavior of older adults: whether or not a trip is made at all on the survey day (i.e., mobile or not); number of trips per day for mobile individuals; km of travel per day for mobile individuals; modal distribution of trips; and trip purpose. In analyzing the travel behavior of older adults, we grouped them into 5-year age categories: from 60–64, 65–69, 70–74, 75–79, and then 80+ years. In addition to a descriptive, graphical analysis, we employ multi-level multiple regression analysis to examine factors that may affect the mobility of older adults. Mobility levels generally declined with increasing age in both countries in both years, but the declines were gradual, except for a steep drop for the 80+ age group. Mobility levels in 2001 were generally higher for all age groups in the USA than in Germany, especially for older adults. By 2017, however, the gap between the two countries diminished because mobility increased more for all age groups in Germany than in the USA from 2001/2002 to 2017. Indeed, Germans of all age groups in 2017 were more likely than Americans to make at least one trip during their travel day. The largest increases in mobility in both countries were for the oldest age categories (75–79 and 80+). From 2002 to 2017, the share of car trips among older adults in Germany rose considerably, while it fell slightly in the USA from 2001 to 2017. Nevertheless, car dependence among the oldest adults in 2017 was still twice as high in the USA as in Germany. One reason for Germany's lower modal share of driving is that the transport system in Germany offers far more attractive alternatives to car use than in the USA, while policies at every government level make car ownership, parking and use more expensive and more difficult than in the USA.&quot;,&quot;publisher&quot;:&quot;Elsevier Ltd&quot;,&quot;volume&quot;:&quot;183&quot;},&quot;isTemporary&quot;:false,&quot;suppress-author&quot;:false,&quot;composite&quot;:false,&quot;author-only&quot;:false}]},{&quot;citationID&quot;:&quot;MENDELEY_CITATION_37b64251-9e3f-45db-b201-b3ec8d0c69df&quot;,&quot;properties&quot;:{&quot;noteIndex&quot;:0},&quot;isEdited&quot;:false,&quot;manualOverride&quot;:{&quot;isManuallyOverridden&quot;:false,&quot;citeprocText&quot;:&quot;(Sahlqvist et al., 2012)&quot;,&quot;manualOverrideText&quot;:&quot;&quot;},&quot;citationTag&quot;:&quot;MENDELEY_CITATION_v3_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&quot;,&quot;citationItems&quot;:[{&quot;id&quot;:&quot;3c649e68-e0db-3517-8b18-b3547eb21b94&quot;,&quot;itemData&quot;:{&quot;type&quot;:&quot;article-journal&quot;,&quot;id&quot;:&quot;3c649e68-e0db-3517-8b18-b3547eb21b94&quot;,&quot;title&quot;:&quot;Is active travel associated with greater physical activity? The contribution of commuting and non-commuting active travel to total physical activity in adults&quot;,&quot;author&quot;:[{&quot;family&quot;:&quot;Sahlqvist&quot;,&quot;given&quot;:&quot;Shannon&quot;,&quot;parse-names&quot;:false,&quot;dropping-particle&quot;:&quot;&quot;,&quot;non-dropping-particle&quot;:&quot;&quot;},{&quot;family&quot;:&quot;Song&quot;,&quot;given&quot;:&quot;Yena&quot;,&quot;parse-names&quot;:false,&quot;dropping-particle&quot;:&quot;&quot;,&quot;non-dropping-particle&quot;:&quot;&quot;},{&quot;family&quot;:&quot;Ogilvie&quot;,&quot;given&quot;:&quot;David&quot;,&quot;parse-names&quot;:false,&quot;dropping-particle&quot;:&quot;&quot;,&quot;non-dropping-particle&quot;:&quot;&quot;}],&quot;container-title&quot;:&quot;Preventive Medicine&quot;,&quot;container-title-short&quot;:&quot;Prev. Med. (Baltim).&quot;,&quot;DOI&quot;:&quot;10.1016/j.ypmed.2012.06.028&quot;,&quot;ISSN&quot;:&quot;00917435&quot;,&quot;PMID&quot;:&quot;22796629&quot;,&quot;issued&quot;:{&quot;date-parts&quot;:[[2012,9]]},&quot;page&quot;:&quot;206-211&quot;,&quot;abstract&quot;:&quot;Background: To complement findings that active travel reduces the risk of morbidity and mortality from chronic diseases, an understanding of the mechanisms through which active travel may lead to improved health is required. Purpose: The aim of this study is to examine the descriptive epidemiology of all active travel and its associations with recreational and total physical activity in a sample of adults in the UK. Methods: In April 2010, data were collected from 3516 adults as part of the baseline survey for the iConnect study in the UK. Travel and recreational physical activity were assessed using detailed seven-day recall instruments. Linear regression analyses, controlling for demographic characteristics, examined associations between active travel, defined as any walking and cycling for transport, and recreational and total physical activity. Results: 65% of respondents (mean age 50.5. years) reported some form of active travel, accumulating an average of 195. min/week (standard deviation = 188.6). There were no differences in the recreational physical activity levels of respondents by travel mode category. Adults who used active travel did however report significantly higher total physical activity than those who did not. Conclusions: Substantial physical activity can be accumulated through active travel which also contributes to greater total physical activity. © 2012 Elsevier Inc.&quot;,&quot;issue&quot;:&quot;3&quot;,&quot;volume&quot;:&quot;55&quot;},&quot;isTemporary&quot;:false,&quot;suppress-author&quot;:false,&quot;composite&quot;:false,&quot;author-only&quot;:false}]},{&quot;citationID&quot;:&quot;MENDELEY_CITATION_efc9c122-3243-4f7a-94ca-40c3f348f045&quot;,&quot;properties&quot;:{&quot;noteIndex&quot;:0},&quot;isEdited&quot;:false,&quot;manualOverride&quot;:{&quot;isManuallyOverridden&quot;:false,&quot;citeprocText&quot;:&quot;(Jones et al., 2018)&quot;,&quot;manualOverrideText&quot;:&quot;&quot;},&quot;citationTag&quot;:&quot;MENDELEY_CITATION_v3_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&quot;,&quot;citationItems&quot;:[{&quot;id&quot;:&quot;c92f69be-813e-3f68-aa7f-9258a91cb98e&quot;,&quot;itemData&quot;:{&quot;type&quot;:&quot;article-journal&quot;,&quot;id&quot;:&quot;c92f69be-813e-3f68-aa7f-9258a91cb98e&quot;,&quot;title&quot;:&quot;Correlates of changes in walking during the retirement transition: The Multi-Ethnic Study of Atherosclerosis&quot;,&quot;author&quot;:[{&quot;family&quot;:&quot;Jones&quot;,&quot;given&quot;:&quot;Sydney A.&quot;,&quot;parse-names&quot;:false,&quot;dropping-particle&quot;:&quot;&quot;,&quot;non-dropping-particle&quot;:&quot;&quot;},{&quot;family&quot;:&quot;Li&quot;,&quot;given&quot;:&quot;Quefeng&quot;,&quot;parse-names&quot;:false,&quot;dropping-particle&quot;:&quot;&quot;,&quot;non-dropping-particle&quot;:&quot;&quot;},{&quot;family&quot;:&quot;Aiello&quot;,&quot;given&quot;:&quot;Allison E.&quot;,&quot;parse-names&quot;:false,&quot;dropping-particle&quot;:&quot;&quot;,&quot;non-dropping-particle&quot;:&quot;&quot;},{&quot;family&quot;:&quot;O'Rand&quot;,&quot;given&quot;:&quot;Angela M.&quot;,&quot;parse-names&quot;:false,&quot;dropping-particle&quot;:&quot;&quot;,&quot;non-dropping-particle&quot;:&quot;&quot;},{&quot;family&quot;:&quot;Evenson&quot;,&quot;given&quot;:&quot;Kelly R.&quot;,&quot;parse-names&quot;:false,&quot;dropping-particle&quot;:&quot;&quot;,&quot;non-dropping-particle&quot;:&quot;&quot;}],&quot;container-title&quot;:&quot;Preventive Medicine Reports&quot;,&quot;container-title-short&quot;:&quot;Prev. Med. Rep.&quot;,&quot;DOI&quot;:&quot;10.1016/j.pmedr.2018.07.002&quot;,&quot;ISSN&quot;:&quot;22113355&quot;,&quot;issued&quot;:{&quot;date-parts&quot;:[[2018,9,1]]},&quot;page&quot;:&quot;221-230&quot;,&quot;abstract&quot;:&quot;Retirement from employment involves disruption in daily routines and has been associated with positive and negative changes in physical activity. Walking is the most common physical activity among older Americans. The factors that influence changes in walking after retirement are unknown. The study objective was to identify correlates of within-person change in recreational walking (for leisure) and transport walking (to get places) during the retirement transition among a multi-ethnic cohort of adults (N = 928) from six US communities. Correlates were measured at the individual (e.g., gender), interpersonal (e.g., social support), and community (e.g., density of walking destinations) levels at study exams between 2000 and 2012. Comparing pre- and post-retirement measures (average 4.5 years apart), 50% of participants increased recreational walking by 60 min or more per week, 31% decreased by 60 min or more per week, and 19% maintained their recreational walking. Forty-one percent of participants increased transport walking by 60 min or more per week, 40% decreased by 60 min or more per week, and 19% maintained their transport walking after retirement. Correlates differed for recreational and transport walking and for increases compared to decreases in walking. Self-rated health, chronic conditions, and perceptions of the neighborhood walking environment were associated with changes in both types of walking after retirement. Further, some correlates differed by gender and retirement age. Findings can inform the targeting of interventions to promote walking during the retirement transition.&quot;,&quot;publisher&quot;:&quot;Elsevier Inc.&quot;,&quot;volume&quot;:&quot;11&quot;},&quot;isTemporary&quot;:false,&quot;suppress-author&quot;:false,&quot;composite&quot;:false,&quot;author-only&quot;:false}]},{&quot;citationID&quot;:&quot;MENDELEY_CITATION_00eb6039-f8ed-4ae1-8eed-21205562ffa0&quot;,&quot;properties&quot;:{&quot;noteIndex&quot;:0},&quot;isEdited&quot;:false,&quot;manualOverride&quot;:{&quot;isManuallyOverridden&quot;:false,&quot;citeprocText&quot;:&quot;(Cerin et al., 2009; Hudde, 2024)&quot;,&quot;manualOverrideText&quot;:&quot;&quot;},&quot;citationTag&quot;:&quot;MENDELEY_CITATION_v3_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&quot;,&quot;citationItems&quot;:[{&quot;id&quot;:&quot;e784dd9c-cdef-35ff-a5a2-06f87fe0974f&quot;,&quot;itemData&quot;:{&quot;type&quot;:&quot;article-journal&quot;,&quot;id&quot;:&quot;e784dd9c-cdef-35ff-a5a2-06f87fe0974f&quot;,&quot;title&quot;:&quot;Explaining socio-economic status differences in walking for transport: An ecological analysis of individual, social and environmental factors&quot;,&quot;author&quot;:[{&quot;family&quot;:&quot;Cerin&quot;,&quot;given&quot;:&quot;Ester&quot;,&quot;parse-names&quot;:false,&quot;dropping-particle&quot;:&quot;&quot;,&quot;non-dropping-particle&quot;:&quot;&quot;},{&quot;family&quot;:&quot;Leslie&quot;,&quot;given&quot;:&quot;Eva&quot;,&quot;parse-names&quot;:false,&quot;dropping-particle&quot;:&quot;&quot;,&quot;non-dropping-particle&quot;:&quot;&quot;},{&quot;family&quot;:&quot;Owen&quot;,&quot;given&quot;:&quot;Neville&quot;,&quot;parse-names&quot;:false,&quot;dropping-particle&quot;:&quot;&quot;,&quot;non-dropping-particle&quot;:&quot;&quot;}],&quot;container-title&quot;:&quot;Social Science and Medicine&quot;,&quot;container-title-short&quot;:&quot;Soc. Sci. Med.&quot;,&quot;DOI&quot;:&quot;10.1016/j.socscimed.2009.01.008&quot;,&quot;ISSN&quot;:&quot;02779536&quot;,&quot;PMID&quot;:&quot;19193480&quot;,&quot;issued&quot;:{&quot;date-parts&quot;:[[2009,3]]},&quot;page&quot;:&quot;1013-1020&quot;,&quot;abstract&quot;:&quot;The identification of potential mechanisms of influence (mediators) of socio-economic status (SES) on walking for transport is important, because the likely opposing forces of influence may obscure pathways for intervention across different SES groups. This study examined individual, and perceived social and physical environmental mediators of the relations of individual- and area-level SES with walking for transport. Two mailed surveys, six months apart, collected data on transport-related walking and its hypothesized individual, social and environmental correlates. The sample consisted of 2194 English-speaking adults (aged 20-65) living in 154 Census Collection Districts (CCDs) of Adelaide, Australia. Individual-level SES was assessed using data on self-reported educational attainment, household income, and household size. Area-level SES was assessed using census data on median household income and household size for each selected CCD. Bootstrap generalized linear models examined associations between SES, potential mediators, and total weekly minutes and frequency of walking for transport. The product-of-coefficient test was used to assess mediating effects. Individual, social-environmental, and physical environmental factors significantly contributed to the explanation of the relations between SES and transport-related walking frequency. Educational attainment and area- and individual-level income played independent roles in explaining frequency of walking for transport, through opposing common and distinct pathways. While engagement in leisure-time physical activity was the most influential mediator of the association between educational attainment and frequency of walking for transport, the number of motorized vehicles and perceived levels of environmental aesthetics and greenery were the strongest mediators of the relations of frequency of transport-related walking with individual- and area-level income, respectively. Environmental interventions aimed at increasing residential density, reducing physical barriers to walking and traffic load, developing social-support networks, and creating greener and more aesthetically pleasing environments in more-disadvantaged areas may help to reduce SES inequalities in participation in physical activity, by facilitating walking for transport. © 2009 Elsevier Ltd. All rights reserved.&quot;,&quot;issue&quot;:&quot;6&quot;,&quot;volume&quot;:&quot;68&quot;},&quot;isTemporary&quot;:false},{&quot;id&quot;:&quot;775f98c9-718d-361a-999c-02236f784e7d&quot;,&quot;itemData&quot;:{&quot;type&quot;:&quot;article-journal&quot;,&quot;id&quot;:&quot;775f98c9-718d-361a-999c-02236f784e7d&quot;,&quot;title&quot;:&quot;Have cycling-friendly cities achieved cycling equity? Analyses of the educational gradient in cycling in Dutch and German cities&quot;,&quot;author&quot;:[{&quot;family&quot;:&quot;Hudde&quot;,&quot;given&quot;:&quot;Ansgar&quot;,&quot;parse-names&quot;:false,&quot;dropping-particle&quot;:&quot;&quot;,&quot;non-dropping-particle&quot;:&quot;&quot;}],&quot;container-title&quot;:&quot;Urban Studies&quot;,&quot;DOI&quot;:&quot;10.1177/00420980231172313&quot;,&quot;ISSN&quot;:&quot;1360063X&quot;,&quot;issued&quot;:{&quot;date-parts&quot;:[[2024,1,1]]},&quot;page&quot;:&quot;78-94&quot;,&quot;abstract&quot;:&quot;In German cities, higher levels of education increase people’s propensity to cycle. However, it remains unknown whether this effect is restricted to certain contexts, such as cities with low or medium cycling rates, or whether it is a more universal occurrence. This paper develops and tests competing hypotheses on how the effect of education on cycling might depend on the overall cycling level: (a) educational inequalities in cycling could increase proportionally with the overall cycling level or (b) such inequalities might diminish in high-cycling cities because their advanced pro-cycling mobility cultures encourage cycling among all social groups. I analyse about 150,000 trips made by about 50,000 residents from 143 cities in the Netherlands and Germany using multilevel regression models. Results fall in between the competing hypotheses, meaning that the effect of education is similarly large in cities with low, medium, or high overall levels of cycling. Hence, there is no automatism in the sense that higher cycling shares in general will also imply greater cycling equity.&quot;,&quot;publisher&quot;:&quot;SAGE Publications Ltd&quot;,&quot;issue&quot;:&quot;1&quot;,&quot;volume&quot;:&quot;61&quot;,&quot;container-title-short&quot;:&quot;&quot;},&quot;isTemporary&quot;:false}]},{&quot;citationID&quot;:&quot;MENDELEY_CITATION_85bc6652-fd80-42b1-8dba-70edce23ffed&quot;,&quot;properties&quot;:{&quot;noteIndex&quot;:0},&quot;isEdited&quot;:false,&quot;manualOverride&quot;:{&quot;isManuallyOverridden&quot;:true,&quot;citeprocText&quot;:&quot;(Adjaye-Gbewonyo &amp;#38; Briones, 2024; Grengs, 2025)&quot;,&quot;manualOverrideText&quot;:&quot;(Adjaye-Gbewonyo and Briones, 2024; Grengs, 2025)&quot;},&quot;citationTag&quot;:&quot;MENDELEY_CITATION_v3_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&quot;,&quot;citationItems&quot;:[{&quot;id&quot;:&quot;890c02fa-4304-3c4f-a412-55e62ff42d9a&quot;,&quot;itemData&quot;:{&quot;type&quot;:&quot;article-journal&quot;,&quot;id&quot;:&quot;890c02fa-4304-3c4f-a412-55e62ff42d9a&quot;,&quot;title&quot;:&quot;Who walks most? Uncovering racial disparities in walking in the United States&quot;,&quot;author&quot;:[{&quot;family&quot;:&quot;Grengs&quot;,&quot;given&quot;:&quot;Joe&quot;,&quot;parse-names&quot;:false,&quot;dropping-particle&quot;:&quot;&quot;,&quot;non-dropping-particle&quot;:&quot;&quot;}],&quot;container-title&quot;:&quot;Cities &amp; Health&quot;,&quot;container-title-short&quot;:&quot;Cities Health&quot;,&quot;accessed&quot;:{&quot;date-parts&quot;:[[2026,7,1]]},&quot;DOI&quot;:&quot;10.1080/23748834.2025.2513779&quot;,&quot;ISSN&quot;:&quot;23748834&quot;,&quot;URL&quot;:&quot;https://www.tandfonline.com/doi/pdf/10.1080/23748834.2025.2513779&quot;,&quot;issued&quot;:{&quot;date-parts&quot;:[[2025,6,14]]},&quot;abstract&quot;:&quot;Conceptual explanations for why walking behavior might differ by race suggest two sets of counteracting influences. On the one hand, to the extent that racial and ethnic minorities tend to live in ...&quot;,&quot;publisher&quot;:&quot;Routledge&quot;},&quot;isTemporary&quot;:false},{&quot;id&quot;:&quot;084bd487-d108-380f-8b3d-1977e647387f&quot;,&quot;itemData&quot;:{&quot;type&quot;:&quot;article-journal&quot;,&quot;id&quot;:&quot;084bd487-d108-380f-8b3d-1977e647387f&quot;,&quot;title&quot;:&quot;Walking for Leisure and Transportation Among Adults: United States, 2022&quot;,&quot;author&quot;:[{&quot;family&quot;:&quot;Adjaye-Gbewonyo&quot;,&quot;given&quot;:&quot;Dzifa&quot;,&quot;parse-names&quot;:false,&quot;dropping-particle&quot;:&quot;&quot;,&quot;non-dropping-particle&quot;:&quot;&quot;},{&quot;family&quot;:&quot;Briones&quot;,&quot;given&quot;:&quot;Elizabeth M.&quot;,&quot;parse-names&quot;:false,&quot;dropping-particle&quot;:&quot;&quot;,&quot;non-dropping-particle&quot;:&quot;&quot;}],&quot;container-title&quot;:&quot;NCHS data brief&quot;,&quot;accessed&quot;:{&quot;date-parts&quot;:[[2026,7,1]]},&quot;DOI&quot;:&quot;10.15620/cdc/158783&quot;,&quot;ISSN&quot;:&quot;19414935&quot;,&quot;PMID&quot;:&quot;40048487&quot;,&quot;issued&quot;:{&quot;date-parts&quot;:[[2024,7,1]]},&quot;abstract&quot;:&quot;Introduction: This report uses data from the 2022 National Health Interview Survey to describe the percentage of adults who walked for leisure and transportation in the past 7 days by selected sociodemographic characteristics. Methods: Point estimates and corresponding confidence intervals for this analysis were calculated using SAS-callable SUDAAN software to account for the complex sample design of the National Health Interview Survey. Differences between percentages were evaluated using two-sided significance tests at the 0.05 level. Linear and quadratic trends by age group, family income, and education were evaluated using orthogonal polynomials. Key findings: In 2022, 58.7% of adults walked for leisure in the past 7 days, with a higher prevalence among Asian non-Hispanic adults than Black non-Hispanic, other and multiple-race non-Hispanic, and Hispanic adults. Walking for leisure increased with increasing family income and education level. In 2022, 16.2% of adults walked for transportation; men (17.3%) were more likely than women (15.0%) to walk for transportation.&quot;,&quot;issue&quot;:&quot;504&quot;,&quot;container-title-short&quot;:&quot;NCHS Data Brief&quot;},&quot;isTemporary&quot;:false}]},{&quot;citationID&quot;:&quot;MENDELEY_CITATION_4fe64bac-3f0a-40e6-a338-18a01170414f&quot;,&quot;properties&quot;:{&quot;noteIndex&quot;:0},&quot;isEdited&quot;:false,&quot;manualOverride&quot;:{&quot;isManuallyOverridden&quot;:true,&quot;citeprocText&quot;:&quot;(Beliveau et al., 2026; Goddard et al., 2015; Ingram et al., 2017)&quot;,&quot;manualOverrideText&quot;:&quot;(Goddard et al., 2015; Ingram et al., 2017; Beliveau et al., 2026)&quot;},&quot;citationTag&quot;:&quot;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&quot;,&quot;citationItems&quot;:[{&quot;id&quot;:&quot;7dbe7278-73b5-34e3-bf55-5a0dc0c8ef09&quot;,&quot;itemData&quot;:{&quot;type&quot;:&quot;article-journal&quot;,&quot;id&quot;:&quot;7dbe7278-73b5-34e3-bf55-5a0dc0c8ef09&quot;,&quot;title&quot;:&quot;Racial bias in driver yielding behavior at crosswalks&quot;,&quot;author&quot;:[{&quot;family&quot;:&quot;Goddard&quot;,&quot;given&quot;:&quot;Tara&quot;,&quot;parse-names&quot;:false,&quot;dropping-particle&quot;:&quot;&quot;,&quot;non-dropping-particle&quot;:&quot;&quot;},{&quot;family&quot;:&quot;Kahn&quot;,&quot;given&quot;:&quot;Kimberly Barsamian&quot;,&quot;parse-names&quot;:false,&quot;dropping-particle&quot;:&quot;&quot;,&quot;non-dropping-particle&quot;:&quot;&quot;},{&quot;family&quot;:&quot;Adkins&quot;,&quot;given&quot;:&quot;Arlie&quot;,&quot;parse-names&quot;:false,&quot;dropping-particle&quot;:&quot;&quot;,&quot;non-dropping-particle&quot;:&quot;&quot;}],&quot;container-title&quot;:&quot;Transportation Research Part F: Traffic Psychology and Behaviour&quot;,&quot;container-title-short&quot;:&quot;Transp. Res. Part F Traffic Psychol. Behav.&quot;,&quot;DOI&quot;:&quot;10.1016/j.trf.2015.06.002&quot;,&quot;ISSN&quot;:&quot;13698478&quot;,&quot;issued&quot;:{&quot;date-parts&quot;:[[2015,6,29]]},&quot;page&quot;:&quot;1-6&quot;,&quot;abstract&quot;:&quot;Psychological and social identity-related factors have been shown to influence drivers' behaviors toward pedestrians, but no previous studies have examined the potential for drivers' racial bias to impact yielding behavior with pedestrians. If drivers' yielding behavior results in differential behavior toward Black and White pedestrians, this may lead to disparate pedestrian crossing experiences based on race and potentially contribute to disproportionate safety outcomes for minorities. We tested the hypothesis that drivers' yielding behavior is influenced by pedestrians' race in a controlled field experiment at an unsignalized midblock marked crosswalk in downtown Portland, Oregon. Six trained male research team participants (3 White, 3 Black) simulated an individual pedestrian crossing, while trained observers cataloged the number of cars that passed and the time until a driver yielded. Results (88 pedestrian trials, 173 driver-subjects) revealed that Black pedestrians were passed by twice as many cars and experienced wait times that were 32% longer than White pedestrians. Results support the hypothesis that minority pedestrians experience discriminatory treatment by drivers at crosswalks.&quot;,&quot;publisher&quot;:&quot;Elsevier Ltd&quot;,&quot;volume&quot;:&quot;33&quot;},&quot;isTemporary&quot;:false},{&quot;id&quot;:&quot;597198e6-9c0e-34ea-941a-53633d603eca&quot;,&quot;itemData&quot;:{&quot;type&quot;:&quot;article-journal&quot;,&quot;id&quot;:&quot;597198e6-9c0e-34ea-941a-53633d603eca&quot;,&quot;title&quot;:&quot;Sociocultural perceptions of walkability in Mexican American neighborhoods: Implications for policy and practice&quot;,&quot;author&quot;:[{&quot;family&quot;:&quot;Ingram&quot;,&quot;given&quot;:&quot;Maia&quot;,&quot;parse-names&quot;:false,&quot;dropping-particle&quot;:&quot;&quot;,&quot;non-dropping-particle&quot;:&quot;&quot;},{&quot;family&quot;:&quot;Adkins&quot;,&quot;given&quot;:&quot;Arlie&quot;,&quot;parse-names&quot;:false,&quot;dropping-particle&quot;:&quot;&quot;,&quot;non-dropping-particle&quot;:&quot;&quot;},{&quot;family&quot;:&quot;Hansen&quot;,&quot;given&quot;:&quot;Krista&quot;,&quot;parse-names&quot;:false,&quot;dropping-particle&quot;:&quot;&quot;,&quot;non-dropping-particle&quot;:&quot;&quot;},{&quot;family&quot;:&quot;Cascio&quot;,&quot;given&quot;:&quot;Vanessa&quot;,&quot;parse-names&quot;:false,&quot;dropping-particle&quot;:&quot;&quot;,&quot;non-dropping-particle&quot;:&quot;&quot;},{&quot;family&quot;:&quot;Somnez&quot;,&quot;given&quot;:&quot;Evren&quot;,&quot;parse-names&quot;:false,&quot;dropping-particle&quot;:&quot;&quot;,&quot;non-dropping-particle&quot;:&quot;&quot;}],&quot;container-title&quot;:&quot;Journal of Transport and Health&quot;,&quot;container-title-short&quot;:&quot;J. Transp. Health&quot;,&quot;DOI&quot;:&quot;10.1016/j.jth.2017.10.001&quot;,&quot;ISSN&quot;:&quot;22141405&quot;,&quot;issued&quot;:{&quot;date-parts&quot;:[[2017,12,1]]},&quot;page&quot;:&quot;172-180&quot;,&quot;publisher&quot;:&quot;Elsevier Ltd&quot;,&quot;volume&quot;:&quot;7&quot;},&quot;isTemporary&quot;:false},{&quot;id&quot;:&quot;f826386b-e173-3ed8-8195-ffe2ebcf1ffa&quot;,&quot;itemData&quot;:{&quot;type&quot;:&quot;article-journal&quot;,&quot;id&quot;:&quot;f826386b-e173-3ed8-8195-ffe2ebcf1ffa&quot;,&quot;title&quot;:&quot;Disparities in pedestrian crossing and driver yielding behaviors: evidence from a large-scale observational study at urban intersections&quot;,&quot;author&quot;:[{&quot;family&quot;:&quot;Beliveau&quot;,&quot;given&quot;:&quot;Anna E.&quot;,&quot;parse-names&quot;:false,&quot;dropping-particle&quot;:&quot;&quot;,&quot;non-dropping-particle&quot;:&quot;&quot;},{&quot;family&quot;:&quot;Haddad&quot;,&quot;given&quot;:&quot;Angela J.&quot;,&quot;parse-names&quot;:false,&quot;dropping-particle&quot;:&quot;&quot;,&quot;non-dropping-particle&quot;:&quot;&quot;},{&quot;family&quot;:&quot;Podnar&quot;,&quot;given&quot;:&quot;Emily A.&quot;,&quot;parse-names&quot;:false,&quot;dropping-particle&quot;:&quot;&quot;,&quot;non-dropping-particle&quot;:&quot;&quot;},{&quot;family&quot;:&quot;Sharma&quot;,&quot;given&quot;:&quot;Devina&quot;,&quot;parse-names&quot;:false,&quot;dropping-particle&quot;:&quot;&quot;,&quot;non-dropping-particle&quot;:&quot;&quot;},{&quot;family&quot;:&quot;Bhat&quot;,&quot;given&quot;:&quot;Chandra R.&quot;,&quot;parse-names&quot;:false,&quot;dropping-particle&quot;:&quot;&quot;,&quot;non-dropping-particle&quot;:&quot;&quot;}],&quot;container-title&quot;:&quot;Accident Analysis and Prevention&quot;,&quot;container-title-short&quot;:&quot;Accid. Anal. Prev.&quot;,&quot;DOI&quot;:&quot;10.1016/j.aap.2026.108465&quot;,&quot;ISSN&quot;:&quot;18792057&quot;,&quot;PMID&quot;:&quot;41722203&quot;,&quot;issued&quot;:{&quot;date-parts&quot;:[[2026,6,1]]},&quot;page&quot;:&quot;108465&quot;,&quot;abstract&quot;:&quot;Pedestrian safety remains a critical challenge in urban environments, marked by rising fatalities and persistent disparities across sociodemographic groups. Uncovering the drivers of these disparities requires a deeper understanding of both pedestrian and driver behaviors. This study examines how individual attributes, social context, and time-of-day/weather conditions shape pedestrian crossing and driver yielding decisions. We analyzed over 1,000 hours of video footage from two intersections in Austin, Texas, documenting over 20,995 pedestrian crossings and 3,124 pedestrian-vehicle interactions. Manual annotation of this footage enabled the estimation of two binary logit models: one predicting non-compliant pedestrian crossings (NCPC) and the other predicting driver unyielding (DUY) (that is, driver failure to yield to pedestrians). The results indicate that male pedestrians, Black pedestrians, those displaying visible signs of housing insecurity (VHI), and individuals crossing solo are significantly more likely to cross non‑compliantly and to encounter lower driver‑yielding rates. Runners also exhibit higher NCPC rates than walkers, with peak non‑compliance occurring during late night and dawn periods. On the driver side, pedestrian NCPC behavior is the strongest predictor of failure to yield. DUY behavior is also more likely during morning periods and among drivers of personal (non-commercial) vehicles, and when the pedestrian in question is older, Black or Brown, and exhibits VHI. These findings highlight the importance of addressing social and behavioral factors in pedestrian safety interventions. By revealing how marginalization and context interact to shape risk, this research contributes to the transportation equity literature and supports interventions that go beyond infrastructure, such as education campaigns, bias reduction, and community-led safety initiatives.&quot;,&quot;volume&quot;:&quot;230&quot;},&quot;isTemporary&quot;:false}]},{&quot;citationID&quot;:&quot;MENDELEY_CITATION_9ae7d032-5d8a-488d-a8b6-4a919ce2693e&quot;,&quot;properties&quot;:{&quot;noteIndex&quot;:0},&quot;isEdited&quot;:false,&quot;manualOverride&quot;:{&quot;isManuallyOverridden&quot;:true,&quot;citeprocText&quot;:&quot;(Kritz et al., 2020; Ory et al., 2016)&quot;,&quot;manualOverrideText&quot;:&quot;(Ory et al., 2016; Kritz et al., 2020)&quot;},&quot;citationTag&quot;:&quot;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&quot;,&quot;citationItems&quot;:[{&quot;id&quot;:&quot;76bace43-fdb8-3d9d-860b-4761193c4bf6&quot;,&quot;itemData&quot;:{&quot;type&quot;:&quot;article-journal&quot;,&quot;id&quot;:&quot;76bace43-fdb8-3d9d-860b-4761193c4bf6&quot;,&quot;title&quot;:&quot;“It’s Better Together”: A Nested Longitudinal Study Examining the Benefits of Walking Regularly With Peers Versus Primarily Alone in Older Adults&quot;,&quot;author&quot;:[{&quot;family&quot;:&quot;Kritz&quot;,&quot;given&quot;:&quot;Marlene&quot;,&quot;parse-names&quot;:false,&quot;dropping-particle&quot;:&quot;&quot;,&quot;non-dropping-particle&quot;:&quot;&quot;},{&quot;family&quot;:&quot;Thøgersen-Ntoumani&quot;,&quot;given&quot;:&quot;Cecilie&quot;,&quot;parse-names&quot;:false,&quot;dropping-particle&quot;:&quot;&quot;,&quot;non-dropping-particle&quot;:&quot;&quot;},{&quot;family&quot;:&quot;Mullan&quot;,&quot;given&quot;:&quot;Barbara&quot;,&quot;parse-names&quot;:false,&quot;dropping-particle&quot;:&quot;&quot;,&quot;non-dropping-particle&quot;:&quot;&quot;},{&quot;family&quot;:&quot;Stathi&quot;,&quot;given&quot;:&quot;Afroditi&quot;,&quot;parse-names&quot;:false,&quot;dropping-particle&quot;:&quot;&quot;,&quot;non-dropping-particle&quot;:&quot;&quot;},{&quot;family&quot;:&quot;Ntoumanis&quot;,&quot;given&quot;:&quot;Nikos&quot;,&quot;parse-names&quot;:false,&quot;dropping-particle&quot;:&quot;&quot;,&quot;non-dropping-particle&quot;:&quot;&quot;}],&quot;container-title&quot;:&quot;Journal of Aging and Physical Activity&quot;,&quot;accessed&quot;:{&quot;date-parts&quot;:[[2026,7,1]]},&quot;DOI&quot;:&quot;10.1123/japa.2020-0091&quot;,&quot;ISSN&quot;:&quot;1063-8652&quot;,&quot;PMID&quot;:&quot;33276326&quot;,&quot;URL&quot;:&quot;https://journals.humankinetics.com/view/journals/japa/29/3/article-p455.xml&quot;,&quot;issued&quot;:{&quot;date-parts&quot;:[[2020,12,4]]},&quot;page&quot;:&quot;455-465&quot;,&quot;abstract&quot;:&quot;The authors examined whether purposeful walking with peers at least once a week contributes to better behavioral and health outcomes in older adults than primarily walking alone. The authors used a longitudinal cohort design and recruited participants aged 60 years and older (N = 136) at the start of a 16-week walking intervention. Participants who walked on average at least once a week in the final 8 weeks of the intervention were included in the analysis (N = 79; 66 females, Mage [SD] = 77.73 [6.91]). The authors found that autonomous motivation, walking self-efficacy, functional capacity, body fat, and physical activity improved more in the walking with peers group compared with the walking alone group, after controlling for whether participants lived alone/with others and their health status. The results extend current literature by providing longitudinal evidence for the added benefits of regular peer-accompanied walking in older adults and highlight the importance of investing in peer-supported interventions.&quot;,&quot;publisher&quot;:&quot;Human Kinetics&quot;,&quot;issue&quot;:&quot;3&quot;,&quot;volume&quot;:&quot;29&quot;,&quot;container-title-short&quot;:&quot;J. Aging Phys. Act.&quot;},&quot;isTemporary&quot;:false},{&quot;id&quot;:&quot;d47b4bd2-22f1-371b-affd-e9f4908da6a6&quot;,&quot;itemData&quot;:{&quot;type&quot;:&quot;article-journal&quot;,&quot;id&quot;:&quot;d47b4bd2-22f1-371b-affd-e9f4908da6a6&quot;,&quot;title&quot;:&quot;Social and environmental predictors of walking among older adults&quot;,&quot;author&quot;:[{&quot;family&quot;:&quot;Ory&quot;,&quot;given&quot;:&quot;Marcia G.&quot;,&quot;parse-names&quot;:false,&quot;dropping-particle&quot;:&quot;&quot;,&quot;non-dropping-particle&quot;:&quot;&quot;},{&quot;family&quot;:&quot;Towne&quot;,&quot;given&quot;:&quot;Samuel D.&quot;,&quot;parse-names&quot;:false,&quot;dropping-particle&quot;:&quot;&quot;,&quot;non-dropping-particle&quot;:&quot;&quot;},{&quot;family&quot;:&quot;Won&quot;,&quot;given&quot;:&quot;Jaewoong&quot;,&quot;parse-names&quot;:false,&quot;dropping-particle&quot;:&quot;&quot;,&quot;non-dropping-particle&quot;:&quot;&quot;},{&quot;family&quot;:&quot;Forjuoh&quot;,&quot;given&quot;:&quot;Samuel N.&quot;,&quot;parse-names&quot;:false,&quot;dropping-particle&quot;:&quot;&quot;,&quot;non-dropping-particle&quot;:&quot;&quot;},{&quot;family&quot;:&quot;Lee&quot;,&quot;given&quot;:&quot;Chanam&quot;,&quot;parse-names&quot;:false,&quot;dropping-particle&quot;:&quot;&quot;,&quot;non-dropping-particle&quot;:&quot;&quot;}],&quot;container-title&quot;:&quot;BMC Geriatrics 2016 16:1&quot;,&quot;accessed&quot;:{&quot;date-parts&quot;:[[2026,7,1]]},&quot;DOI&quot;:&quot;10.1186/s12877-016-0327-x&quot;,&quot;ISSN&quot;:&quot;1471-2318&quot;,&quot;PMID&quot;:&quot;27553668&quot;,&quot;URL&quot;:&quot;https://link.springer.com/article/10.1186/s12877-016-0327-x&quot;,&quot;issued&quot;:{&quot;date-parts&quot;:[[2016,8,23]]},&quot;page&quot;:&quot;155-&quot;,&quot;abstract&quot;:&quot;Regular physical activity (PA) is a major factor in maintaining health in aging populations. This study examines the influences of sociodemographic, health, and environmental characteristics on older adults’ walking behaviors, and the role physicians can play in promoting physical activity. Online and paper surveys (n = 272) were distributed to community-dwelling older (age ≥ 60) adults from a large integrated healthcare system in two counties in Central Texas. Descriptive statistics were utilized to characterize participant’s walking behaviors and places. Multivariate logistic regression was employed to predict being: 1) a frequent walker (i.e., walking at least three times a week); and 2) meeting the Centers for Disease Control and Prevention (CDC) PA recommendation through walking (i.e., walking ≥150&amp;nbsp;min per week), while considering sociodemographic, health, and environmental factors. Individuals had a median age of 69&amp;nbsp;years, were of both genders (50.37&amp;nbsp;% female), and were primarily non-Hispanic White (84.87&amp;nbsp;%). While the majority (59.55&amp;nbsp;%) walked at least three times a week, only 27.86&amp;nbsp;% walked ≥150&amp;nbsp;min a week. Factors associated with a lower likelihood of being frequent walkers included experiencing poor mental health in the past month (OR = 0.345, 95&amp;nbsp;% CI = 0.185–0.645) and residing in areas with low or moderate (versus high) perceived neighborhood cohesion (OR = 0.471, 95&amp;nbsp;% CI = 0.228–0.974), while those in Census Tracts reflecting populations with a lower median age were more likely to report frequent walking behavior (OR = 1.799, 95&amp;nbsp;% CI = 1.034–3.131). Factors associated with a lower likelihood of meeting the CDC PA recommendation included being 60–69&amp;nbsp;years (versus 70&amp;nbsp;years or older) (OR = 0.538, 95&amp;nbsp;% CI = 0.290–0.997), experiencing poor mental health in the past month (OR = 0.432, 95&amp;nbsp;% CI = 0.198–0.944), and lacking social support for walking (OR = 0.383, 95&amp;nbsp;% CI = 0.154–0.957). Given the health benefits, PA promotion must be seen as a national responsibility. In particular, physicians have a major role to play in communicating the importance of PA to their older patients and making discussions about strategies for overcoming barriers to walking an integral part of their clinical encounter with these patients.&quot;,&quot;publisher&quot;:&quot;BioMed Central&quot;,&quot;issue&quot;:&quot;1&quot;,&quot;volume&quot;:&quot;16&quot;,&quot;container-title-short&quot;:&quot;&quot;},&quot;isTemporary&quot;:false}]},{&quot;citationID&quot;:&quot;MENDELEY_CITATION_b5aa9653-bd07-43c2-b6b8-06c97bb7910d&quot;,&quot;properties&quot;:{&quot;noteIndex&quot;:0},&quot;isEdited&quot;:false,&quot;manualOverride&quot;:{&quot;isManuallyOverridden&quot;:false,&quot;citeprocText&quot;:&quot;(Hegde et al., 2025)&quot;,&quot;manualOverrideText&quot;:&quot;&quot;},&quot;citationTag&quot;:&quot;MENDELEY_CITATION_v3_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&quot;,&quot;citationItems&quot;:[{&quot;id&quot;:&quot;dfa98521-5121-3bf1-8fd5-53583bc4275e&quot;,&quot;itemData&quot;:{&quot;type&quot;:&quot;article&quot;,&quot;id&quot;:&quot;dfa98521-5121-3bf1-8fd5-53583bc4275e&quot;,&quot;title&quot;:&quot;Multi-Family Housing Environment and Physical Activity: A Systematic Review of the Literature&quot;,&quot;author&quot;:[{&quot;family&quot;:&quot;Hegde&quot;,&quot;given&quot;:&quot;Manasa Vigneshwar&quot;,&quot;parse-names&quot;:false,&quot;dropping-particle&quot;:&quot;&quot;,&quot;non-dropping-particle&quot;:&quot;&quot;},{&quot;family&quot;:&quot;Park&quot;,&quot;given&quot;:&quot;Seokyung&quot;,&quot;parse-names&quot;:false,&quot;dropping-particle&quot;:&quot;&quot;,&quot;non-dropping-particle&quot;:&quot;&quot;},{&quot;family&quot;:&quot;Zhu&quot;,&quot;given&quot;:&quot;Xuemei&quot;,&quot;parse-names&quot;:false,&quot;dropping-particle&quot;:&quot;&quot;,&quot;non-dropping-particle&quot;:&quot;&quot;},{&quot;family&quot;:&quot;Lee&quot;,&quot;given&quot;:&quot;Chanam&quot;,&quot;parse-names&quot;:false,&quot;dropping-particle&quot;:&quot;&quot;,&quot;non-dropping-particle&quot;:&quot;&quot;}],&quot;container-title&quot;:&quot;American Journal of Health Promotion&quot;,&quot;DOI&quot;:&quot;10.1177/08901171241254940&quot;,&quot;ISSN&quot;:&quot;21686602&quot;,&quot;PMID&quot;:&quot;38785111&quot;,&quot;issued&quot;:{&quot;date-parts&quot;:[[2025,1,1]]},&quot;page&quot;:&quot;127-140&quot;,&quot;abstract&quot;:&quot;Objective: To identify environmental features of multi-family housing (MFH) and their surrounding neighborhoods that influence residents’ physical activity (PA). Data Source: Articles published between January 2000 and September 2023 were identified from major social science, medical, health, behavioral science, and urban studies databases. Study Inclusion and Exclusion Criteria: Studies were included if they (a) were empirical studies published in peer-reviewed journals and written in English; (b) focused on the MFH environment or the surrounding neighborhood; and (c) had at least one PA outcome. Data Extraction: Data was extracted regarding the study objective, location, study sample, research design, results related to MFH and neighborhood environment, and limitations. Data Synthesis: Descriptive summary of study characteristics and analysis to identify emerging themes at three spatial scales (i.e., building, site, and neighborhood). Results: Findings from 35 identified articles revealed factors influencing MFH residents’ PA. On the building level, typology (apartment, townhouse) and tenure (public, market rent) showed contrasting correlations with PA in different age groups. On the site level, the presence of PA facilities and safe, walking-friendly environments promoted PA. On the neighborhood level, safety, quality of PA and pedestrian infrastructure, upkeep, air quality, aesthetics, neighborhood satisfaction, street connectivity, walkability, land use mix, density, and public transport promoted PA. Conclusion: Study findings highlight the importance of the MFH environments in promoting PA, especially in older adults and young children. With increasing housing demand, understanding diverse MFH typologies and the impact of interventions on multi-spatial scales can help promote healthy and activity-friendly communities.&quot;,&quot;publisher&quot;:&quot;SAGE Publications Inc.&quot;,&quot;issue&quot;:&quot;1&quot;,&quot;volume&quot;:&quot;39&quot;,&quot;container-title-short&quot;:&quot;&quot;},&quot;isTemporary&quot;:false,&quot;suppress-author&quot;:false,&quot;composite&quot;:false,&quot;author-only&quot;:false}]},{&quot;citationID&quot;:&quot;MENDELEY_CITATION_cdea13a7-7a93-403d-b171-9d4327e56aa7&quot;,&quot;properties&quot;:{&quot;noteIndex&quot;:0},&quot;isEdited&quot;:false,&quot;manualOverride&quot;:{&quot;isManuallyOverridden&quot;:true,&quot;citeprocText&quot;:&quot;(Ghimire &amp;#38; Bardaka, 2023)&quot;,&quot;manualOverrideText&quot;:&quot;(Ghimire and Bardaka, 2023)&quot;},&quot;citationTag&quot;:&quot;MENDELEY_CITATION_v3_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&quot;,&quot;citationItems&quot;:[{&quot;id&quot;:&quot;6cb21be5-bac9-3710-86a2-843bb68af784&quot;,&quot;itemData&quot;:{&quot;type&quot;:&quot;article-journal&quot;,&quot;id&quot;:&quot;6cb21be5-bac9-3710-86a2-843bb68af784&quot;,&quot;title&quot;:&quot;Active travel among carless and car-owning low-income populations in the United States&quot;,&quot;author&quot;:[{&quot;family&quot;:&quot;Ghimire&quot;,&quot;given&quot;:&quot;Subid&quot;,&quot;parse-names&quot;:false,&quot;dropping-particle&quot;:&quot;&quot;,&quot;non-dropping-particle&quot;:&quot;&quot;},{&quot;family&quot;:&quot;Bardaka&quot;,&quot;given&quot;:&quot;Eleni&quot;,&quot;parse-names&quot;:false,&quot;dropping-particle&quot;:&quot;&quot;,&quot;non-dropping-particle&quot;:&quot;&quot;}],&quot;container-title&quot;:&quot;Transportation Research Part D: Transport and Environment&quot;,&quot;container-title-short&quot;:&quot;Transp. Res. D Transp. Environ.&quot;,&quot;DOI&quot;:&quot;10.1016/j.trd.2023.103627&quot;,&quot;ISSN&quot;:&quot;13619209&quot;,&quot;issued&quot;:{&quot;date-parts&quot;:[[2023,4,1]]},&quot;abstract&quot;:&quot;Low-income households may resort to cycling and walking to alleviate travel costs. Using data from the 2001, 2009, and 2017 National Household Travel Surveys, this study examines the spatiotemporal differences in the use of active travel among three socioeconomic groups classified based on household income and vehicle ownership. After controlling for a number of observed and unobserved factors, we find that individuals in low-income, car-owning households are associated with up to 14% more walking trips and 33% more cycling trips in a week compared to higher-income households, on average. However, in urban areas, higher-income households use active travel significantly more than low-income, car-owning households, while the opposite holds for suburban and rural areas. Individuals living in low-income, carless households are associated with even higher use of active travel. These results suggest that active travel is used, to some extent, out of necessity and lack of other viable options.&quot;,&quot;publisher&quot;:&quot;Elsevier Ltd&quot;,&quot;volume&quot;:&quot;117&quot;},&quot;isTemporary&quot;:false,&quot;suppress-author&quot;:false,&quot;composite&quot;:false,&quot;author-only&quot;:false}]},{&quot;citationID&quot;:&quot;MENDELEY_CITATION_ba7db798-0093-44d7-a523-e098715ff886&quot;,&quot;properties&quot;:{&quot;noteIndex&quot;:0},&quot;isEdited&quot;:false,&quot;manualOverride&quot;:{&quot;isManuallyOverridden&quot;:false,&quot;citeprocText&quot;:&quot;(Carlson et al., 2021)&quot;,&quot;manualOverrideText&quot;:&quot;&quot;},&quot;citationTag&quot;:&quot;MENDELEY_CITATION_v3_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&quot;,&quot;citationItems&quot;:[{&quot;id&quot;:&quot;5a0272bd-0a71-3248-ad3f-bd6246fcef57&quot;,&quot;itemData&quot;:{&quot;type&quot;:&quot;article-journal&quot;,&quot;id&quot;:&quot;5a0272bd-0a71-3248-ad3f-bd6246fcef57&quot;,&quot;title&quot;:&quot;Associations between perceptions and measures of weather and walking, United States—2015&quot;,&quot;author&quot;:[{&quot;family&quot;:&quot;Carlson&quot;,&quot;given&quot;:&quot;Susan A.&quot;,&quot;parse-names&quot;:false,&quot;dropping-particle&quot;:&quot;&quot;,&quot;non-dropping-particle&quot;:&quot;&quot;},{&quot;family&quot;:&quot;Whitfield&quot;,&quot;given&quot;:&quot;Geoffrey P.&quot;,&quot;parse-names&quot;:false,&quot;dropping-particle&quot;:&quot;&quot;,&quot;non-dropping-particle&quot;:&quot;&quot;},{&quot;family&quot;:&quot;Davis&quot;,&quot;given&quot;:&quot;Ryan T.&quot;,&quot;parse-names&quot;:false,&quot;dropping-particle&quot;:&quot;&quot;,&quot;non-dropping-particle&quot;:&quot;&quot;},{&quot;family&quot;:&quot;Peterson&quot;,&quot;given&quot;:&quot;Erin L.&quot;,&quot;parse-names&quot;:false,&quot;dropping-particle&quot;:&quot;&quot;,&quot;non-dropping-particle&quot;:&quot;&quot;},{&quot;family&quot;:&quot;Fulton&quot;,&quot;given&quot;:&quot;Janet E.&quot;,&quot;parse-names&quot;:false,&quot;dropping-particle&quot;:&quot;&quot;,&quot;non-dropping-particle&quot;:&quot;&quot;},{&quot;family&quot;:&quot;Berrigan&quot;,&quot;given&quot;:&quot;David&quot;,&quot;parse-names&quot;:false,&quot;dropping-particle&quot;:&quot;&quot;,&quot;non-dropping-particle&quot;:&quot;&quot;}],&quot;container-title&quot;:&quot;International Journal of Environmental Research and Public Health&quot;,&quot;container-title-short&quot;:&quot;Int. J. Environ. Res. Public Health&quot;,&quot;DOI&quot;:&quot;10.3390/ijerph18168398&quot;,&quot;ISSN&quot;:&quot;16604601&quot;,&quot;PMID&quot;:&quot;34444148&quot;,&quot;issued&quot;:{&quot;date-parts&quot;:[[2021,8,2]]},&quot;abstract&quot;:&quot;Introduction: Weather can be a barrier to walking. Understanding how perceptions of weather as a barrier and measured temperature are associated with walking can inform monitor-ing and promotion strategies. The objective of this study is to examine the association between perceptions of weather as a barrier to walking and measured weather with the volume of leisure and transportation walking. Methods: The 2015 National Health Interview Survey (NHIS) assessed participation in and volume of walking (transportation, leisure) in the past week and frequency of reporting weather as a barrier to walking. Data were collected over the entire year. In 2019, we merged month-specific temperature data from the PRISM climate group with individual NHIS records. We examined associations using logistic (participation) and linear regression models (volume). Re-sults: Participation in walking increased as frequency of reporting weather as a barrier to walking decreased, from ‘almost always’ (transportation: 23%, leisure: 42%) to ‘a little of the time’ (transporta-tion: 40%, leisure: 67%). Among adults reporting walking, walking volume increased as frequency of reporting weather as a barrier decreased from ‘almost always’ (transportation: 51 min/week, leisure: 64 min/week) to ‘never’ (transportation: 69 min/week, leisure: 98 min/week). Month-specific temperature was significantly associated with leisure walking with lower participation at the lowest and highest temperature quintiles, although the strength of the association differed by frequency of reporting weather as a barrier. Conclusions: In general, prevalence and volume of leisure and transportation walking decreased as the perception of weather as a barrier increased. Low and high temperature conditions were also associated with leisure walking participation, particularly among adults with increased perceptions of weather as a barrier. Our findings highlight the importance of including strategies to help adults overcome perceived and actual weather-related barriers in walking promotion efforts.&quot;,&quot;publisher&quot;:&quot;MDPI&quot;,&quot;issue&quot;:&quot;16&quot;,&quot;volume&quot;:&quot;18&quot;},&quot;isTemporary&quot;:false,&quot;suppress-author&quot;:false,&quot;composite&quot;:false,&quot;author-only&quot;:false}]},{&quot;citationID&quot;:&quot;MENDELEY_CITATION_5b351216-daa5-477d-baa3-6ff6230f2225&quot;,&quot;properties&quot;:{&quot;noteIndex&quot;:0},&quot;isEdited&quot;:false,&quot;manualOverride&quot;:{&quot;isManuallyOverridden&quot;:true,&quot;citeprocText&quot;:&quot;(Mitra &amp;#38; Saphores, 2017)&quot;,&quot;manualOverrideText&quot;:&quot;(Mitra and Saphores, 2017)&quot;},&quot;citationTag&quot;:&quot;MENDELEY_CITATION_v3_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&quot;,&quot;citationItems&quot;:[{&quot;id&quot;:&quot;f82bb9ff-813a-3b20-bd35-1e6576ac0662&quot;,&quot;itemData&quot;:{&quot;type&quot;:&quot;article-journal&quot;,&quot;id&quot;:&quot;f82bb9ff-813a-3b20-bd35-1e6576ac0662&quot;,&quot;title&quot;:&quot;Carless in California: Green choice or misery?&quot;,&quot;author&quot;:[{&quot;family&quot;:&quot;Mitra&quot;,&quot;given&quot;:&quot;Suman K.&quot;,&quot;parse-names&quot;:false,&quot;dropping-particle&quot;:&quot;&quot;,&quot;non-dropping-particle&quot;:&quot;&quot;},{&quot;family&quot;:&quot;Saphores&quot;,&quot;given&quot;:&quot;Jean Daniel M.&quot;,&quot;parse-names&quot;:false,&quot;dropping-particle&quot;:&quot;&quot;,&quot;non-dropping-particle&quot;:&quot;&quot;}],&quot;container-title&quot;:&quot;Journal of Transport Geography&quot;,&quot;container-title-short&quot;:&quot;J. Transp. Geogr.&quot;,&quot;DOI&quot;:&quot;10.1016/j.jtrangeo.2017.09.016&quot;,&quot;ISSN&quot;:&quot;09666923&quot;,&quot;issued&quot;:{&quot;date-parts&quot;:[[2017,12,1]]},&quot;page&quot;:&quot;1-12&quot;,&quot;abstract&quot;:&quot;Approximately 1 million Californian households do not own a motor vehicle (hereafter a “car”). These households, who are often forgotten in transportation policy discussions, can be organized into two groups based on whether they are voluntarily carless or not. Understanding why some households decide to voluntarily forgo cars could inform policies aiming at reducing our dependency on cars. Understanding the plight of households who are not able to own a car is no less important as these households are at greater risk of social exclusion. Unfortunately, our knowledge of carless households is still sketchy so the purpose of this paper is to start filling this gap. We analyze data from the 2012 California Household Travel Survey using univariate tests and Generalized Structural Equation Models (GSEM) that account for residential self-selection to assess the impacts of various socio-economic and built environment variables on the likelihood to be carless, voluntarily or not. Our results (GSEM Model 1) indicate that carless households are more likely to have less education, a lower income, and a smaller number of members than motorized families. They also tend to live in denser, more land-use diverse, and more walkable areas with better transit coverage. Contrasting voluntarily and involuntarily carless households (GSEM Model 3), we find that involuntarily carless households are less affluent on average and they tend to live in areas that are less land-use diverse, less walkable, and with worse transit coverage. Finally, although residential self-selection is present, its impacts are minor.&quot;,&quot;publisher&quot;:&quot;Elsevier Ltd&quot;,&quot;volume&quot;:&quot;65&quot;},&quot;isTemporary&quot;:false,&quot;suppress-author&quot;:false,&quot;composite&quot;:false,&quot;author-only&quot;:false}]},{&quot;citationID&quot;:&quot;MENDELEY_CITATION_988b267e-4eb1-4a0a-877b-4a4994c9cf1a&quot;,&quot;properties&quot;:{&quot;noteIndex&quot;:0},&quot;isEdited&quot;:false,&quot;manualOverride&quot;:{&quot;isManuallyOverridden&quot;:true,&quot;citeprocText&quot;:&quot;(Blumenberg &amp;#38; King, 2024; Saelens &amp;#38; Handy, 2008)&quot;,&quot;manualOverrideText&quot;:&quot;(Saelens and Handy, 2008; Blumenberg and King, 2024)&quot;},&quot;citationTag&quot;:&quot;MENDELEY_CITATION_v3_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&quot;,&quot;citationItems&quot;:[{&quot;id&quot;:&quot;6d4827c2-49b9-35c1-9367-7ce161d55ed6&quot;,&quot;itemData&quot;:{&quot;type&quot;:&quot;article-journal&quot;,&quot;id&quot;:&quot;6d4827c2-49b9-35c1-9367-7ce161d55ed6&quot;,&quot;title&quot;:&quot;Young workers, jobs-housing balance, and commute distance: Findings from two high-housing-cost U.S. regions&quot;,&quot;author&quot;:[{&quot;family&quot;:&quot;Blumenberg&quot;,&quot;given&quot;:&quot;Evelyn&quot;,&quot;parse-names&quot;:false,&quot;dropping-particle&quot;:&quot;&quot;,&quot;non-dropping-particle&quot;:&quot;&quot;},{&quot;family&quot;:&quot;King&quot;,&quot;given&quot;:&quot;Hannah&quot;,&quot;parse-names&quot;:false,&quot;dropping-particle&quot;:&quot;&quot;,&quot;non-dropping-particle&quot;:&quot;&quot;}],&quot;container-title&quot;:&quot;Cities&quot;,&quot;accessed&quot;:{&quot;date-parts&quot;:[[2026,7,1]]},&quot;DOI&quot;:&quot;10.1016/j.cities.2024.104842&quot;,&quot;ISSN&quot;:&quot;0264-2751&quot;,&quot;URL&quot;:&quot;https://www.sciencedirect.com/science/article/pii/S0264275124000568&quot;,&quot;issued&quot;:{&quot;date-parts&quot;:[[2024,4,1]]},&quot;page&quot;:&quot;104842&quot;,&quot;abstract&quot;:&quot;Anecdotal evidence suggests that the affordable housing crisis is forcing households in large, primarily coastal U.S. metropolitan areas to seek lower cost housing in peripheral neighborhoods distant from downtown, helping to explain recent increases in commute distance. In this study we examine whether the relative availability of housing in close proximity to jobs (jobs-housing balance) is associated with the commute distance of young workers (workers under 30), many of whom are relatively new to the labor market. We draw on data from two high-cost metropolitan areas in California, Los Angeles and the San Francisco Bay Area. We find that commute distances are longer for both younger and older adults in neighborhoods where there are more jobs relative to housing. Despite the growing affordable housing crisis in the state, the strength of this relationship did not change over time in either region. However, as we might expect, jobs-housing balance is more strongly associated with commute distance in the San Francisco Bay Area—where housing is more constrained and expensive—than in Los Angeles. The findings suggest the importance of policies to greatly enhance housing availability in high-cost metropolitan areas. They also underscore the need to go beyond housing policy in efforts to significantly increase access to employment and reduce travel.&quot;,&quot;publisher&quot;:&quot;Pergamon&quot;,&quot;volume&quot;:&quot;147&quot;,&quot;container-title-short&quot;:&quot;&quot;},&quot;isTemporary&quot;:false},{&quot;id&quot;:&quot;7f1524fe-853b-3a23-a8c1-d7664b5bb6d5&quot;,&quot;itemData&quot;:{&quot;type&quot;:&quot;article-journal&quot;,&quot;id&quot;:&quot;7f1524fe-853b-3a23-a8c1-d7664b5bb6d5&quot;,&quot;title&quot;:&quot;Built environment correlates of walking: a review&quot;,&quot;author&quot;:[{&quot;family&quot;:&quot;Saelens&quot;,&quot;given&quot;:&quot;Brian E.&quot;,&quot;parse-names&quot;:false,&quot;dropping-particle&quot;:&quot;&quot;,&quot;non-dropping-particle&quot;:&quot;&quot;},{&quot;family&quot;:&quot;Handy&quot;,&quot;given&quot;:&quot;Susan L.&quot;,&quot;parse-names&quot;:false,&quot;dropping-particle&quot;:&quot;&quot;,&quot;non-dropping-particle&quot;:&quot;&quot;}],&quot;container-title&quot;:&quot;Medicine and science in sports and exercise&quot;,&quot;accessed&quot;:{&quot;date-parts&quot;:[[2026,4,1]]},&quot;DOI&quot;:&quot;10.1249/MSS.0b013e31817c67a4&quot;,&quot;ISSN&quot;:&quot;0195-9131&quot;,&quot;PMID&quot;:&quot;18562973&quot;,&quot;URL&quot;:&quot;https://pubmed.ncbi.nlm.nih.gov/18562973/&quot;,&quot;issued&quot;:{&quot;date-parts&quot;:[[2008]]},&quot;abstract&quot;:&quot;Introduction: The past decade has seen a dramatic increase in empirical investigation into the relations between built environment and physical activity. To create places that facilitate and encourage walking, practitioners need an understanding of the specific characteristics of the built environment that correlate most strongly with walking. This article reviews evidence on the built environment correlates with walking. Method: Included in this review were 13 reviews published between 2002 and 2006 and 29 original studies published in 2005 and up through May 2006. Results were summarized based on specific characteristics of the built environment and transportation walking versus recreational walking. Results: Previous reviews and newer studies document consistent positive relations between walking for transportation and density, distance to nonresidential destinations, and land use mix; findings for route/network connectivity, parks and open space, and personal safety are more equivocal. Results regarding recreational walking were less clear. Conclusions: More recent evidence supports the conclusions of prior reviews, and new studies address some of the limitations of earlier studies. Although prospective studies are needed, evidence on correlates appears sufficient to support policy changes. Copyright © 2008 by the American College of Sports Medicine.&quot;,&quot;publisher&quot;:&quot;Med Sci Sports Exerc&quot;,&quot;issue&quot;:&quot;7 Suppl&quot;,&quot;volume&quot;:&quot;40&quot;,&quot;container-title-short&quot;:&quot;Med. Sci. Sports Exerc.&quot;},&quot;isTemporary&quot;:false}]},{&quot;citationID&quot;:&quot;MENDELEY_CITATION_c0893af0-d6bc-46ea-9bf4-afc6b269dc71&quot;,&quot;properties&quot;:{&quot;noteIndex&quot;:0},&quot;isEdited&quot;:false,&quot;manualOverride&quot;:{&quot;isManuallyOverridden&quot;:false,&quot;citeprocText&quot;:&quot;(Morency et al., 2012)&quot;,&quot;manualOverrideText&quot;:&quot;&quot;},&quot;citationTag&quot;:&quot;MENDELEY_CITATION_v3_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&quot;,&quot;citationItems&quot;:[{&quot;id&quot;:&quot;f0cc02e5-5654-31e4-a527-5ebe68094b87&quot;,&quot;itemData&quot;:{&quot;type&quot;:&quot;article-journal&quot;,&quot;id&quot;:&quot;f0cc02e5-5654-31e4-a527-5ebe68094b87&quot;,&quot;title&quot;:&quot;Neighborhood social inequalities in road traffic injuries: The influence of traffic volume and road design&quot;,&quot;author&quot;:[{&quot;family&quot;:&quot;Morency&quot;,&quot;given&quot;:&quot;Patrick&quot;,&quot;parse-names&quot;:false,&quot;dropping-particle&quot;:&quot;&quot;,&quot;non-dropping-particle&quot;:&quot;&quot;},{&quot;family&quot;:&quot;Gauvin&quot;,&quot;given&quot;:&quot;Lise&quot;,&quot;parse-names&quot;:false,&quot;dropping-particle&quot;:&quot;&quot;,&quot;non-dropping-particle&quot;:&quot;&quot;},{&quot;family&quot;:&quot;Plante&quot;,&quot;given&quot;:&quot;Céline&quot;,&quot;parse-names&quot;:false,&quot;dropping-particle&quot;:&quot;&quot;,&quot;non-dropping-particle&quot;:&quot;&quot;},{&quot;family&quot;:&quot;Fournier&quot;,&quot;given&quot;:&quot;Michel&quot;,&quot;parse-names&quot;:false,&quot;dropping-particle&quot;:&quot;&quot;,&quot;non-dropping-particle&quot;:&quot;&quot;},{&quot;family&quot;:&quot;Morency&quot;,&quot;given&quot;:&quot;Catherine&quot;,&quot;parse-names&quot;:false,&quot;dropping-particle&quot;:&quot;&quot;,&quot;non-dropping-particle&quot;:&quot;&quot;}],&quot;container-title&quot;:&quot;American Journal of Public Health&quot;,&quot;container-title-short&quot;:&quot;Am. J. Public Health&quot;,&quot;DOI&quot;:&quot;10.2105/AJPH.2011.300528&quot;,&quot;ISSN&quot;:&quot;00900036&quot;,&quot;PMID&quot;:&quot;22515869&quot;,&quot;issued&quot;:{&quot;date-parts&quot;:[[2012,6]]},&quot;page&quot;:&quot;1112-1119&quot;,&quot;abstract&quot;:&quot;Objectives: We examined the extent to which differential traffic volume and road geometry can explain social inequalities in pedestrian, cyclist, and motor vehicle occupant injuries across wealthy and poor urban areas. Methods: We performed a multilevel observational study of all road users injured over 5 years (n = 19 568) at intersections (n = 17 498) in a large urban area (Island of Montreal, Canada). We considered intersection-level (traffic estimates, major roads, number of legs) and area-level (population density, commuting travel modes, household income) characteristics in multilevel Poisson regressions that nested intersections in 506 census tracts. Results: There were significantly more injured pedestrians, cyclists, and motor vehicle occupants at intersections in the poorest than in the richest areas. Controlling for traffic volume, intersection geometry, and pedestrian and cyclist volumes greatly attenuated the event rate ratios between intersections in the poorest and richest areas for injured pedestrians (-70%), cyclists (-44%), and motor vehicle occupants (-44%). Conclusions: Roadway environment can explain a substantial portion of the excess rate of road traffic injuries in the poorest urban areas.&quot;,&quot;issue&quot;:&quot;6&quot;,&quot;volume&quot;:&quot;102&quot;},&quot;isTemporary&quot;:false,&quot;suppress-author&quot;:false,&quot;composite&quot;:false,&quot;author-only&quot;:false}]},{&quot;citationID&quot;:&quot;MENDELEY_CITATION_c86d8167-a246-4765-a72c-8987c3a82274&quot;,&quot;properties&quot;:{&quot;noteIndex&quot;:0},&quot;isEdited&quot;:false,&quot;manualOverride&quot;:{&quot;isManuallyOverridden&quot;:false,&quot;citeprocText&quot;:&quot;(Watson et al., 2020)&quot;,&quot;manualOverrideText&quot;:&quot;&quot;},&quot;citationTag&quot;:&quot;MENDELEY_CITATION_v3_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&quot;,&quot;citationItems&quot;:[{&quot;id&quot;:&quot;86f6d3ad-5418-32e0-af8b-2bf4edb9516e&quot;,&quot;itemData&quot;:{&quot;type&quot;:&quot;article-journal&quot;,&quot;id&quot;:&quot;86f6d3ad-5418-32e0-af8b-2bf4edb9516e&quot;,&quot;title&quot;:&quot;Associations between the National Walkability Index and walking among US Adults — National Health Interview Survey, 2015&quot;,&quot;author&quot;:[{&quot;family&quot;:&quot;Watson&quot;,&quot;given&quot;:&quot;Kathleen B.&quot;,&quot;parse-names&quot;:false,&quot;dropping-particle&quot;:&quot;&quot;,&quot;non-dropping-particle&quot;:&quot;&quot;},{&quot;family&quot;:&quot;Whitfield&quot;,&quot;given&quot;:&quot;Geoffrey P.&quot;,&quot;parse-names&quot;:false,&quot;dropping-particle&quot;:&quot;&quot;,&quot;non-dropping-particle&quot;:&quot;&quot;},{&quot;family&quot;:&quot;Thomas&quot;,&quot;given&quot;:&quot;John&quot;,&quot;parse-names&quot;:false,&quot;dropping-particle&quot;:&quot;V.&quot;,&quot;non-dropping-particle&quot;:&quot;&quot;},{&quot;family&quot;:&quot;Berrigan&quot;,&quot;given&quot;:&quot;David&quot;,&quot;parse-names&quot;:false,&quot;dropping-particle&quot;:&quot;&quot;,&quot;non-dropping-particle&quot;:&quot;&quot;},{&quot;family&quot;:&quot;Fulton&quot;,&quot;given&quot;:&quot;Janet E.&quot;,&quot;parse-names&quot;:false,&quot;dropping-particle&quot;:&quot;&quot;,&quot;non-dropping-particle&quot;:&quot;&quot;},{&quot;family&quot;:&quot;Carlson&quot;,&quot;given&quot;:&quot;Susan A.&quot;,&quot;parse-names&quot;:false,&quot;dropping-particle&quot;:&quot;&quot;,&quot;non-dropping-particle&quot;:&quot;&quot;}],&quot;container-title&quot;:&quot;Preventive Medicine&quot;,&quot;container-title-short&quot;:&quot;Prev. Med. (Baltim).&quot;,&quot;DOI&quot;:&quot;10.1016/j.ypmed.2020.106122&quot;,&quot;ISSN&quot;:&quot;10960260&quot;,&quot;PMID&quot;:&quot;32389677&quot;,&quot;issued&quot;:{&quot;date-parts&quot;:[[2020,8,1]]},&quot;abstract&quot;:&quot;The Environmental Protection Agency created the National Walkability Index (Index) to compare and analyze walkability among US communities. Index elements include design, distance to transit, and diversity of land uses. Associations between the Index and walking behavior have not been examined. This study describes associations between the Index and transportation and leisure walking among US adults. Past week self-reported participation in transportation and leisure walking among adults (n = 33,672) was obtained from the 2015 Cancer Control Supplement of the National Health Interview Survey (NHIS) and analysis completed in 2019. Index scores were linked to NHIS data based on the respondent's residence and classified into least, below average, above average, and most walkable communities. Associations between Index categories and walking were examined with regression models. Overall, the Index was associated with a higher likelihood of walking, especially for transportation. Transportation walking was more common in areas with higher walkability (21.6%–51.6%, least to most walkable). Leisure walking was also more common with greater walkability (48.4%–56.5%, least to most walkable). Transportation and leisure walking by Index categories in urban areas were similar to the overall population; however, it was not associated with walking in rural areas. US adults living in more walkable areas report more transportation and leisure walking, especially among urban areas. Consistent with elements in the Index, associations were stronger for transportation than leisure walking. Findings support the use of the Walkability Index by researchers, professionals, and other relevant stakeholders as a viable indicator of walkability.&quot;,&quot;publisher&quot;:&quot;Academic Press Inc.&quot;,&quot;volume&quot;:&quot;137&quot;},&quot;isTemporary&quot;:false,&quot;suppress-author&quot;:false,&quot;composite&quot;:false,&quot;author-only&quot;:false}]},{&quot;citationID&quot;:&quot;MENDELEY_CITATION_fc0bdef3-0748-4480-b9aa-624e2c41da85&quot;,&quot;properties&quot;:{&quot;noteIndex&quot;:0},&quot;isEdited&quot;:false,&quot;manualOverride&quot;:{&quot;isManuallyOverridden&quot;:true,&quot;citeprocText&quot;:&quot;(Aldred, 2016; Sanders, 2015)&quot;,&quot;manualOverrideText&quot;:&quot;(Sanders, 2015; Aldred, 2016)&quot;},&quot;citationTag&quot;:&quot;MENDELEY_CITATION_v3_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&quot;,&quot;citationItems&quot;:[{&quot;id&quot;:&quot;93f73f77-6f10-3791-97a8-20e73a00a0ce&quot;,&quot;itemData&quot;:{&quot;type&quot;:&quot;article-journal&quot;,&quot;id&quot;:&quot;93f73f77-6f10-3791-97a8-20e73a00a0ce&quot;,&quot;title&quot;:&quot;Cycling near misses: Their frequency, impact, and prevention&quot;,&quot;author&quot;:[{&quot;family&quot;:&quot;Aldred&quot;,&quot;given&quot;:&quot;Rachel&quot;,&quot;parse-names&quot;:false,&quot;dropping-particle&quot;:&quot;&quot;,&quot;non-dropping-particle&quot;:&quot;&quot;}],&quot;container-title&quot;:&quot;Transportation Research Part A: Policy and Practice&quot;,&quot;container-title-short&quot;:&quot;Transp. Res. Part A Policy Pract.&quot;,&quot;DOI&quot;:&quot;10.1016/j.tra.2016.04.016&quot;,&quot;ISSN&quot;:&quot;09658564&quot;,&quot;issued&quot;:{&quot;date-parts&quot;:[[2016,8,1]]},&quot;page&quot;:&quot;69-83&quot;,&quot;abstract&quot;:&quot;This paper explores cyclists' experiences of non-injury incidents, arguing that these are important for cycling experience and uptake as well as for injury prevention. It discusses different types of non-injury incident collected in a recent survey of UK cyclists. These are everyday occurrences that in some cases have a substantially negative impact on cycling experiences. This article explores the impact of different incident types on people cycling both immediately and in the future. It analyses what near misses tell us about cyclists' experience of problems related to road user behaviour and culture, and infrastructural conditions for cycling. The paper explores what cyclists experiencing near misses think might have prevented them. Based on this and on a comparison with common types of injury incidents, summary recommendations are made for policy and future research.&quot;,&quot;publisher&quot;:&quot;Elsevier Ltd&quot;,&quot;volume&quot;:&quot;90&quot;},&quot;isTemporary&quot;:false},{&quot;id&quot;:&quot;d38955a4-4162-367d-a94a-7f9dfe0e06bc&quot;,&quot;itemData&quot;:{&quot;type&quot;:&quot;article-journal&quot;,&quot;id&quot;:&quot;d38955a4-4162-367d-a94a-7f9dfe0e06bc&quot;,&quot;title&quot;:&quot;Perceived traffic risk for cyclists: The impact of near miss and collision experiences&quot;,&quot;author&quot;:[{&quot;family&quot;:&quot;Sanders&quot;,&quot;given&quot;:&quot;Rebecca L.&quot;,&quot;parse-names&quot;:false,&quot;dropping-particle&quot;:&quot;&quot;,&quot;non-dropping-particle&quot;:&quot;&quot;}],&quot;container-title&quot;:&quot;Accident Analysis and Prevention&quot;,&quot;container-title-short&quot;:&quot;Accid. Anal. Prev.&quot;,&quot;DOI&quot;:&quot;10.1016/j.aap.2014.11.004&quot;,&quot;ISSN&quot;:&quot;00014575&quot;,&quot;PMID&quot;:&quot;25460088&quot;,&quot;issued&quot;:{&quot;date-parts&quot;:[[2015]]},&quot;page&quot;:&quot;26-34&quot;,&quot;abstract&quot;:&quot;Though the percentage of people bicycling for transportation rose during the last decade, with an average increase in bicycle commuting of 47% (Flusche, 2012), still only 1% of all U.S. trips are made by bike (Flusche, 2010). Research suggests that people's concern regarding the risk of bicycling near traffic-namely the risk of being hit by a car-remain a significant barrier to widespread cycling. However, research has not disaggregated traffic risk to expose its many aspects and how they may affect bicyclists with differing skill levels, experiences, and behaviors. This study begins to address this gap in our understanding. Elaborating on results from an internet survey, this study examined various aspects of traffic risk among 406 potential and current bicyclists in the San Francisco Bay Area. The data indicate that perceived traffic risk negatively influences the decision to bicycle for potential and occasional bicyclists, although the influence decreases with cycling frequency. Additionally, cycling frequency seems to heighten awareness of traffic risk, particularly for cyclists who have experienced \&quot;near misses\&quot; or collisions. In particular, near misses were found to be (a) much more common than collisions and (b) more strongly associated than collisions with perceived traffic risk. The findings suggest that efforts targeting road user behaviors and roadway designs associated with these near misses could mitigate perceived and actual traffic risk for bicyclists, and thereby eventually help achieve higher cycling ridership.&quot;,&quot;publisher&quot;:&quot;Elsevier Ltd&quot;,&quot;volume&quot;:&quot;75&quot;},&quot;isTemporary&quot;:false}]},{&quot;citationID&quot;:&quot;MENDELEY_CITATION_0a2239f0-2595-4e0d-8a1f-56f86059a4dd&quot;,&quot;properties&quot;:{&quot;noteIndex&quot;:0},&quot;isEdited&quot;:false,&quot;manualOverride&quot;:{&quot;isManuallyOverridden&quot;:false,&quot;citeprocText&quot;:&quot;(Foster et al., 2014; Rees-Punia et al., 2018)&quot;,&quot;manualOverrideText&quot;:&quot;&quot;},&quot;citationTag&quot;:&quot;MENDELEY_CITATION_v3_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&quot;,&quot;citationItems&quot;:[{&quot;id&quot;:&quot;4b704430-4cbe-38d3-8152-be1a483d8643&quot;,&quot;itemData&quot;:{&quot;type&quot;:&quot;article&quot;,&quot;id&quot;:&quot;4b704430-4cbe-38d3-8152-be1a483d8643&quot;,&quot;title&quot;:&quot;Crime, perceived safety, and physical activity: A meta-analysis&quot;,&quot;author&quot;:[{&quot;family&quot;:&quot;Rees-Punia&quot;,&quot;given&quot;:&quot;Erika&quot;,&quot;parse-names&quot;:false,&quot;dropping-particle&quot;:&quot;&quot;,&quot;non-dropping-particle&quot;:&quot;&quot;},{&quot;family&quot;:&quot;Hathaway&quot;,&quot;given&quot;:&quot;Elizabeth D.&quot;,&quot;parse-names&quot;:false,&quot;dropping-particle&quot;:&quot;&quot;,&quot;non-dropping-particle&quot;:&quot;&quot;},{&quot;family&quot;:&quot;Gay&quot;,&quot;given&quot;:&quot;Jennifer L.&quot;,&quot;parse-names&quot;:false,&quot;dropping-particle&quot;:&quot;&quot;,&quot;non-dropping-particle&quot;:&quot;&quot;}],&quot;container-title&quot;:&quot;Preventive Medicine&quot;,&quot;container-title-short&quot;:&quot;Prev. Med. (Baltim).&quot;,&quot;DOI&quot;:&quot;10.1016/j.ypmed.2017.11.017&quot;,&quot;ISSN&quot;:&quot;10960260&quot;,&quot;PMID&quot;:&quot;29157975&quot;,&quot;issued&quot;:{&quot;date-parts&quot;:[[2018,6,1]]},&quot;page&quot;:&quot;307-313&quot;,&quot;abstract&quot;:&quot;Perceived safety from crime and objectively-measured crime rates may be associated with physical inactivity. The purpose of this meta-analysis is to estimate the odds of accumulating high levels of physical activity (PA) when the perception of safety from crime is high and when objectively-measured crime is high. Peer-reviewed studies were identified through PubMed, Web of Science, ProQuest Criminal Justice, and ScienceDirect from earliest record through 2016. Included studies measured total PA, leisure-time PA, or walking in addition to perceived safety from crime or objective measures of crime. Mean odds ratios were aggregated with random effects models, and meta-regression was used to examine effects of potential moderators: country, age, and crime/PA measure. Sixteen cross-sectional studies yielded sixteen effects for perceived safety from crime and four effects for objective crime. Those reporting feeling safe from crime had a 27% greater odds of achieving higher levels of physical activity (OR = 1.27 [1.08, 1.49]), and those living in areas with higher objectively-measured crime had a 28% reduced odds of achieving higher levels of physical activity (OR = 0.72 [0.61, 0.83]). Effects of perceived safety were highly heterogeneous (I2 = 94.09%), but explored moderators were not statistically significant, likely because of the small sample size. Despite the limited number of effects suitable for aggregation, the mean association between perceived safety and PA was significant. As it seems likely that perceived lack of safety from crime constrains PA behaviors, future research exploring moderators of this association may help guide public health recommendations and interventions.&quot;,&quot;publisher&quot;:&quot;Academic Press Inc.&quot;,&quot;volume&quot;:&quot;111&quot;},&quot;isTemporary&quot;:false},{&quot;id&quot;:&quot;ca24a6d2-6ae3-36b9-ac97-d7718097f70b&quot;,&quot;itemData&quot;:{&quot;type&quot;:&quot;article-journal&quot;,&quot;id&quot;:&quot;ca24a6d2-6ae3-36b9-ac97-d7718097f70b&quot;,&quot;title&quot;:&quot;Does Fear of Crime Discourage Walkers? A Social-Ecological Exploration of Fear As a Deterrent to Walking&quot;,&quot;author&quot;:[{&quot;family&quot;:&quot;Foster&quot;,&quot;given&quot;:&quot;Sarah&quot;,&quot;parse-names&quot;:false,&quot;dropping-particle&quot;:&quot;&quot;,&quot;non-dropping-particle&quot;:&quot;&quot;},{&quot;family&quot;:&quot;Giles-Corti&quot;,&quot;given&quot;:&quot;Billie&quot;,&quot;parse-names&quot;:false,&quot;dropping-particle&quot;:&quot;&quot;,&quot;non-dropping-particle&quot;:&quot;&quot;},{&quot;family&quot;:&quot;Knuiman&quot;,&quot;given&quot;:&quot;Matthew&quot;,&quot;parse-names&quot;:false,&quot;dropping-particle&quot;:&quot;&quot;,&quot;non-dropping-particle&quot;:&quot;&quot;}],&quot;container-title&quot;:&quot;Environment and Behavior&quot;,&quot;container-title-short&quot;:&quot;Environ. Behav.&quot;,&quot;DOI&quot;:&quot;10.1177/0013916512465176&quot;,&quot;ISSN&quot;:&quot;1552390X&quot;,&quot;issued&quot;:{&quot;date-parts&quot;:[[2014]]},&quot;page&quot;:&quot;698-717&quot;,&quot;abstract&quot;:&quot;Few studies have specifically investigated fear of crime as a deterrent to walking. This study tested the hypothesis that fear would inhibit residents from walking in their local neighborhoods. Homeowners (n = 1,044) in Perth, Western Australia, reported their fear of crime, neighborhood problems and walking, and objective environmental measures were generated for each participant's neighborhood. Multivariate logistic regression models examined the association between fear and walking, with progressive adjustment for other correlates. Fear was associated with lower odds of transport walking (OR = 0.79, p = .034); however, car access was ubiquitous so fearful participants could avoid walking. A similar association between fear and recreational walking attenuated after controlling for other neighborhood factors. Findings suggest that the capacity for fear to deter recreational walkers is not fixed, and that a supportive environment can lessen its impact. Community initiatives that encourage social interaction between residents and improve neighborhood aesthetics may increase levels of recreational walking. © 2012 SAGE Publications.&quot;,&quot;publisher&quot;:&quot;SAGE Publications Ltd&quot;,&quot;issue&quot;:&quot;6&quot;,&quot;volume&quot;:&quot;46&quot;},&quot;isTemporary&quot;:false}]},{&quot;citationID&quot;:&quot;MENDELEY_CITATION_8e0b1049-0cf7-4144-9f46-32fc0a42d4a9&quot;,&quot;properties&quot;:{&quot;noteIndex&quot;:0},&quot;isEdited&quot;:false,&quot;manualOverride&quot;:{&quot;isManuallyOverridden&quot;:true,&quot;citeprocText&quot;:&quot;(Vespa et al., 2020; World Health Organization, 2015)&quot;,&quot;manualOverrideText&quot;:&quot;(World Health Organization, 2015; Vespa et al., 2020)&quot;},&quot;citationTag&quot;:&quot;MENDELEY_CITATION_v3_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&quot;,&quot;citationItems&quot;:[{&quot;id&quot;:&quot;a88f5425-b58f-3199-86e7-4dbff7035dcb&quot;,&quot;itemData&quot;:{&quot;type&quot;:&quot;book&quot;,&quot;id&quot;:&quot;a88f5425-b58f-3199-86e7-4dbff7035dcb&quot;,&quot;title&quot;:&quot;World report on ageing and health&quot;,&quot;author&quot;:[{&quot;family&quot;:&quot;World Health Organization&quot;,&quot;given&quot;:&quot;&quot;,&quot;parse-names&quot;:false,&quot;dropping-particle&quot;:&quot;&quot;,&quot;non-dropping-particle&quot;:&quot;&quot;}],&quot;accessed&quot;:{&quot;date-parts&quot;:[[2026,7,12]]},&quot;ISBN&quot;:&quot;9789241565042&quot;,&quot;URL&quot;:&quot;https://www.who.int/publications/i/item/9789241565042&quot;,&quot;issued&quot;:{&quot;date-parts&quot;:[[2015]]},&quot;number-of-pages&quot;:&quot;246&quot;,&quot;abstract&quot;:&quot;\&quot;Comprehensive public health action on population ageing is urgently needed. This will require fundamental shifts, not just in the things we do, but in how we think about ageing itself. The World report on ageing and health outlines a framework for action to foster Healthy Ageing built around the new concept of functional ability. This will require a transformation of health systems away from disease based curative models and towards the provision of older-person-centred and integrated care. It will require the development, sometimes from nothing, of comprehensive systems of long term care.\&quot;--Page 4 of cover. Preface -- Acknowledgements -- 1. Adding health to years -- Introduction -- The context for action -- The international legal and policy frameworks -- Current public-health response -- more of the same will not be enough -- The challenges for policy development -- Diversity in older age -- The impact of inequity -- Outdated stereotypes, new expectations -- The world is changing too -- Why act on ageing and health? -- The rights of older people -- Ageing, health and development -- The economic imperative -- Conclusion -- 2. Healthy Ageing -- What is ageing? -- Ageing, health and functioning -- A framework for action on ageing and health -- Healthy Ageing -- Trajectories of Healthy Ageing -- A public-health framework for Healthy Ageing -- Key issues for public-health action -- Dealing with diversity -- Reducing inequity -- Enabling choice -- Ageing in place -- 3. Health in older age -- Demographic and epidemiological changes -- Population ageing -- Why are populations ageing? -- Are the added years in older age being experienced in good health? -- Health characteristics in older age -- Underlying changes -- Health conditions in older age -- Other complex health issues in older age -- Intrinsic capacity and functional ability -- Intrinsic capacity across the life course -- Patterns of functioning in countries at different levels of socioeconomic development -- Significant loss of functional ability, and care dependence -- Key behaviours that influence Healthy Ageing -- Physical activity -- Nutrition -- Key environmental risks -- Emergency situations -- Elder abuse -- 4. Health systems -- Introduction -- Rising demand, barriers to use, poorly aligned services -- Demand for health services -- Barriers to use -- Systems designed for different problems -- Economic impact of population ageing on health systems -- Responses -- The goal: optimize trajectories of intrinsic capacity -- Adapt interventions to individuals and their levels of capacity -- Implement older-person-centred and integrated care -- Align health systems -- Conclusion.&quot;,&quot;container-title-short&quot;:&quot;&quot;},&quot;isTemporary&quot;:false},{&quot;id&quot;:&quot;4eff4043-636e-30e3-a1a7-4788e7f527fb&quot;,&quot;itemData&quot;:{&quot;type&quot;:&quot;report&quot;,&quot;id&quot;:&quot;4eff4043-636e-30e3-a1a7-4788e7f527fb&quot;,&quot;title&quot;:&quot;\&quot;Demographic Turning Points for the United States: Population Projections for 2020 to 2060\&quot;. Current Population Reports, P25-1144, U.S. Census Bureau, Washington, DC.&quot;,&quot;author&quot;:[{&quot;family&quot;:&quot;Vespa&quot;,&quot;given&quot;:&quot;Jonathan&quot;,&quot;parse-names&quot;:false,&quot;dropping-particle&quot;:&quot;&quot;,&quot;non-dropping-particle&quot;:&quot;&quot;},{&quot;family&quot;:&quot;Medina&quot;,&quot;given&quot;:&quot;Lauren&quot;,&quot;parse-names&quot;:false,&quot;dropping-particle&quot;:&quot;&quot;,&quot;non-dropping-particle&quot;:&quot;&quot;},{&quot;family&quot;:&quot;Armstrong&quot;,&quot;given&quot;:&quot;David M&quot;,&quot;parse-names&quot;:false,&quot;dropping-particle&quot;:&quot;&quot;,&quot;non-dropping-particle&quot;:&quot;&quot;}],&quot;URL&quot;:&quot;www.census.gov/programs-surveys/popproj&quot;,&quot;issued&quot;:{&quot;date-parts&quot;:[[2020]]},&quot;container-title-short&quot;:&quot;&quot;},&quot;isTemporary&quot;:false}]},{&quot;citationID&quot;:&quot;MENDELEY_CITATION_113188ba-73a7-4425-aabd-96e2ff43a0db&quot;,&quot;properties&quot;:{&quot;noteIndex&quot;:0},&quot;isEdited&quot;:false,&quot;manualOverride&quot;:{&quot;isManuallyOverridden&quot;:false,&quot;citeprocText&quot;:&quot;(Bauman et al., 2016; World Health Organization, 2020)&quot;,&quot;manualOverrideText&quot;:&quot;&quot;},&quot;citationTag&quot;:&quot;MENDELEY_CITATION_v3_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&quot;,&quot;citationItems&quot;:[{&quot;id&quot;:&quot;afc7df9f-b5e6-3bc7-a432-d22d62d2f013&quot;,&quot;itemData&quot;:{&quot;type&quot;:&quot;article&quot;,&quot;id&quot;:&quot;afc7df9f-b5e6-3bc7-a432-d22d62d2f013&quot;,&quot;title&quot;:&quot;Updating the Evidence for Physical Activity: Summative Reviews of the Epidemiological Evidence, Prevalence, and Interventions to Promote \&quot;active Aging\&quot;&quot;,&quot;author&quot;:[{&quot;family&quot;:&quot;Bauman&quot;,&quot;given&quot;:&quot;Adrian&quot;,&quot;parse-names&quot;:false,&quot;dropping-particle&quot;:&quot;&quot;,&quot;non-dropping-particle&quot;:&quot;&quot;},{&quot;family&quot;:&quot;Merom&quot;,&quot;given&quot;:&quot;Dafna&quot;,&quot;parse-names&quot;:false,&quot;dropping-particle&quot;:&quot;&quot;,&quot;non-dropping-particle&quot;:&quot;&quot;},{&quot;family&quot;:&quot;Bull&quot;,&quot;given&quot;:&quot;Fiona C.&quot;,&quot;parse-names&quot;:false,&quot;dropping-particle&quot;:&quot;&quot;,&quot;non-dropping-particle&quot;:&quot;&quot;},{&quot;family&quot;:&quot;Buchner&quot;,&quot;given&quot;:&quot;David M.&quot;,&quot;parse-names&quot;:false,&quot;dropping-particle&quot;:&quot;&quot;,&quot;non-dropping-particle&quot;:&quot;&quot;},{&quot;family&quot;:&quot;Fiatarone Singh&quot;,&quot;given&quot;:&quot;Maria A.&quot;,&quot;parse-names&quot;:false,&quot;dropping-particle&quot;:&quot;&quot;,&quot;non-dropping-particle&quot;:&quot;&quot;}],&quot;container-title&quot;:&quot;Gerontologist&quot;,&quot;DOI&quot;:&quot;10.1093/geront/gnw031&quot;,&quot;ISSN&quot;:&quot;17585341&quot;,&quot;PMID&quot;:&quot;26994266&quot;,&quot;issued&quot;:{&quot;date-parts&quot;:[[2016,4,1]]},&quot;page&quot;:&quot;S268-S280&quot;,&quot;abstract&quot;:&quot;Purpose of the Study: There is a global imperative to increase awareness of the emerging evidence on physical activity (PA) among older adults. \&quot;Healthy aging\&quot; has traditionally focused on preventing chronic disease, but greater efforts are required to reduce frailty and dependency and to maintain independent physical and cognitive function and mental health and well-being. Design and Methods: This integrated review updates the epidemiological data on PA, summarizes the existing evidence-based PA guidelines, describes the global magnitude of inactivity, and finally describes the rationale for action. The first section updates the epidemiological evidence for reduced cardiometabolic risk, reduced risks of falls, the burgeoning new evidence on improved cognitive function and functional capacity, and reduced risk of depression, anxiety, and dementia. This is followed by a summary of population prevalence studies among older adults. Finally, we present a \&quot;review of reviews\&quot; of PA interventions delivered from community or population settings, followed by a consideration of interventions among the \&quot;oldest-old,\&quot; where efforts are needed to increase resistance (strength) training and balance. Results: This review identifies the global importance of considering \&quot;active aging\&quot; beyond the established benefits attributed to noncommunicable disease prevention alone. Implications: Innovative population-level efforts are required to address physical inactivity, prevent loss of muscle strength, and maintain balance in older adults. Specific investment in healthy aging requires global policy support from the World Health Organization and is implemented at the national and regional levels, in order to reduce the burden of disease and disability among older adults.&quot;,&quot;publisher&quot;:&quot;Gerontological Society of America&quot;,&quot;volume&quot;:&quot;56&quot;,&quot;container-title-short&quot;:&quot;&quot;},&quot;isTemporary&quot;:false},{&quot;id&quot;:&quot;e0040fd0-9605-3530-afab-5ddca6666ffe&quot;,&quot;itemData&quot;:{&quot;type&quot;:&quot;report&quot;,&quot;id&quot;:&quot;e0040fd0-9605-3530-afab-5ddca6666ffe&quot;,&quot;title&quot;:&quot;WHO Guidelines on Physical Activity and Sedentary Behaviour&quot;,&quot;author&quot;:[{&quot;family&quot;:&quot;World Health Organization&quot;,&quot;given&quot;:&quot;&quot;,&quot;parse-names&quot;:false,&quot;dropping-particle&quot;:&quot;&quot;,&quot;non-dropping-particle&quot;:&quot;&quot;}],&quot;accessed&quot;:{&quot;date-parts&quot;:[[2026,7,12]]},&quot;URL&quot;:&quot;https://www.who.int/publications/i/item/9789240015128&quot;,&quot;issued&quot;:{&quot;date-parts&quot;:[[2020]]},&quot;container-title-short&quot;:&quot;&quot;},&quot;isTemporary&quot;:false}]},{&quot;citationID&quot;:&quot;MENDELEY_CITATION_11bfa93f-9ee6-46bf-8c26-772dfde1442e&quot;,&quot;properties&quot;:{&quot;noteIndex&quot;:0},&quot;isEdited&quot;:false,&quot;manualOverride&quot;:{&quot;isManuallyOverridden&quot;:false,&quot;citeprocText&quot;:&quot;(Millard-Ball et al., 2025)&quot;,&quot;manualOverrideText&quot;:&quot;&quot;},&quot;citationTag&quot;:&quot;MENDELEY_CITATION_v3_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&quot;,&quot;citationItems&quot;:[{&quot;id&quot;:&quot;4fc58381-00ce-3abf-9319-f7f9a17c5acc&quot;,&quot;itemData&quot;:{&quot;type&quot;:&quot;article-journal&quot;,&quot;id&quot;:&quot;4fc58381-00ce-3abf-9319-f7f9a17c5acc&quot;,&quot;title&quot;:&quot;Global health and climate benefits from walking and cycling infrastructure&quot;,&quot;author&quot;:[{&quot;family&quot;:&quot;Millard-Ball&quot;,&quot;given&quot;:&quot;Adam&quot;,&quot;parse-names&quot;:false,&quot;dropping-particle&quot;:&quot;&quot;,&quot;non-dropping-particle&quot;:&quot;&quot;},{&quot;family&quot;:&quot;Reginald&quot;,&quot;given&quot;:&quot;Monisha&quot;,&quot;parse-names&quot;:false,&quot;dropping-particle&quot;:&quot;&quot;,&quot;non-dropping-particle&quot;:&quot;&quot;},{&quot;family&quot;:&quot;Yusuf&quot;,&quot;given&quot;:&quot;Yasmina&quot;,&quot;parse-names&quot;:false,&quot;dropping-particle&quot;:&quot;&quot;,&quot;non-dropping-particle&quot;:&quot;&quot;},{&quot;family&quot;:&quot;Bian&quot;,&quot;given&quot;:&quot;Christopher&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2422334122&quot;,&quot;ISSN&quot;:&quot;10916490&quot;,&quot;PMID&quot;:&quot;40489615&quot;,&quot;issued&quot;:{&quot;date-parts&quot;:[[2025,6,17]]},&quot;abstract&quot;:&quot;We use a globally consistent dataset—Google Environmental Insights Explorer—to quantify how urban form and transport infrastructure affect walking and cycling rates in 11,587 cities from 121 countries across six continents. At the city level, population density has the largest effect on walk mode share and has a positive impact on cycling too, as higher densities bring destinations within feasible walk and cycle distances. Density has the strongest effects in wealthier countries where travelers often have more travel choices, while in lower-income places, walking and cycling may be primarily driven by financial constraints. We also find positive effects of bicycle lanes (proxying for a wider array of street design practices) on both walking and cycling. In the median city, each new km of bicycle lanes is associated with ~13,400 additional km yr-1 of bicycle travel. If every city increased the extent of its bicycle network to the level of Copenhagen, Denmark, our simulations indicate reductions in private vehicle emissions of ~6% and health benefits of ~US$435 billion per year.&quot;,&quot;publisher&quot;:&quot;National Academy of Sciences&quot;,&quot;issue&quot;:&quot;24&quot;,&quot;volume&quot;:&quot;122&quot;},&quot;isTemporary&quot;:false,&quot;suppress-author&quot;:false,&quot;composite&quot;:false,&quot;author-only&quot;:false}]},{&quot;citationID&quot;:&quot;MENDELEY_CITATION_85e30b3a-ebc6-4755-9d51-95886b1525ed&quot;,&quot;properties&quot;:{&quot;noteIndex&quot;:0},&quot;isEdited&quot;:false,&quot;manualOverride&quot;:{&quot;isManuallyOverridden&quot;:false,&quot;citeprocText&quot;:&quot;(McCann, 2013)&quot;,&quot;manualOverrideText&quot;:&quot;&quot;},&quot;citationTag&quot;:&quot;MENDELEY_CITATION_v3_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&quot;,&quot;citationItems&quot;:[{&quot;id&quot;:&quot;6972f132-da2c-375b-b0ec-8711c4f52422&quot;,&quot;itemData&quot;:{&quot;type&quot;:&quot;book&quot;,&quot;id&quot;:&quot;6972f132-da2c-375b-b0ec-8711c4f52422&quot;,&quot;title&quot;:&quot;Completing Our Streets: The Transition to Safe and Inclusive Transportation Networks&quot;,&quot;author&quot;:[{&quot;family&quot;:&quot;McCann&quot;,&quot;given&quot;:&quot;Barbara&quot;,&quot;parse-names&quot;:false,&quot;dropping-particle&quot;:&quot;&quot;,&quot;non-dropping-particle&quot;:&quot;&quot;}],&quot;DOI&quot;:&quot;10.5822/978-1-61091-432-1&quot;,&quot;ISBN&quot;:&quot;978-1-61091-432-1&quot;,&quot;issued&quot;:{&quot;date-parts&quot;:[[2013,10,15]]},&quot;edition&quot;:&quot;1&quot;,&quot;publisher&quot;:&quot;Island Press Washington, DC&quot;,&quot;container-title-short&quot;:&quot;&quot;},&quot;isTemporary&quot;:false,&quot;suppress-author&quot;:false,&quot;composite&quot;:false,&quot;author-only&quot;:false}]},{&quot;citationID&quot;:&quot;MENDELEY_CITATION_3ff33a90-811d-4c9a-897d-0f6a0a070182&quot;,&quot;properties&quot;:{&quot;noteIndex&quot;:0},&quot;isEdited&quot;:false,&quot;manualOverride&quot;:{&quot;isManuallyOverridden&quot;:false,&quot;citeprocText&quot;:&quot;(Chahine et al., 2025; Pearson et al., 2025)&quot;,&quot;manualOverrideText&quot;:&quot;&quot;},&quot;citationTag&quot;:&quot;MENDELEY_CITATION_v3_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&quot;,&quot;citationItems&quot;:[{&quot;id&quot;:&quot;004445db-b4c9-3474-95df-567f015fd908&quot;,&quot;itemData&quot;:{&quot;type&quot;:&quot;article-journal&quot;,&quot;id&quot;:&quot;004445db-b4c9-3474-95df-567f015fd908&quot;,&quot;title&quot;:&quot;Effect of protected bike lanes on bike-sharing ridership: A New York City case study&quot;,&quot;author&quot;:[{&quot;family&quot;:&quot;Chahine&quot;,&quot;given&quot;:&quot;Ricardo&quot;,&quot;parse-names&quot;:false,&quot;dropping-particle&quot;:&quot;&quot;,&quot;non-dropping-particle&quot;:&quot;&quot;},{&quot;family&quot;:&quot;Duarte&quot;,&quot;given&quot;:&quot;Jorge&quot;,&quot;parse-names&quot;:false,&quot;dropping-particle&quot;:&quot;&quot;,&quot;non-dropping-particle&quot;:&quot;&quot;},{&quot;family&quot;:&quot;Gkritza&quot;,&quot;given&quot;:&quot;Konstantina&quot;,&quot;parse-names&quot;:false,&quot;dropping-particle&quot;:&quot;&quot;,&quot;non-dropping-particle&quot;:&quot;&quot;}],&quot;container-title&quot;:&quot;Journal of Transport Geography&quot;,&quot;container-title-short&quot;:&quot;J. Transp. Geogr.&quot;,&quot;DOI&quot;:&quot;10.1016/j.jtrangeo.2025.104147&quot;,&quot;ISSN&quot;:&quot;09666923&quot;,&quot;issued&quot;:{&quot;date-parts&quot;:[[2025,2,1]]},&quot;abstract&quot;:&quot;Bike-sharing is an emerging transportation service that has been found to offer a sustainable and convenient option for transportation, especially in urban areas. It also complements transportation for public services such as buses, trains, or subways. Nevertheless, bike-sharing adoption remains low in comparison to car usage, potentially due to cyclists' concerns about their safety on the road. In this regard, this research aims to investigate the impact of the implementation of protected bike lanes on bike-sharing ridership, given that such measures have been found to improve cyclists' road safety perceptions. The study uses ridership data from 2014 to 2019, obtained from the Citi Bike System Data in New York City. A difference-in-differences analysis with multiple time periods and groups was conducted to understand the impact of introducing multiple protected bike lanes in the city. The analysis provided evidence of a significant uptick in ridership after the installation of protected bike lanes, with the most pronounced increases observed in areas directly served by these new lanes. The study did not find apparent trends related to bike lane placement or seasonal variations in introduction dates. Our findings provide specific insights that enhance bike lane placement strategies and improve coordination between operators and stakeholders in this regard.&quot;,&quot;publisher&quot;:&quot;Elsevier Ltd&quot;,&quot;volume&quot;:&quot;123&quot;},&quot;isTemporary&quot;:false},{&quot;id&quot;:&quot;9453b4c2-62da-34f7-8e16-46901306c63b&quot;,&quot;itemData&quot;:{&quot;type&quot;:&quot;article-journal&quot;,&quot;id&quot;:&quot;9453b4c2-62da-34f7-8e16-46901306c63b&quot;,&quot;title&quot;:&quot;Effectiveness of interventions for modal shift to walking and bike riding: a systematic review with meta-analysis&quot;,&quot;author&quot;:[{&quot;family&quot;:&quot;Pearson&quot;,&quot;given&quot;:&quot;Lauren&quot;,&quot;parse-names&quot;:false,&quot;dropping-particle&quot;:&quot;&quot;,&quot;non-dropping-particle&quot;:&quot;&quot;},{&quot;family&quot;:&quot;Page&quot;,&quot;given&quot;:&quot;Matthew J.&quot;,&quot;parse-names&quot;:false,&quot;dropping-particle&quot;:&quot;&quot;,&quot;non-dropping-particle&quot;:&quot;&quot;},{&quot;family&quot;:&quot;Gerhard&quot;,&quot;given&quot;:&quot;Robyn&quot;,&quot;parse-names&quot;:false,&quot;dropping-particle&quot;:&quot;&quot;,&quot;non-dropping-particle&quot;:&quot;&quot;},{&quot;family&quot;:&quot;Clarke&quot;,&quot;given&quot;:&quot;Nyssa&quot;,&quot;parse-names&quot;:false,&quot;dropping-particle&quot;:&quot;&quot;,&quot;non-dropping-particle&quot;:&quot;&quot;},{&quot;family&quot;:&quot;Winters&quot;,&quot;given&quot;:&quot;Meghan&quot;,&quot;parse-names&quot;:false,&quot;dropping-particle&quot;:&quot;&quot;,&quot;non-dropping-particle&quot;:&quot;&quot;},{&quot;family&quot;:&quot;Bauman&quot;,&quot;given&quot;:&quot;Adrian&quot;,&quot;parse-names&quot;:false,&quot;dropping-particle&quot;:&quot;&quot;,&quot;non-dropping-particle&quot;:&quot;&quot;},{&quot;family&quot;:&quot;Arogundade&quot;,&quot;given&quot;:&quot;Laolu&quot;,&quot;parse-names&quot;:false,&quot;dropping-particle&quot;:&quot;&quot;,&quot;non-dropping-particle&quot;:&quot;&quot;},{&quot;family&quot;:&quot;Beck&quot;,&quot;given&quot;:&quot;Ben&quot;,&quot;parse-names&quot;:false,&quot;dropping-particle&quot;:&quot;&quot;,&quot;non-dropping-particle&quot;:&quot;&quot;}],&quot;container-title&quot;:&quot;Transport Reviews&quot;,&quot;container-title-short&quot;:&quot;Transp. Rev.&quot;,&quot;accessed&quot;:{&quot;date-parts&quot;:[[2026,5,19]]},&quot;DOI&quot;:&quot;10.1080/01441647.2025.2480292&quot;,&quot;ISSN&quot;:&quot;14645327&quot;,&quot;URL&quot;:&quot;https://www.tandfonline.com/doi/pdf/10.1080/01441647.2025.2480292&quot;,&quot;issued&quot;:{&quot;date-parts&quot;:[[2025,7,4]]},&quot;page&quot;:&quot;482-513&quot;,&quot;abstract&quot;:&quot;The physical and mental health, environmental, social and economic benefits of shifting from private car travel to active travel (walking and bike riding) are well established (Brand et al., 2021; ...&quot;,&quot;publisher&quot;:&quot;Routledge&quot;,&quot;issue&quot;:&quot;4&quot;,&quot;volume&quot;:&quot;45&quot;},&quot;isTemporary&quot;:false}]},{&quot;citationID&quot;:&quot;MENDELEY_CITATION_876c2a40-c60b-495b-a2ba-a7cff9524f3a&quot;,&quot;properties&quot;:{&quot;noteIndex&quot;:0},&quot;isEdited&quot;:false,&quot;manualOverride&quot;:{&quot;isManuallyOverridden&quot;:true,&quot;citeprocText&quot;:&quot;(Hu &amp;#38; Cicchino, 2024)&quot;,&quot;manualOverrideText&quot;:&quot;(Hu and Cicchino, 2024)&quot;},&quot;citationTag&quot;:&quot;MENDELEY_CITATION_v3_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&quot;,&quot;citationItems&quot;:[{&quot;id&quot;:&quot;1436ea5c-0b1f-3791-90ad-e16d6ef2fad0&quot;,&quot;itemData&quot;:{&quot;type&quot;:&quot;article-journal&quot;,&quot;id&quot;:&quot;1436ea5c-0b1f-3791-90ad-e16d6ef2fad0&quot;,&quot;title&quot;:&quot;Effects of lowering speed limits on crash severity in Seattle&quot;,&quot;author&quot;:[{&quot;family&quot;:&quot;Hu&quot;,&quot;given&quot;:&quot;Wen&quot;,&quot;parse-names&quot;:false,&quot;dropping-particle&quot;:&quot;&quot;,&quot;non-dropping-particle&quot;:&quot;&quot;},{&quot;family&quot;:&quot;Cicchino&quot;,&quot;given&quot;:&quot;Jessica B.&quot;,&quot;parse-names&quot;:false,&quot;dropping-particle&quot;:&quot;&quot;,&quot;non-dropping-particle&quot;:&quot;&quot;}],&quot;container-title&quot;:&quot;Journal of Safety Research&quot;,&quot;container-title-short&quot;:&quot;J. Safety Res.&quot;,&quot;DOI&quot;:&quot;10.1016/j.jsr.2023.11.004&quot;,&quot;ISSN&quot;:&quot;00224375&quot;,&quot;PMID&quot;:&quot;38485360&quot;,&quot;issued&quot;:{&quot;date-parts&quot;:[[2024,2,1]]},&quot;page&quot;:&quot;174-178&quot;,&quot;abstract&quot;:&quot;Introduction: Effective November 2016, the default speed limit in Seattle was lowered from 25 to 20 mph on nonarterial streets and from 30 to 25 mph on arterial streets, unless otherwise posted. In the downtown area, signs indicating the new speed limit were installed on arterials when the lower default limit took effect. Outside the downtown, new speed limit signs were installed on some arterials starting in 2018. The study evaluated effects of the speed limit reduction on crash severity in Seattle. Method: Police-reported crashes in Seattle and three control cities in Washington before and after the speed limit change were examined. Logistic regression analyses evaluated effects of the speed limit reduction on odds that a crash involved a fatal (K), disabling (A), or evident (B) injury inside and outside Seattle's downtown. Separate analyses were performed for all crashes (except those occurring on interstates and freeways), for crashes on arterials, and for crashes on nonarterial roads. Results: The speed limit reduction was associated with a significant 17.2% reduction in odds of a crash involving KAB injury among all crashes and a 19.9% reduction for crashes on arterials in downtown Seattle. There were smaller reductions outside the downtown (7.4% for all crashes and 10.7% for crashes on arterials), but they were not significant. Conclusions: Communities should consider lowering speed limits to improve safety for all road users. When doing so, they should not wait too long to modify speed limit signs to remind drivers of the new speed limits to maximize the safety benefits.&quot;,&quot;publisher&quot;:&quot;Elsevier Ltd&quot;,&quot;volume&quot;:&quot;88&quot;},&quot;isTemporary&quot;:false,&quot;suppress-author&quot;:false,&quot;composite&quot;:false,&quot;author-only&quot;:false}]},{&quot;citationID&quot;:&quot;MENDELEY_CITATION_99940a31-b3d9-4124-9fce-fd1d0e843176&quot;,&quot;properties&quot;:{&quot;noteIndex&quot;:0},&quot;isEdited&quot;:false,&quot;manualOverride&quot;:{&quot;isManuallyOverridden&quot;:false,&quot;citeprocText&quot;:&quot;(Zadey et al., 2025)&quot;,&quot;manualOverrideText&quot;:&quot;&quot;},&quot;citationTag&quot;:&quot;MENDELEY_CITATION_v3_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&quot;,&quot;citationItems&quot;:[{&quot;id&quot;:&quot;063197c5-aa5c-34ea-880e-73a40d134757&quot;,&quot;itemData&quot;:{&quot;type&quot;:&quot;article-journal&quot;,&quot;id&quot;:&quot;063197c5-aa5c-34ea-880e-73a40d134757&quot;,&quot;title&quot;:&quot;Effectiveness of leading pedestrian intervals for city walkers’ safety&quot;,&quot;author&quot;:[{&quot;family&quot;:&quot;Zadey&quot;,&quot;given&quot;:&quot;Siddhesh&quot;,&quot;parse-names&quot;:false,&quot;dropping-particle&quot;:&quot;&quot;,&quot;non-dropping-particle&quot;:&quot;&quot;},{&quot;family&quot;:&quot;Roberts&quot;,&quot;given&quot;:&quot;Leah E.&quot;,&quot;parse-names&quot;:false,&quot;dropping-particle&quot;:&quot;&quot;,&quot;non-dropping-particle&quot;:&quot;&quot;},{&quot;family&quot;:&quot;Bushover&quot;,&quot;given&quot;:&quot;Brady&quot;,&quot;parse-names&quot;:false,&quot;dropping-particle&quot;:&quot;&quot;,&quot;non-dropping-particle&quot;:&quot;&quot;},{&quot;family&quot;:&quot;Gobaud&quot;,&quot;given&quot;:&quot;Ariana N.&quot;,&quot;parse-names&quot;:false,&quot;dropping-particle&quot;:&quot;&quot;,&quot;non-dropping-particle&quot;:&quot;&quot;},{&quot;family&quot;:&quot;Mehranbod&quot;,&quot;given&quot;:&quot;Christina A.&quot;,&quot;parse-names&quot;:false,&quot;dropping-particle&quot;:&quot;&quot;,&quot;non-dropping-particle&quot;:&quot;&quot;},{&quot;family&quot;:&quot;Fish&quot;,&quot;given&quot;:&quot;Carolyn S.&quot;,&quot;parse-names&quot;:false,&quot;dropping-particle&quot;:&quot;&quot;,&quot;non-dropping-particle&quot;:&quot;&quot;},{&quot;family&quot;:&quot;Eschliman&quot;,&quot;given&quot;:&quot;Evan L.&quot;,&quot;parse-names&quot;:false,&quot;dropping-particle&quot;:&quot;&quot;,&quot;non-dropping-particle&quot;:&quot;&quot;},{&quot;family&quot;:&quot;Gao&quot;,&quot;given&quot;:&quot;Xiang&quot;,&quot;parse-names&quot;:false,&quot;dropping-particle&quot;:&quot;&quot;,&quot;non-dropping-particle&quot;:&quot;&quot;},{&quot;family&quot;:&quot;Goin&quot;,&quot;given&quot;:&quot;Dana E.&quot;,&quot;parse-names&quot;:false,&quot;dropping-particle&quot;:&quot;&quot;,&quot;non-dropping-particle&quot;:&quot;&quot;},{&quot;family&quot;:&quot;Morrison&quot;,&quot;given&quot;:&quot;Christopher N.&quot;,&quot;parse-names&quot;:false,&quot;dropping-particle&quot;:&quot;&quot;,&quot;non-dropping-particle&quot;:&quot;&quot;}],&quot;container-title&quot;:&quot;Nature Cities&quot;,&quot;DOI&quot;:&quot;10.1038/s44284-025-00267-1&quot;,&quot;issued&quot;:{&quot;date-parts&quot;:[[2025,7,18]]},&quot;page&quot;:&quot;608-612&quot;,&quot;publisher&quot;:&quot;Springer Science and Business Media LLC&quot;,&quot;issue&quot;:&quot;7&quot;,&quot;volume&quot;:&quot;2&quot;,&quot;container-title-short&quot;:&quot;&quot;},&quot;isTemporary&quot;:false,&quot;suppress-author&quot;:false,&quot;composite&quot;:false,&quot;author-only&quot;:false}]},{&quot;citationID&quot;:&quot;MENDELEY_CITATION_5f53b576-b946-431c-a7f6-775fa9bc42f9&quot;,&quot;properties&quot;:{&quot;noteIndex&quot;:0},&quot;isEdited&quot;:false,&quot;manualOverride&quot;:{&quot;isManuallyOverridden&quot;:true,&quot;citeprocText&quot;:&quot;(Elvik &amp;#38; Bjørnskau, 2017)&quot;,&quot;manualOverrideText&quot;:&quot;(Elvik and Bjørnskau, 2017)&quot;},&quot;citationTag&quot;:&quot;MENDELEY_CITATION_v3_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&quot;,&quot;citationItems&quot;:[{&quot;id&quot;:&quot;bb3231a8-b1a6-3578-9d6f-a1a8ae8e15b3&quot;,&quot;itemData&quot;:{&quot;type&quot;:&quot;article-journal&quot;,&quot;id&quot;:&quot;bb3231a8-b1a6-3578-9d6f-a1a8ae8e15b3&quot;,&quot;title&quot;:&quot;Safety-in-numbers: A systematic review and meta-analysis of evidence&quot;,&quot;author&quot;:[{&quot;family&quot;:&quot;Elvik&quot;,&quot;given&quot;:&quot;Rune&quot;,&quot;parse-names&quot;:false,&quot;dropping-particle&quot;:&quot;&quot;,&quot;non-dropping-particle&quot;:&quot;&quot;},{&quot;family&quot;:&quot;Bjørnskau&quot;,&quot;given&quot;:&quot;Torkel&quot;,&quot;parse-names&quot;:false,&quot;dropping-particle&quot;:&quot;&quot;,&quot;non-dropping-particle&quot;:&quot;&quot;}],&quot;container-title&quot;:&quot;Safety Science&quot;,&quot;container-title-short&quot;:&quot;Saf. Sci.&quot;,&quot;DOI&quot;:&quot;10.1016/j.ssci.2015.07.017&quot;,&quot;ISSN&quot;:&quot;18791042&quot;,&quot;issued&quot;:{&quot;date-parts&quot;:[[2017,2,1]]},&quot;page&quot;:&quot;274-282&quot;,&quot;abstract&quot;:&quot;This paper presents a systematic review and meta-analysis of studies that have estimated the relationship between the number of accidents involving motor vehicles and cyclists or pedestrians and the volume of motor vehicles, cyclists and pedestrians. A key objective of most of these studies has been to determine if there is a safety-in-numbers effect. There is safety-in-numbers if the number of accidents increases less than proportionally to traffic volume (for motor vehicles, pedestrians and cyclists). All studies reviewed in the paper are multivariate accident prediction models, estimating regression coefficients that show how the number of accidents depends on the conflicting flows (pedestrians, cyclists, motor vehicles), as well as (in some of the models) other factors that influence the number of accidents. Meta-analysis of regression coefficients involves methodological problems, which require careful consideration of whether the coefficients are sufficiently comparable to be formally synthesised by means of standard techniques of meta-analysis. The comparability of regression coefficients was assessed. It was concluded that a formal synthesis of regression coefficients in studies of the safety-in-numbers effect is defensible. According to a random-effects inverse-variance meta-analysis, the summary estimates of the regression coefficients for traffic volume are 0.50 for motor vehicle volume, 0.43 for cycle volume and 0.51 for pedestrian volume. Estimates are highly consistent between studies. It is concluded that a safety-in-numbers effect exists. It is still not clear whether this effect is causal, nor, if causal, which mechanisms generate the effect.&quot;,&quot;publisher&quot;:&quot;Elsevier B.V.&quot;,&quot;volume&quot;:&quot;92&quot;},&quot;isTemporary&quot;:false,&quot;suppress-author&quot;:false,&quot;composite&quot;:false,&quot;author-only&quot;:false}]},{&quot;citationID&quot;:&quot;MENDELEY_CITATION_4b8ff610-3786-4069-9c85-3ba13b8aae26&quot;,&quot;properties&quot;:{&quot;noteIndex&quot;:0},&quot;isEdited&quot;:false,&quot;manualOverride&quot;:{&quot;isManuallyOverridden&quot;:false,&quot;citeprocText&quot;:&quot;(Chalfin et al., 2022)&quot;,&quot;manualOverrideText&quot;:&quot;&quot;},&quot;citationTag&quot;:&quot;MENDELEY_CITATION_v3_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&quot;,&quot;citationItems&quot;:[{&quot;id&quot;:&quot;3cc63878-5560-3f1a-8067-d07e63cf2f75&quot;,&quot;itemData&quot;:{&quot;type&quot;:&quot;article-journal&quot;,&quot;id&quot;:&quot;3cc63878-5560-3f1a-8067-d07e63cf2f75&quot;,&quot;title&quot;:&quot;Reducing Crime Through Environmental Design: Evidence from a Randomized Experiment of Street Lighting in New York City&quot;,&quot;author&quot;:[{&quot;family&quot;:&quot;Chalfin&quot;,&quot;given&quot;:&quot;Aaron&quot;,&quot;parse-names&quot;:false,&quot;dropping-particle&quot;:&quot;&quot;,&quot;non-dropping-particle&quot;:&quot;&quot;},{&quot;family&quot;:&quot;Hansen&quot;,&quot;given&quot;:&quot;Benjamin&quot;,&quot;parse-names&quot;:false,&quot;dropping-particle&quot;:&quot;&quot;,&quot;non-dropping-particle&quot;:&quot;&quot;},{&quot;family&quot;:&quot;Lerner&quot;,&quot;given&quot;:&quot;Jason&quot;,&quot;parse-names&quot;:false,&quot;dropping-particle&quot;:&quot;&quot;,&quot;non-dropping-particle&quot;:&quot;&quot;},{&quot;family&quot;:&quot;Parker&quot;,&quot;given&quot;:&quot;Lucie&quot;,&quot;parse-names&quot;:false,&quot;dropping-particle&quot;:&quot;&quot;,&quot;non-dropping-particle&quot;:&quot;&quot;}],&quot;container-title&quot;:&quot;Journal of Quantitative Criminology&quot;,&quot;container-title-short&quot;:&quot;J. Quant. Criminol.&quot;,&quot;DOI&quot;:&quot;10.1007/s10940-020-09490-6&quot;,&quot;ISSN&quot;:&quot;15737799&quot;,&quot;issued&quot;:{&quot;date-parts&quot;:[[2022,3,1]]},&quot;page&quot;:&quot;127-157&quot;,&quot;abstract&quot;:&quot;Objectives: This paper offers novel experimental evidence that violent crimes can be successfully reduced by changing the situational environment that potential victims and offenders face. We focus on a ubiquitous but understudied feature of the urban landscape—street lighting—and report the first experimental evidence on the effect of street lighting on crime. Methods: Through a unique public partnership in New York City, temporary street lights were randomly allocated to 40 of the city’s public housing developments. Results: We find evidence that communities that were assigned more lighting experienced sizable reductions in nighttime outdoor index crimes. We also observe a large decline in arrests indicating that deterrence is the most likely mechanism through which the intervention reduced crime. Conclusion: Results suggests that street lighting, when deployed tactically, may be a means through which policymakers can control crime without widening the net of the criminal justice system.&quot;,&quot;publisher&quot;:&quot;Springer&quot;,&quot;issue&quot;:&quot;1&quot;,&quot;volume&quot;:&quot;38&quot;},&quot;isTemporary&quot;:false,&quot;suppress-author&quot;:false,&quot;composite&quot;:false,&quot;author-only&quot;:false}]},{&quot;citationID&quot;:&quot;MENDELEY_CITATION_04989b82-b79f-417a-bc7b-d7b069696ae0&quot;,&quot;properties&quot;:{&quot;noteIndex&quot;:0},&quot;isEdited&quot;:false,&quot;manualOverride&quot;:{&quot;isManuallyOverridden&quot;:true,&quot;citeprocText&quot;:&quot;(Branas et al., 2018; Lee et al., 2023)&quot;,&quot;manualOverrideText&quot;:&quot;Branas et al., 2018; Lee et al., 2023&quot;},&quot;citationTag&quot;:&quot;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&quot;,&quot;citationItems&quot;:[{&quot;id&quot;:&quot;7ac1a6ed-3986-3c7d-a5a9-657c2ec82b8a&quot;,&quot;itemData&quot;:{&quot;type&quot;:&quot;article-journal&quot;,&quot;id&quot;:&quot;7ac1a6ed-3986-3c7d-a5a9-657c2ec82b8a&quot;,&quot;title&quot;:&quot;Citywide cluster randomized trial to restore blighted vacant land and its effects on violence, crime, and fear&quot;,&quot;author&quot;:[{&quot;family&quot;:&quot;Branas&quot;,&quot;given&quot;:&quot;Charles C.&quot;,&quot;parse-names&quot;:false,&quot;dropping-particle&quot;:&quot;&quot;,&quot;non-dropping-particle&quot;:&quot;&quot;},{&quot;family&quot;:&quot;South&quot;,&quot;given&quot;:&quot;Eugenia&quot;,&quot;parse-names&quot;:false,&quot;dropping-particle&quot;:&quot;&quot;,&quot;non-dropping-particle&quot;:&quot;&quot;},{&quot;family&quot;:&quot;Kondo&quot;,&quot;given&quot;:&quot;Michelle C.&quot;,&quot;parse-names&quot;:false,&quot;dropping-particle&quot;:&quot;&quot;,&quot;non-dropping-particle&quot;:&quot;&quot;},{&quot;family&quot;:&quot;Hohl&quot;,&quot;given&quot;:&quot;Bernadette C.&quot;,&quot;parse-names&quot;:false,&quot;dropping-particle&quot;:&quot;&quot;,&quot;non-dropping-particle&quot;:&quot;&quot;},{&quot;family&quot;:&quot;Bourgois&quot;,&quot;given&quot;:&quot;Philippe&quot;,&quot;parse-names&quot;:false,&quot;dropping-particle&quot;:&quot;&quot;,&quot;non-dropping-particle&quot;:&quot;&quot;},{&quot;family&quot;:&quot;Wiebe&quot;,&quot;given&quot;:&quot;Douglas J.&quot;,&quot;parse-names&quot;:false,&quot;dropping-particle&quot;:&quot;&quot;,&quot;non-dropping-particle&quot;:&quot;&quot;},{&quot;family&quot;:&quot;MacDonald&quot;,&quot;given&quot;:&quot;John M.&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1718503115&quot;,&quot;ISSN&quot;:&quot;10916490&quot;,&quot;PMID&quot;:&quot;29483246&quot;,&quot;issued&quot;:{&quot;date-parts&quot;:[[2018,3,20]]},&quot;page&quot;:&quot;2946-2951&quot;,&quot;abstract&quot;:&quot;Vacant and blighted urban land is a widespread and potentially risky environmental condition encountered by millions of people on a daily basis. About 15% of the land in US cities is deemed vacant or abandoned, an area roughly the size of Switzerland. In a citywide cluster randomized controlled trial, we investigated the effects of standardized, reproducible interventions that restore vacant land on the commission of violence, crime, and the perceptions of fear and safety. Quantitative and ethnographic analyses were included in a mixed-methods approach to more fully test and explicate our findings. A total of 541 randomly sampled vacant lots were randomly assigned into treatment and control study arms; outcomes from police and 445 randomly sampled participants were analyzed over a 38-month study period. Participants living near treated vacant lots reported significantly reduced perceptions of crime (-36.8%, P &lt; 0.05), vandalism (-39.3%, P &lt; 0.05), and safety concerns when going outside their homes (-57.8%, P &lt; 0.05), as well as significantly increased use of outside spaces for relaxing and socializing (75.7%, P &lt; 0.01). Significant reductions in crime overall (-13.3%, P &lt; 0.01), gun violence (-29.1%, P &lt; 0.001), burglary (-21.9%, P &lt; 0.001), and nuisances (-30.3%, P &lt; 0.05) were also found after the treatment of vacant lots in neighborhoods below the poverty line. Blighted and vacant urban land affects people's perceptions of safety, and their actual, physical safety. Restoration of this land can be an effective and scalable infrastructure intervention for gun violence, crime, and fear in urban neighborhoods.&quot;,&quot;publisher&quot;:&quot;National Academy of Sciences&quot;,&quot;issue&quot;:&quot;12&quot;,&quot;volume&quot;:&quot;115&quot;},&quot;isTemporary&quot;:false},{&quot;id&quot;:&quot;dc235ce9-6441-3be9-981d-d1840d6ccd2e&quot;,&quot;itemData&quot;:{&quot;type&quot;:&quot;article-journal&quot;,&quot;id&quot;:&quot;dc235ce9-6441-3be9-981d-d1840d6ccd2e&quot;,&quot;title&quot;:&quot;Street environments and crime around low-income and minority schools: Adopting an environmental audit tool to assess crime prevention through environmental design (CPTED)&quot;,&quot;author&quot;:[{&quot;family&quot;:&quot;Lee&quot;,&quot;given&quot;:&quot;Sungmin&quot;,&quot;parse-names&quot;:false,&quot;dropping-particle&quot;:&quot;&quot;,&quot;non-dropping-particle&quot;:&quot;&quot;},{&quot;family&quot;:&quot;Lee&quot;,&quot;given&quot;:&quot;Chanam&quot;,&quot;parse-names&quot;:false,&quot;dropping-particle&quot;:&quot;&quot;,&quot;non-dropping-particle&quot;:&quot;&quot;},{&quot;family&quot;:&quot;Won Nam&quot;,&quot;given&quot;:&quot;Ji&quot;,&quot;parse-names&quot;:false,&quot;dropping-particle&quot;:&quot;&quot;,&quot;non-dropping-particle&quot;:&quot;&quot;},{&quot;family&quot;:&quot;Vernez Moudon&quot;,&quot;given&quot;:&quot;Anne&quot;,&quot;parse-names&quot;:false,&quot;dropping-particle&quot;:&quot;&quot;,&quot;non-dropping-particle&quot;:&quot;&quot;},{&quot;family&quot;:&quot;Mendoza&quot;,&quot;given&quot;:&quot;Jason A.&quot;,&quot;parse-names&quot;:false,&quot;dropping-particle&quot;:&quot;&quot;,&quot;non-dropping-particle&quot;:&quot;&quot;}],&quot;container-title&quot;:&quot;Landscape and Urban Planning&quot;,&quot;container-title-short&quot;:&quot;Landsc. Urban Plan.&quot;,&quot;DOI&quot;:&quot;10.1016/j.landurbplan.2022.104676&quot;,&quot;ISSN&quot;:&quot;01692046&quot;,&quot;issued&quot;:{&quot;date-parts&quot;:[[2023,4,1]]},&quot;abstract&quot;:&quot;Crime prevention through environmental design (CPTED) suggests an association between micro-scale environmental conditions and crime, but little empirical research exists on the detailed street-level environmental features associated with crime near low-income and minority schools. This study focuses on the neighborhoods around 14 elementary schools serving lower income populations in Seattle, WA to assess if the distribution of crime incidences (2013–2017) is linked with the street-level environmental features that reflect CPTED principles. We used a total of 40 audit variables that were included in the four domains derived from the broken windows theory and CPTED principles: natural surveillance (e.g., number of windows, balconies, and a sense of surveillance), territoriality (e.g., crime watch signs, trees), image/maintenance (e.g., graffiti and a sense of maintenance/cleanness), and geographical juxtaposition (e.g., bus stops, presence of arterial). We found that multiple crime types had significant associations with CPTED components at the street level. Among the CPTED domains, two image/maintenance features (i.e., maintenance of streets and visual quality of buildings) and two geographical juxtaposition features (i.e., being adjacent to multi-family housing and bus stops) were consistently associated with both violent and property crime. The findings suggest that local efforts to improve maintenance of streets and visual quality of buildings and broader planning efforts to control specific land uses near schools are important to improve safety in marginalized neighborhoods near schools that tend to be more vulnerable to crime. Our research on micro-scale environmental determinants of crime can also serve as promising targets for CPTED research and initiatives.&quot;,&quot;publisher&quot;:&quot;Elsevier B.V.&quot;,&quot;volume&quot;:&quot;232&quot;},&quot;isTemporary&quot;:false}]},{&quot;citationID&quot;:&quot;MENDELEY_CITATION_75e7f3de-6aff-4715-bc9e-e966db063aa5&quot;,&quot;properties&quot;:{&quot;noteIndex&quot;:0},&quot;isEdited&quot;:false,&quot;manualOverride&quot;:{&quot;isManuallyOverridden&quot;:false,&quot;citeprocText&quot;:&quot;(Jauregui et al., 2025)&quot;,&quot;manualOverrideText&quot;:&quot;&quot;},&quot;citationTag&quot;:&quot;MENDELEY_CITATION_v3_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&quot;,&quot;citationItems&quot;:[{&quot;id&quot;:&quot;32fe2049-7608-3388-8fd3-f3c6ee148e19&quot;,&quot;itemData&quot;:{&quot;type&quot;:&quot;article-journal&quot;,&quot;id&quot;:&quot;32fe2049-7608-3388-8fd3-f3c6ee148e19&quot;,&quot;title&quot;:&quot;Women's Safety Perception Before and After the Reconstruction of an Urban Area: A Mixed-Method Research&quot;,&quot;author&quot;:[{&quot;family&quot;:&quot;Jauregui&quot;,&quot;given&quot;:&quot;Carlota&quot;,&quot;parse-names&quot;:false,&quot;dropping-particle&quot;:&quot;&quot;,&quot;non-dropping-particle&quot;:&quot;&quot;},{&quot;family&quot;:&quot;Trinidad&quot;,&quot;given&quot;:&quot;Alexander&quot;,&quot;parse-names&quot;:false,&quot;dropping-particle&quot;:&quot;&quot;,&quot;non-dropping-particle&quot;:&quot;&quot;},{&quot;family&quot;:&quot;Vozmediano&quot;,&quot;given&quot;:&quot;Laura&quot;,&quot;parse-names&quot;:false,&quot;dropping-particle&quot;:&quot;&quot;,&quot;non-dropping-particle&quot;:&quot;&quot;}],&quot;container-title&quot;:&quot;Violence Against Women&quot;,&quot;container-title-short&quot;:&quot;Violence Against Women&quot;,&quot;DOI&quot;:&quot;10.1177/10778012251362225&quot;,&quot;ISSN&quot;:&quot;15528448&quot;,&quot;issued&quot;:{&quot;date-parts&quot;:[[2025,7,1]]},&quot;abstract&quot;:&quot;This study examines women's perceptions of safety in a high-risk area undergoing urban redesign. Using a mixed-method approach—systematic observation, surveys, and safety walks before and after the intervention—it explores how the built environment influences feelings of insecurity. Grounded in Crime Prevention Through Environmental Design, the research integrates quantitative and qualitative data to provide a comprehensive understanding of safety. It highlights the often-overlooked issue of women's safety in public spaces and offers insights to guide urban planners and policymakers in creating inclusive, safety-focused design strategies that enhance well-being in public environments.&quot;,&quot;publisher&quot;:&quot;SAGE Publications Inc.&quot;},&quot;isTemporary&quot;:false,&quot;suppress-author&quot;:false,&quot;composite&quot;:false,&quot;author-only&quot;:false}]},{&quot;citationID&quot;:&quot;MENDELEY_CITATION_a9c48546-377d-4023-92e9-02e7ae661a82&quot;,&quot;properties&quot;:{&quot;noteIndex&quot;:0},&quot;isEdited&quot;:false,&quot;manualOverride&quot;:{&quot;isManuallyOverridden&quot;:true,&quot;citeprocText&quot;:&quot;(Ewing &amp;#38; Cervero, 2010)&quot;,&quot;manualOverrideText&quot;:&quot;Ewing and Cervero, 2010&quot;},&quot;citationTag&quot;:&quot;MENDELEY_CITATION_v3_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&quot;,&quot;citationItems&quot;:[{&quot;id&quot;:&quot;35751faf-b740-3c37-908b-78276d744036&quot;,&quot;itemData&quot;:{&quot;type&quot;:&quot;article-journal&quot;,&quot;id&quot;:&quot;35751faf-b740-3c37-908b-78276d744036&quot;,&quot;title&quot;:&quot;Travel and the Built Environment&quot;,&quot;author&quot;:[{&quot;family&quot;:&quot;Ewing&quot;,&quot;given&quot;:&quot;Reid&quot;,&quot;parse-names&quot;:false,&quot;dropping-particle&quot;:&quot;&quot;,&quot;non-dropping-particle&quot;:&quot;&quot;},{&quot;family&quot;:&quot;Cervero&quot;,&quot;given&quot;:&quot;Robert&quot;,&quot;parse-names&quot;:false,&quot;dropping-particle&quot;:&quot;&quot;,&quot;non-dropping-particle&quot;:&quot;&quot;}],&quot;container-title&quot;:&quot;Journal of the American Planning Association&quot;,&quot;accessed&quot;:{&quot;date-parts&quot;:[[2026,4,1]]},&quot;DOI&quot;:&quot;10.1080/01944361003766766&quot;,&quot;ISSN&quot;:&quot;01944363&quot;,&quot;URL&quot;:&quot;https://scholar.google.com/scholar_url?url=https://www.tandfonline.com/doi/pdf/10.1080/01944361003766766%3Fcasa_token%3DTI679a8Fi0cAAAAA:tP2p6DnrKSoKgWYHwQW448iQCfedBwCQynkPYx5moI5gAK7dFfXaLvI2NjOEF-rr6Zx6eAGduKfc&amp;hl=en&amp;sa=T&amp;oi=ucasa&amp;ct=ucasa&amp;ei=_wDOadC7OJrUieoP09LTqA0&amp;scisig=ADi0EEUFB4b-9J5C7NXvlXNcivhc&quot;,&quot;issued&quot;:{&quot;date-parts&quot;:[[2010,6]]},&quot;page&quot;:&quot;265-294&quot;,&quot;abstract&quot;:&quot;Some of today's most vexing problems, including sprawl, congestion, oil dependence, and climate change, are prompting states and localities to turn to land planning and urban design to rein in auto...&quot;,&quot;publisher&quot;:&quot;Taylor &amp; Francis Group&quot;,&quot;issue&quot;:&quot;3&quot;,&quot;volume&quot;:&quot;76&quot;,&quot;container-title-short&quot;:&quot;&quot;},&quot;isTemporary&quot;:false,&quot;suppress-author&quot;:false,&quot;composite&quot;:false,&quot;author-only&quot;:false}]},{&quot;citationID&quot;:&quot;MENDELEY_CITATION_01fba178-ba70-4045-8f0c-d4119adfc9f8&quot;,&quot;properties&quot;:{&quot;noteIndex&quot;:0},&quot;isEdited&quot;:false,&quot;manualOverride&quot;:{&quot;isManuallyOverridden&quot;:true,&quot;citeprocText&quot;:&quot;(Tuffour et al., 2025)&quot;,&quot;manualOverrideText&quot;:&quot;Tuffour et al., 2025&quot;},&quot;citationTag&quot;:&quot;MENDELEY_CITATION_v3_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&quot;,&quot;citationItems&quot;:[{&quot;id&quot;:&quot;e9dccdbb-1e4f-39d7-afd3-dc85579a48e9&quot;,&quot;itemData&quot;:{&quot;type&quot;:&quot;article-journal&quot;,&quot;id&quot;:&quot;e9dccdbb-1e4f-39d7-afd3-dc85579a48e9&quot;,&quot;title&quot;:&quot;Do mixed-use developments optimize VMT and emissions reduction? Evidence from 36 regions&quot;,&quot;author&quot;:[{&quot;family&quot;:&quot;Tuffour&quot;,&quot;given&quot;:&quot;Justice P.&quot;,&quot;parse-names&quot;:false,&quot;dropping-particle&quot;:&quot;&quot;,&quot;non-dropping-particle&quot;:&quot;&quot;},{&quot;family&quot;:&quot;Ewing&quot;,&quot;given&quot;:&quot;Reid&quot;,&quot;parse-names&quot;:false,&quot;dropping-particle&quot;:&quot;&quot;,&quot;non-dropping-particle&quot;:&quot;&quot;},{&quot;family&quot;:&quot;Brewer&quot;,&quot;given&quot;:&quot;Simon&quot;,&quot;parse-names&quot;:false,&quot;dropping-particle&quot;:&quot;&quot;,&quot;non-dropping-particle&quot;:&quot;&quot;},{&quot;family&quot;:&quot;Tian&quot;,&quot;given&quot;:&quot;Guang&quot;,&quot;parse-names&quot;:false,&quot;dropping-particle&quot;:&quot;&quot;,&quot;non-dropping-particle&quot;:&quot;&quot;}],&quot;container-title&quot;:&quot;Transportation Research Part D: Transport and Environment&quot;,&quot;container-title-short&quot;:&quot;Transp. Res. D Transp. Environ.&quot;,&quot;DOI&quot;:&quot;10.1016/j.trd.2025.104944&quot;,&quot;ISSN&quot;:&quot;13619209&quot;,&quot;issued&quot;:{&quot;date-parts&quot;:[[2025,10,1]]},&quot;abstract&quot;:&quot;Mixed-use developments (MXDs) have dovetailed nicely as a development design strategy to lower VMT by concentrating diverse activities within walkable compact environments. Despite their conceptual appeal, estimating their actual impacts on vehicle trips and environmental quality remains both limited and challenging for agencies and local governments due to inconsistencies in existing traffic impact methodologies, which fail to account for regional variability. This study addresses these limitations by using advanced Gaussian multi-level regression models and K-fold cross-validation, incorporating the famous 7-D built environment variables to estimate comparative VMT and GHG emissions across 710 MXDs in 36 U.S. regions. We find that MXDs generate about one-third less VMT than conventional developments, with up to an 80% reduction in certain regions. Over time, MXDs generate even fewer vehicle trips (about 50% less) and significantly lower CO2e, suggesting positive impacts on lessening both traffic congestion and climate pollution in cities. Our study refines the methodology for estimating development-generated VMT while providing insights for shaping low-emission communities that align with modern sustainability goals.&quot;,&quot;publisher&quot;:&quot;Elsevier Ltd&quot;,&quot;volume&quot;:&quot;147&quot;},&quot;isTemporary&quot;:false,&quot;suppress-author&quot;:false,&quot;composite&quot;:false,&quot;author-only&quot;:false}]},{&quot;citationID&quot;:&quot;MENDELEY_CITATION_885430af-6b17-40bd-826d-e15af461af28&quot;,&quot;properties&quot;:{&quot;noteIndex&quot;:0},&quot;isEdited&quot;:false,&quot;manualOverride&quot;:{&quot;isManuallyOverridden&quot;:false,&quot;citeprocText&quot;:&quot;(Johnson et al., 2023; Meng et al., 2025)&quot;,&quot;manualOverrideText&quot;:&quot;&quot;},&quot;citationTag&quot;:&quot;MENDELEY_CITATION_v3_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&quot;,&quot;citationItems&quot;:[{&quot;id&quot;:&quot;3a77a65c-091b-3995-a0de-f9a5c497392f&quot;,&quot;itemData&quot;:{&quot;type&quot;:&quot;article-journal&quot;,&quot;id&quot;:&quot;3a77a65c-091b-3995-a0de-f9a5c497392f&quot;,&quot;title&quot;:&quot;Impacts of e-bike ownership on travel behavior: Evidence from three northern California rebate programs&quot;,&quot;author&quot;:[{&quot;family&quot;:&quot;Johnson&quot;,&quot;given&quot;:&quot;Nicholas&quot;,&quot;parse-names&quot;:false,&quot;dropping-particle&quot;:&quot;&quot;,&quot;non-dropping-particle&quot;:&quot;&quot;},{&quot;family&quot;:&quot;Fitch-Polse&quot;,&quot;given&quot;:&quot;Dillon T.&quot;,&quot;parse-names&quot;:false,&quot;dropping-particle&quot;:&quot;&quot;,&quot;non-dropping-particle&quot;:&quot;&quot;},{&quot;family&quot;:&quot;Handy&quot;,&quot;given&quot;:&quot;Susan L.&quot;,&quot;parse-names&quot;:false,&quot;dropping-particle&quot;:&quot;&quot;,&quot;non-dropping-particle&quot;:&quot;&quot;}],&quot;container-title&quot;:&quot;Transport Policy&quot;,&quot;container-title-short&quot;:&quot;Transp. Policy (Oxf).&quot;,&quot;DOI&quot;:&quot;10.1016/j.tranpol.2023.06.014&quot;,&quot;ISSN&quot;:&quot;1879310X&quot;,&quot;issued&quot;:{&quot;date-parts&quot;:[[2023,9,1]]},&quot;page&quot;:&quot;163-174&quot;,&quot;abstract&quot;:&quot;E-bike incentive programs are being utilized across the United States to encourage the adoption of active modes of travel. This study assesses the impacts of three e-bike rebate programs in Northern California using data from surveys of rebate recipients. We answer three research questions: how has e-bike ownership impacted the mode choices, trip purpose, and travel frequency of new adopters?; how much do e-bike rebate recipients reduce their transportation-related GHG emissions?; how did the design of each program impact who was able to participate and the program outcomes? The analysis reveals changes in travel behavior and the replacement of car travel, as well as variation in outcomes by program design. E-bike recipients reported more regular bike use after getting their e-bike, although their frequency of bicycle use declined over time. Most respondents also reported replacing car trips with their e-bikes somewhat regularly (1–3 times per week and 1–3 times per month). However, many of these same respondents reported that they used their e-bikes most often for recreational travel. We estimated a monthly reduction of 12–44 kg of CO2 per rebate participant, similar to the GHG emissions reductions observed in past studies. The program with the larger rebate and stronger low-income requirements successfully reached those most in need of financial assistance (as self-reported). However, those requirements did not reach a diverse recipient pool by other metrics (e.g., gender, race).&quot;,&quot;publisher&quot;:&quot;Elsevier Ltd&quot;,&quot;volume&quot;:&quot;140&quot;},&quot;isTemporary&quot;:false},{&quot;id&quot;:&quot;30fa841a-c94f-3f7a-934d-0544aa2a6b59&quot;,&quot;itemData&quot;:{&quot;type&quot;:&quot;article-journal&quot;,&quot;id&quot;:&quot;30fa841a-c94f-3f7a-934d-0544aa2a6b59&quot;,&quot;title&quot;:&quot;Purchase process, travel behavior, and equity implications of e-bike rebates in Eugene, Oregon&quot;,&quot;author&quot;:[{&quot;family&quot;:&quot;Meng&quot;,&quot;given&quot;:&quot;Sian&quot;,&quot;parse-names&quot;:false,&quot;dropping-particle&quot;:&quot;&quot;,&quot;non-dropping-particle&quot;:&quot;&quot;},{&quot;family&quot;:&quot;Brown&quot;,&quot;given&quot;:&quot;Anne&quot;,&quot;parse-names&quot;:false,&quot;dropping-particle&quot;:&quot;&quot;,&quot;non-dropping-particle&quot;:&quot;&quot;},{&quot;family&quot;:&quot;Schlossberg&quot;,&quot;given&quot;:&quot;Marc&quot;,&quot;parse-names&quot;:false,&quot;dropping-particle&quot;:&quot;&quot;,&quot;non-dropping-particle&quot;:&quot;&quot;}],&quot;container-title&quot;:&quot;Case Studies on Transport Policy&quot;,&quot;container-title-short&quot;:&quot;Case Stud. Transp. Policy&quot;,&quot;DOI&quot;:&quot;10.1016/j.cstp.2025.101594&quot;,&quot;ISSN&quot;:&quot;22136258&quot;,&quot;issued&quot;:{&quot;date-parts&quot;:[[2025,12,1]]},&quot;abstract&quot;:&quot;Electric bicycles, or e-bikes, offer a transformative, equitable, and eco-friendly urban transportation solution. To encourage e-bike adoption, many organizations and governments provide incentive programs, such as rebates, to defray purchase costs. Despite the rise of these rebate programs, their impact on purchase decisions and travel behaviors remains largely unevaluated. This paper examines an e-bike rebate program administered in Eugene, Oregon, where the public utility began offering $300 e-bike rebates in April 2022. Specifically, we collected online survey responses from 324 rebate recipients and employed descriptive and mixed ordinal logistic regression analyses to investigate participants’ characteristics, the rebate's role in the purchase process, and e-bike use. Most participants use e-bikes to replace car trips, signifying the potential of e-bikes to reduce auto dependence and advance mode shift and climate goals. The study also identifies how age, e-bike cost, and car ownership shaped participants’ perceptions of the rebate's impact on purchase behaviors. People who are young, male, earn low incomes, previously owned non-electric bicycles, and hold graduate degrees ride their e-bikes more frequently than other rebate recipients. Yet results also show that e-bike rebate recipients are disproportionately male, White, higher-income, and hold graduate degrees, suggesting that the rebate's benefits are not evenly distributed across demographic groups. These findings inform specific and actionable policy recommendations to address the identified equity gaps, such as implementing tiered, income-based, and point-of-sale rebates. Such changes can foster a more equitable integration of e-bikes into the sustainable urban mobility system.&quot;,&quot;publisher&quot;:&quot;Elsevier Ltd&quot;,&quot;volume&quot;:&quot;22&quot;},&quot;isTemporary&quot;:false}]},{&quot;citationID&quot;:&quot;MENDELEY_CITATION_e7ac71d6-3f4a-49f8-83f8-a4246a5f2c9f&quot;,&quot;properties&quot;:{&quot;noteIndex&quot;:0},&quot;isEdited&quot;:false,&quot;manualOverride&quot;:{&quot;isManuallyOverridden&quot;:false,&quot;citeprocText&quot;:&quot;(Bauman et al., 2016)&quot;,&quot;manualOverrideText&quot;:&quot;&quot;},&quot;citationTag&quot;:&quot;MENDELEY_CITATION_v3_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&quot;,&quot;citationItems&quot;:[{&quot;id&quot;:&quot;afc7df9f-b5e6-3bc7-a432-d22d62d2f013&quot;,&quot;itemData&quot;:{&quot;type&quot;:&quot;article&quot;,&quot;id&quot;:&quot;afc7df9f-b5e6-3bc7-a432-d22d62d2f013&quot;,&quot;title&quot;:&quot;Updating the Evidence for Physical Activity: Summative Reviews of the Epidemiological Evidence, Prevalence, and Interventions to Promote \&quot;active Aging\&quot;&quot;,&quot;author&quot;:[{&quot;family&quot;:&quot;Bauman&quot;,&quot;given&quot;:&quot;Adrian&quot;,&quot;parse-names&quot;:false,&quot;dropping-particle&quot;:&quot;&quot;,&quot;non-dropping-particle&quot;:&quot;&quot;},{&quot;family&quot;:&quot;Merom&quot;,&quot;given&quot;:&quot;Dafna&quot;,&quot;parse-names&quot;:false,&quot;dropping-particle&quot;:&quot;&quot;,&quot;non-dropping-particle&quot;:&quot;&quot;},{&quot;family&quot;:&quot;Bull&quot;,&quot;given&quot;:&quot;Fiona C.&quot;,&quot;parse-names&quot;:false,&quot;dropping-particle&quot;:&quot;&quot;,&quot;non-dropping-particle&quot;:&quot;&quot;},{&quot;family&quot;:&quot;Buchner&quot;,&quot;given&quot;:&quot;David M.&quot;,&quot;parse-names&quot;:false,&quot;dropping-particle&quot;:&quot;&quot;,&quot;non-dropping-particle&quot;:&quot;&quot;},{&quot;family&quot;:&quot;Fiatarone Singh&quot;,&quot;given&quot;:&quot;Maria A.&quot;,&quot;parse-names&quot;:false,&quot;dropping-particle&quot;:&quot;&quot;,&quot;non-dropping-particle&quot;:&quot;&quot;}],&quot;container-title&quot;:&quot;Gerontologist&quot;,&quot;DOI&quot;:&quot;10.1093/geront/gnw031&quot;,&quot;ISSN&quot;:&quot;17585341&quot;,&quot;PMID&quot;:&quot;26994266&quot;,&quot;issued&quot;:{&quot;date-parts&quot;:[[2016,4,1]]},&quot;page&quot;:&quot;S268-S280&quot;,&quot;abstract&quot;:&quot;Purpose of the Study: There is a global imperative to increase awareness of the emerging evidence on physical activity (PA) among older adults. \&quot;Healthy aging\&quot; has traditionally focused on preventing chronic disease, but greater efforts are required to reduce frailty and dependency and to maintain independent physical and cognitive function and mental health and well-being. Design and Methods: This integrated review updates the epidemiological data on PA, summarizes the existing evidence-based PA guidelines, describes the global magnitude of inactivity, and finally describes the rationale for action. The first section updates the epidemiological evidence for reduced cardiometabolic risk, reduced risks of falls, the burgeoning new evidence on improved cognitive function and functional capacity, and reduced risk of depression, anxiety, and dementia. This is followed by a summary of population prevalence studies among older adults. Finally, we present a \&quot;review of reviews\&quot; of PA interventions delivered from community or population settings, followed by a consideration of interventions among the \&quot;oldest-old,\&quot; where efforts are needed to increase resistance (strength) training and balance. Results: This review identifies the global importance of considering \&quot;active aging\&quot; beyond the established benefits attributed to noncommunicable disease prevention alone. Implications: Innovative population-level efforts are required to address physical inactivity, prevent loss of muscle strength, and maintain balance in older adults. Specific investment in healthy aging requires global policy support from the World Health Organization and is implemented at the national and regional levels, in order to reduce the burden of disease and disability among older adults.&quot;,&quot;publisher&quot;:&quot;Gerontological Society of America&quot;,&quot;volume&quot;:&quot;56&quot;,&quot;container-title-short&quot;:&quot;&quot;},&quot;isTemporary&quot;:false,&quot;suppress-author&quot;:false,&quot;composite&quot;:false,&quot;author-only&quot;:false}]},{&quot;citationID&quot;:&quot;MENDELEY_CITATION_0cde1160-03f4-4f7a-bd14-b85f9e3679c5&quot;,&quot;properties&quot;:{&quot;noteIndex&quot;:0},&quot;isEdited&quot;:false,&quot;manualOverride&quot;:{&quot;isManuallyOverridden&quot;:false,&quot;citeprocText&quot;:&quot;(Freiberger et al., 2020)&quot;,&quot;manualOverrideText&quot;:&quot;&quot;},&quot;citationTag&quot;:&quot;MENDELEY_CITATION_v3_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&quot;,&quot;citationItems&quot;:[{&quot;id&quot;:&quot;6b634e05-71eb-340f-8c93-1de59b128c13&quot;,&quot;itemData&quot;:{&quot;type&quot;:&quot;article&quot;,&quot;id&quot;:&quot;6b634e05-71eb-340f-8c93-1de59b128c13&quot;,&quot;title&quot;:&quot;Mobility in Older Community-Dwelling Persons: A Narrative Review&quot;,&quot;author&quot;:[{&quot;family&quot;:&quot;Freiberger&quot;,&quot;given&quot;:&quot;Ellen&quot;,&quot;parse-names&quot;:false,&quot;dropping-particle&quot;:&quot;&quot;,&quot;non-dropping-particle&quot;:&quot;&quot;},{&quot;family&quot;:&quot;Sieber&quot;,&quot;given&quot;:&quot;Cornel Christian&quot;,&quot;parse-names&quot;:false,&quot;dropping-particle&quot;:&quot;&quot;,&quot;non-dropping-particle&quot;:&quot;&quot;},{&quot;family&quot;:&quot;Kob&quot;,&quot;given&quot;:&quot;Robert&quot;,&quot;parse-names&quot;:false,&quot;dropping-particle&quot;:&quot;&quot;,&quot;non-dropping-particle&quot;:&quot;&quot;}],&quot;container-title&quot;:&quot;Frontiers in Physiology&quot;,&quot;container-title-short&quot;:&quot;Front. Physiol.&quot;,&quot;DOI&quot;:&quot;10.3389/fphys.2020.00881&quot;,&quot;ISSN&quot;:&quot;1664042X&quot;,&quot;issued&quot;:{&quot;date-parts&quot;:[[2020,9,15]]},&quot;abstract&quot;:&quot;Due to the demographic changes and the increasing awareness of the role of physical function, mobility in older age is becoming an important topic. Mobility limitations have been reported as increasingly prevalent in older persons affecting about 35% of persons aged 70 and the majority of persons over 85 years. Mobility limitations have been associated with increased fall risk, hospitalization, a decreased quality of life, and even mortality. As concepts of mobility are multifactorial and complex, in this narrative review, definitions, physical factors, and their age-related changes associated with mobility will be presented. Also, areas of cognitive decline and their impact on mobility, as well as neuromuscular factors related to mobility will be addressed. Another section will relate psychological factors such as Fall-related psychological concerns and sedentary behavior to mobility. Assessment of mobility as well as effective exercise interventions are only shortly addressed. In the last part, gaps and future work on mobility in older persons are discussed.&quot;,&quot;publisher&quot;:&quot;Frontiers Media S.A.&quot;,&quot;volume&quot;:&quot;11&quot;},&quot;isTemporary&quot;:false,&quot;suppress-author&quot;:false,&quot;composite&quot;:false,&quot;author-only&quot;:false}]},{&quot;citationID&quot;:&quot;MENDELEY_CITATION_1fda4e2c-1949-4455-ba6a-e910fe1e3f86&quot;,&quot;properties&quot;:{&quot;noteIndex&quot;:0,&quot;mode&quot;:&quot;composite&quot;},&quot;isEdited&quot;:false,&quot;manualOverride&quot;:{&quot;isManuallyOverridden&quot;:false,&quot;citeprocText&quot;:&quot;Hwang et al. (2025)&quot;,&quot;manualOverrideText&quot;:&quot;&quot;},&quot;citationTag&quot;:&quot;MENDELEY_CITATION_v3_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&quot;,&quot;citationItems&quot;:[{&quot;id&quot;:&quot;197f3298-118f-3f1a-a6f0-1d2a2569c4ba&quot;,&quot;itemData&quot;:{&quot;type&quot;:&quot;article-journal&quot;,&quot;id&quot;:&quot;197f3298-118f-3f1a-a6f0-1d2a2569c4ba&quot;,&quot;title&quot;:&quot;Multivariate analysis of frequency, duration and companionship in walking behaviors among adults over 50&quot;,&quot;author&quot;:[{&quot;family&quot;:&quot;Hwang&quot;,&quot;given&quot;:&quot;Hyunjun&quot;,&quot;parse-names&quot;:false,&quot;dropping-particle&quot;:&quot;&quot;,&quot;non-dropping-particle&quot;:&quot;&quot;},{&quot;family&quot;:&quot;Haddad&quot;,&quot;given&quot;:&quot;Angela J.&quot;,&quot;parse-names&quot;:false,&quot;dropping-particle&quot;:&quot;&quot;,&quot;non-dropping-particle&quot;:&quot;&quot;},{&quot;family&quot;:&quot;Bhat&quot;,&quot;given&quot;:&quot;Chandra R.&quot;,&quot;parse-names&quot;:false,&quot;dropping-particle&quot;:&quot;&quot;,&quot;non-dropping-particle&quot;:&quot;&quot;}],&quot;container-title&quot;:&quot;Journal of Transport and Health&quot;,&quot;container-title-short&quot;:&quot;J. Transp. Health&quot;,&quot;DOI&quot;:&quot;10.1016/j.jth.2025.102161&quot;,&quot;ISSN&quot;:&quot;22141413&quot;,&quot;issued&quot;:{&quot;date-parts&quot;:[[2025,10,1]]},&quot;abstract&quot;:&quot;Introduction: Physical activity is essential for maintaining mental and physical health. Despite its benefits, older adults fall short of the recommended physical activity levels. Walking, in particular, offers significant advantages for older adults because of its low-impact nature and lower likelihood of serious injuries. This paper examines three key dimensions of walking behavior among adults aged 50 and older: frequency, duration, and social companionship (SC). Methods: Utilizing data from the 2022 American Association of Retired Persons (AARP) Walking Survey, and employing a joint modeling approach, we identify the factors influencing each of the three dimensions of walking behavior. Results: Our findings suggest that older unemployed adults from low-income/minority households, women, and individuals in households with children tend to walk less frequently and for shorter durations. Having social company on walks has the highest positive effect on both walking frequency and duration, dominating over other sociodemographic factors. The results also point to specific population segments: specifically Black individuals, those employed, and single adults, walk less in groups, while those in households with children walk more in groups. Conclusions: The findings highlight the importance of considering social aspects in understanding walking behavior, and call for policies that foster group walking programs, enhance safe and age-friendly walking environments, and implement customized awareness/incentive initiatives to increase physical activity and provide equitable access to the many health benefits of walking.&quot;,&quot;publisher&quot;:&quot;Elsevier Ltd&quot;,&quot;volume&quot;:&quot;44&quot;},&quot;isTemporary&quot;:false,&quot;displayAs&quot;:&quot;composite&quot;,&quot;suppress-author&quot;:false,&quot;composite&quot;:true,&quot;author-only&quot;:false}]},{&quot;citationID&quot;:&quot;MENDELEY_CITATION_8e8a5aee-32a5-4ca9-84ba-cbf2e2c4f4b1&quot;,&quot;properties&quot;:{&quot;noteIndex&quot;:0},&quot;isEdited&quot;:false,&quot;manualOverride&quot;:{&quot;isManuallyOverridden&quot;:false,&quot;citeprocText&quot;:&quot;(Duim et al., 2017; Western et al., 2025)&quot;,&quot;manualOverrideText&quot;:&quot;&quot;},&quot;citationTag&quot;:&quot;MENDELEY_CITATION_v3_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&quot;,&quot;citationItems&quot;:[{&quot;id&quot;:&quot;e9d1a9cb-a219-3fbc-8a27-54964b93c266&quot;,&quot;itemData&quot;:{&quot;type&quot;:&quot;article-journal&quot;,&quot;id&quot;:&quot;e9d1a9cb-a219-3fbc-8a27-54964b93c266&quot;,&quot;title&quot;:&quot;Walking speed of older people and pedestrian crossing time&quot;,&quot;author&quot;:[{&quot;family&quot;:&quot;Duim&quot;,&quot;given&quot;:&quot;Etienne&quot;,&quot;parse-names&quot;:false,&quot;dropping-particle&quot;:&quot;&quot;,&quot;non-dropping-particle&quot;:&quot;&quot;},{&quot;family&quot;:&quot;Lebrão&quot;,&quot;given&quot;:&quot;Maria Lucia&quot;,&quot;parse-names&quot;:false,&quot;dropping-particle&quot;:&quot;&quot;,&quot;non-dropping-particle&quot;:&quot;&quot;},{&quot;family&quot;:&quot;Antunes&quot;,&quot;given&quot;:&quot;José Leopoldo Ferreira&quot;,&quot;parse-names&quot;:false,&quot;dropping-particle&quot;:&quot;&quot;,&quot;non-dropping-particle&quot;:&quot;&quot;}],&quot;container-title&quot;:&quot;Journal of Transport and Health&quot;,&quot;container-title-short&quot;:&quot;J. Transp. Health&quot;,&quot;DOI&quot;:&quot;10.1016/j.jth.2017.02.001&quot;,&quot;ISSN&quot;:&quot;22141405&quot;,&quot;issued&quot;:{&quot;date-parts&quot;:[[2017,6,1]]},&quot;page&quot;:&quot;70-76&quot;,&quot;abstract&quot;:&quot;Background Traffic lights that regulate the pedestrian crossings in Sao Paulo, Brazil are programmed to consider a standard walking speed of 1.2 m/s (m/s). However, the frequently slower walking speed of the elderly may make it difficult for them to cross the streets safely and contribute to their social seclusion. Objectives To assess the walking speed of older people living in the community and to compare the results with the international standards for pedestrian crossing. Design A cross-sectional, population-based study. Setting and Participants A probabilistic sample of 1191 individuals aged 60 years or more, living in the city of Sao Paulo, Brazil, in 2010. Measurements Walking speed was directly measured using a physical test, and was dichotomously classified using two cut-off points: 1.1 and 0.9 m/s. Interviews informed covariates on socio-demographic characteristics and health status. Results Vast majority (97.8%) of older adults in Sao Paulo walks at a slower pace than is currently demanded by the lights at the pedestrian crossings (1.2 m/s). This proportion remained practically unchanged (95.7%) when a standard pedestrian walking speed of 1.1 m/s is considered. Reducing the reference speed to 0.9 m/s would narrowed this proportion to 69.7%. Women, light-skinned blacks, poorly educated individuals and those with poorer health were more likely to walk at a slower pace than is required by traffic lights at the pedestrian crossings in the city. Conclusions Overwhelming majority of older adults living in Sao Paulo cannot cross streets at their own walking speed. Therefore, there is an urgent need for modifying the traffic environment to prevent accidents involving vulnerable pedestrians and promote urban mobility.&quot;,&quot;publisher&quot;:&quot;Elsevier Ltd&quot;,&quot;volume&quot;:&quot;5&quot;},&quot;isTemporary&quot;:false},{&quot;id&quot;:&quot;678a5c4c-ca93-3d84-8caf-aba1cc684488&quot;,&quot;itemData&quot;:{&quot;type&quot;:&quot;article-journal&quot;,&quot;id&quot;:&quot;678a5c4c-ca93-3d84-8caf-aba1cc684488&quot;,&quot;title&quot;:&quot;Why didn’t the senior citizen cross the road? Gait speed in community-dwelling older adults with mobility limitations relative to pedestrian crossing times&quot;,&quot;author&quot;:[{&quot;family&quot;:&quot;Western&quot;,&quot;given&quot;:&quot;Max J.&quot;,&quot;parse-names&quot;:false,&quot;dropping-particle&quot;:&quot;&quot;,&quot;non-dropping-particle&quot;:&quot;&quot;},{&quot;family&quot;:&quot;Withall&quot;,&quot;given&quot;:&quot;Janet&quot;,&quot;parse-names&quot;:false,&quot;dropping-particle&quot;:&quot;&quot;,&quot;non-dropping-particle&quot;:&quot;&quot;},{&quot;family&quot;:&quot;Sheppard&quot;,&quot;given&quot;:&quot;Rory&quot;,&quot;parse-names&quot;:false,&quot;dropping-particle&quot;:&quot;&quot;,&quot;non-dropping-particle&quot;:&quot;&quot;},{&quot;family&quot;:&quot;Greaves&quot;,&quot;given&quot;:&quot;Colin&quot;,&quot;parse-names&quot;:false,&quot;dropping-particle&quot;:&quot;&quot;,&quot;non-dropping-particle&quot;:&quot;&quot;},{&quot;family&quot;:&quot;Hillsdon&quot;,&quot;given&quot;:&quot;Melvyn&quot;,&quot;parse-names&quot;:false,&quot;dropping-particle&quot;:&quot;&quot;,&quot;non-dropping-particle&quot;:&quot;&quot;},{&quot;family&quot;:&quot;Stathi&quot;,&quot;given&quot;:&quot;Afroditi&quot;,&quot;parse-names&quot;:false,&quot;dropping-particle&quot;:&quot;&quot;,&quot;non-dropping-particle&quot;:&quot;&quot;}],&quot;container-title&quot;:&quot;Age and Ageing&quot;,&quot;container-title-short&quot;:&quot;Age Ageing&quot;,&quot;DOI&quot;:&quot;10.1093/ageing/afaf345&quot;,&quot;ISSN&quot;:&quot;14682834&quot;,&quot;PMID&quot;:&quot;41354090&quot;,&quot;issued&quot;:{&quot;date-parts&quot;:[[2025,12,1]]},&quot;abstract&quot;:&quot;Background: Supporting older adults to maintain physical activity is a key tool in combating the rising prevalence of physical frailty and its associated social, health and economic burden. Walkability of the physical environment, which in urban areas includes pedestrian infrastructure and safety, is a key facilitator of physical activity. Road crossings may be one such factor that impacts walkability for older populations. Objective: This study aimed to determine what proportion of community dwelling adults ≥65 years of age classified as frail/pre-frail in terms of their lower limb physical function would meet the 1.2 m/s required walking speed for pedestrian crossings, and the demographic characteristics associated with low gait speed. Methods: Four-metre walking speed data from 1110 older adults in two randomised controlled trials were analysed. Gait speed and the proportion meeting the 1.2 m/s ‘green signal’ crossing time was calculated. Generalised linear models explored differences in gait speed by sex, age, education, marital status, socioeconomic status and physical function. Results: Seventeen (1.5%) of the sample walked fast enough at their usual comfortable pace to cross during a 1.2 m/s green signal. The mean gait speed for the sample was 0.77 (SD 0.19). Older age, lower physical function and non-white ethnicity were characteristics associated with slower gait speed. Conclusions: Pedestrian crossings assuming a gait speed of 1.2 m/s are inadequate for mobility-limited older adults to cross at a comfortable walking speed. Further studies are needed to assess the impact of slow gait speed on outdoor physical activity and to develop policies for more accommodating pedestrian infrastructure.&quot;,&quot;publisher&quot;:&quot;Oxford University Press&quot;,&quot;issue&quot;:&quot;12&quot;,&quot;volume&quot;:&quot;54&quot;},&quot;isTemporary&quot;:false}]},{&quot;citationID&quot;:&quot;MENDELEY_CITATION_32fc33e2-a350-4791-9a69-6e8755ba4069&quot;,&quot;properties&quot;:{&quot;noteIndex&quot;:0},&quot;isEdited&quot;:false,&quot;manualOverride&quot;:{&quot;isManuallyOverridden&quot;:false,&quot;citeprocText&quot;:&quot;(Cerin et al., 2017; Stearns et al., 2023)&quot;,&quot;manualOverrideText&quot;:&quot;&quot;},&quot;citationTag&quot;:&quot;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&quot;,&quot;citationItems&quot;:[{&quot;id&quot;:&quot;2d93738f-3ee4-3b5d-9137-fd21e866cfe2&quot;,&quot;itemData&quot;:{&quot;type&quot;:&quot;article-journal&quot;,&quot;id&quot;:&quot;2d93738f-3ee4-3b5d-9137-fd21e866cfe2&quot;,&quot;title&quot;:&quot;The neighbourhood physical environment and active travel in older adults: a systematic review and meta-analysis&quot;,&quot;author&quot;:[{&quot;family&quot;:&quot;Cerin&quot;,&quot;given&quot;:&quot;Ester&quot;,&quot;parse-names&quot;:false,&quot;dropping-particle&quot;:&quot;&quot;,&quot;non-dropping-particle&quot;:&quot;&quot;},{&quot;family&quot;:&quot;Nathan&quot;,&quot;given&quot;:&quot;Andrea&quot;,&quot;parse-names&quot;:false,&quot;dropping-particle&quot;:&quot;&quot;,&quot;non-dropping-particle&quot;:&quot;&quot;},{&quot;family&quot;:&quot;Cauwenberg&quot;,&quot;given&quot;:&quot;Jelle&quot;,&quot;parse-names&quot;:false,&quot;dropping-particle&quot;:&quot;&quot;,&quot;non-dropping-particle&quot;:&quot;van&quot;},{&quot;family&quot;:&quot;Barnett&quot;,&quot;given&quot;:&quot;David W.&quot;,&quot;parse-names&quot;:false,&quot;dropping-particle&quot;:&quot;&quot;,&quot;non-dropping-particle&quot;:&quot;&quot;},{&quot;family&quot;:&quot;Barnett&quot;,&quot;given&quot;:&quot;Anthony&quot;,&quot;parse-names&quot;:false,&quot;dropping-particle&quot;:&quot;&quot;,&quot;non-dropping-particle&quot;:&quot;&quot;}],&quot;container-title&quot;:&quot;International Journal of Behavioral Nutrition and Physical Activity 2017 14:1&quot;,&quot;accessed&quot;:{&quot;date-parts&quot;:[[2026,4,1]]},&quot;DOI&quot;:&quot;10.1186/s12966-017-0471-5&quot;,&quot;ISSN&quot;:&quot;1479-5868&quot;,&quot;PMID&quot;:&quot;28166790&quot;,&quot;URL&quot;:&quot;https://link.springer.com/article/10.1186/s12966-017-0471-5&quot;,&quot;issued&quot;:{&quot;date-parts&quot;:[[2017,2,6]]},&quot;page&quot;:&quot;15-&quot;,&quot;abstract&quot;:&quot;Perceived and objectively-assessed aspects of the neighbourhood physical environment have been postulated to be key contributors to regular engagement in active travel (AT) in older adults. We systematically reviewed the literature on neighbourhood physical environmental correlates of AT in older adults and applied a novel meta-analytic approach to statistically quantify the strength of evidence for environment-AT associations. Forty two quantitative studies that estimated associations of aspects of the neighbourhood built environment with AT in older adults (aged ≥ 65&amp;nbsp;years) and met selection criteria were reviewed and meta-analysed. Findings were analysed according to five AT outcomes (total walking for transport, within-neighbourhood walking for transport, combined walking and cycling for transport, cycling for transport, and all AT outcomes combined) and seven categories of the neighbourhood physical environment (residential density/urbanisation, walkability, street connectivity, access to/availability of services/destinations, pedestrian and cycling infrastructure, aesthetics and cleanliness/order, and safety and traffic). Most studies examined correlates of total walking for transport. A sufficient amount of evidence of positive associations with total walking for transport was found for residential density/urbanisation, walkability, street connectivity, overall access to destinations/services, land use mix, pedestrian-friendly features and access to several types of destinations. Littering/vandalism/decay was negatively related to total walking for transport. Limited evidence was available on correlates of cycling and combined walking and cycling for transport, while sufficient evidence emerged for a positive association of within-neighbourhood walking with pedestrian-friendly features and availability of benches/sitting facilities. Correlates of all AT combined mirrored those of walking for transport. Positive associations were also observed with food outlets, business/institutional/industrial destinations, availability of street lights, easy access to building entrance and human and motorised traffic volume. Several but inconsistent individual- and environmental-level moderators of associations were identified. Results support strong links between the neighbourhood physical environment and older adults’ AT. Future research should focus on the identification of types and mixes of destinations that support AT in older adults and how these interact with individual characteristics and other environmental factors. Future research should also aim to clarify dose-response relationships through multi-country investigations and data-pooling from diverse geographical regions.&quot;,&quot;publisher&quot;:&quot;BioMed Central&quot;,&quot;issue&quot;:&quot;1&quot;,&quot;volume&quot;:&quot;14&quot;,&quot;container-title-short&quot;:&quot;&quot;},&quot;isTemporary&quot;:false},{&quot;id&quot;:&quot;5528fc13-bfb3-3048-a372-4add6e89a11e&quot;,&quot;itemData&quot;:{&quot;type&quot;:&quot;article&quot;,&quot;id&quot;:&quot;5528fc13-bfb3-3048-a372-4add6e89a11e&quot;,&quot;title&quot;:&quot;An Umbrella Review of the Best and Most Up-to-Date Evidence on the Built Environment and Physical Activity in Older Adults ≥60 Years&quot;,&quot;author&quot;:[{&quot;family&quot;:&quot;Stearns&quot;,&quot;given&quot;:&quot;Jodie A.&quot;,&quot;parse-names&quot;:false,&quot;dropping-particle&quot;:&quot;&quot;,&quot;non-dropping-particle&quot;:&quot;&quot;},{&quot;family&quot;:&quot;Avedzi&quot;,&quot;given&quot;:&quot;Hayford M.&quot;,&quot;parse-names&quot;:false,&quot;dropping-particle&quot;:&quot;&quot;,&quot;non-dropping-particle&quot;:&quot;&quot;},{&quot;family&quot;:&quot;Yim&quot;,&quot;given&quot;:&quot;Desmond&quot;,&quot;parse-names&quot;:false,&quot;dropping-particle&quot;:&quot;&quot;,&quot;non-dropping-particle&quot;:&quot;&quot;},{&quot;family&quot;:&quot;Spence&quot;,&quot;given&quot;:&quot;John C.&quot;,&quot;parse-names&quot;:false,&quot;dropping-particle&quot;:&quot;&quot;,&quot;non-dropping-particle&quot;:&quot;&quot;},{&quot;family&quot;:&quot;Labbaf&quot;,&quot;given&quot;:&quot;Farshad&quot;,&quot;parse-names&quot;:false,&quot;dropping-particle&quot;:&quot;&quot;,&quot;non-dropping-particle&quot;:&quot;&quot;},{&quot;family&quot;:&quot;Lamboglia&quot;,&quot;given&quot;:&quot;Carminda G.&quot;,&quot;parse-names&quot;:false,&quot;dropping-particle&quot;:&quot;&quot;,&quot;non-dropping-particle&quot;:&quot;&quot;},{&quot;family&quot;:&quot;Ko&quot;,&quot;given&quot;:&quot;Fiona&quot;,&quot;parse-names&quot;:false,&quot;dropping-particle&quot;:&quot;&quot;,&quot;non-dropping-particle&quot;:&quot;&quot;},{&quot;family&quot;:&quot;Farmer&quot;,&quot;given&quot;:&quot;Ciara&quot;,&quot;parse-names&quot;:false,&quot;dropping-particle&quot;:&quot;&quot;,&quot;non-dropping-particle&quot;:&quot;&quot;},{&quot;family&quot;:&quot;Lytvyak&quot;,&quot;given&quot;:&quot;Ellina&quot;,&quot;parse-names&quot;:false,&quot;dropping-particle&quot;:&quot;&quot;,&quot;non-dropping-particle&quot;:&quot;&quot;},{&quot;family&quot;:&quot;Kennedy&quot;,&quot;given&quot;:&quot;Megan&quot;,&quot;parse-names&quot;:false,&quot;dropping-particle&quot;:&quot;&quot;,&quot;non-dropping-particle&quot;:&quot;&quot;},{&quot;family&quot;:&quot;Kim&quot;,&quot;given&quot;:&quot;Yeong Bae&quot;,&quot;parse-names&quot;:false,&quot;dropping-particle&quot;:&quot;&quot;,&quot;non-dropping-particle&quot;:&quot;&quot;},{&quot;family&quot;:&quot;Ren&quot;,&quot;given&quot;:&quot;Hui&quot;,&quot;parse-names&quot;:false,&quot;dropping-particle&quot;:&quot;&quot;,&quot;non-dropping-particle&quot;:&quot;&quot;},{&quot;family&quot;:&quot;Lee&quot;,&quot;given&quot;:&quot;Karen K.&quot;,&quot;parse-names&quot;:false,&quot;dropping-particle&quot;:&quot;&quot;,&quot;non-dropping-particle&quot;:&quot;&quot;}],&quot;container-title&quot;:&quot;Public Health Reviews&quot;,&quot;container-title-short&quot;:&quot;Public Health Rev.&quot;,&quot;DOI&quot;:&quot;10.3389/phrs.2023.1605474&quot;,&quot;ISSN&quot;:&quot;21076952&quot;,&quot;issued&quot;:{&quot;date-parts&quot;:[[2023]]},&quot;abstract&quot;:&quot;Objectives: To present the best and most up-to-date evidence on associations between built environment (BE) attributes and overall and specific domains of physical activity (PA) (i.e., leisure, transport, walking, and cycling) in older adults (≥60 years). Methods: An umbrella review was undertaken to compile evidence from systematic reviews using the Joanna Briggs Institute methodology. A comprehensive search (updated 16 August 2022), inclusion/exclusion of articles via title/abstract and full-text reviews, data extraction, and critical appraisal were completed. Only reviews with a good critical appraisal score were included. Results: Across three included systematic reviews, each BE attribute category was positively associated with ≥1 PA outcome. A larger number of significant associations with BE attributes were reported for transport walking (13/26), total walking (10/25), and total PA (9/26), compared to leisure walking (4/34) and transport cycling (3/12). Fewer associations have been examined for leisure cycling (1/2). Conclusion: Although the causality of findings cannot be concluded due to most primary studies being cross-sectional, these best and most up-to-date findings can guide necessary future longitudinal and experimental studies for the (re)design of age-friendly communities.&quot;,&quot;publisher&quot;:&quot;Frontiers Media S.A.&quot;,&quot;volume&quot;:&quot;44&quot;},&quot;isTemporary&quot;:false}]},{&quot;citationID&quot;:&quot;MENDELEY_CITATION_c9551cf0-658d-43e0-9313-3731401bd22f&quot;,&quot;properties&quot;:{&quot;noteIndex&quot;:0},&quot;isEdited&quot;:false,&quot;manualOverride&quot;:{&quot;isManuallyOverridden&quot;:false,&quot;citeprocText&quot;:&quot;(Veitch et al., 2020)&quot;,&quot;manualOverrideText&quot;:&quot;&quot;},&quot;citationTag&quot;:&quot;MENDELEY_CITATION_v3_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&quot;,&quot;citationItems&quot;:[{&quot;id&quot;:&quot;4e900109-4e3d-325b-a083-0cbb21d709dc&quot;,&quot;itemData&quot;:{&quot;type&quot;:&quot;article-journal&quot;,&quot;id&quot;:&quot;4e900109-4e3d-325b-a083-0cbb21d709dc&quot;,&quot;title&quot;:&quot;Designing parks for older adults: A qualitative study using walk-along interviews&quot;,&quot;author&quot;:[{&quot;family&quot;:&quot;Veitch&quot;,&quot;given&quot;:&quot;Jenny&quot;,&quot;parse-names&quot;:false,&quot;dropping-particle&quot;:&quot;&quot;,&quot;non-dropping-particle&quot;:&quot;&quot;},{&quot;family&quot;:&quot;Flowers&quot;,&quot;given&quot;:&quot;Elliott&quot;,&quot;parse-names&quot;:false,&quot;dropping-particle&quot;:&quot;&quot;,&quot;non-dropping-particle&quot;:&quot;&quot;},{&quot;family&quot;:&quot;Ball&quot;,&quot;given&quot;:&quot;Kylie&quot;,&quot;parse-names&quot;:false,&quot;dropping-particle&quot;:&quot;&quot;,&quot;non-dropping-particle&quot;:&quot;&quot;},{&quot;family&quot;:&quot;Deforche&quot;,&quot;given&quot;:&quot;Benedicte&quot;,&quot;parse-names&quot;:false,&quot;dropping-particle&quot;:&quot;&quot;,&quot;non-dropping-particle&quot;:&quot;&quot;},{&quot;family&quot;:&quot;Timperio&quot;,&quot;given&quot;:&quot;Anna&quot;,&quot;parse-names&quot;:false,&quot;dropping-particle&quot;:&quot;&quot;,&quot;non-dropping-particle&quot;:&quot;&quot;}],&quot;container-title&quot;:&quot;Urban Forestry and Urban Greening&quot;,&quot;container-title-short&quot;:&quot;Urban For. Urban Green.&quot;,&quot;DOI&quot;:&quot;10.1016/j.ufug.2020.126768&quot;,&quot;ISSN&quot;:&quot;16108167&quot;,&quot;issued&quot;:{&quot;date-parts&quot;:[[2020,10,1]]},&quot;abstract&quot;:&quot;The proportion of older adults in the population is increasing and ageing is associated with poorer physical, mental and social health. Hence, there is increasing need for community facilities that are appealing and suitable to older adults and promote good health and well-being. Visiting parks has been shown to facilitate a multitude of physical, psychological, and social health benefits; however, the frequency of park visitation by older adults is low. A better understanding of the needs and preferences of park features among older adults will help park designers to create parks that encourage their visitation. The aim of this qualitative walk-along study was to explore park features that influence park visitation, park-based physical activity and social interaction among older adults (65+ years). Participants (n = 30, mean age = 74.9 years [sd 5.4)], 50 % female) were interviewed by a researcher while walking in one of eight diverse parks located in varying socio-economic status areas of metropolitan Melbourne, Australia. All interviews were transcribed verbatim and analysed using NVivo 12 software. Participants primarily reported using parks for walking, sitting/relaxing, enjoying nature and socialising with others and walking was the preferred park-based activity. Park features highly valued for visitation included: a well-maintained, peaceful and attractive environment with established trees, gardens and birdlife; seating; pleasant paths; toilets; cafés; water features; shade/shelter; facilities for grandchildren; and the presence of other people. Features most valued for physical activity included walking paths, organised activities, and fitness equipment. Features most valued for social interaction included picnic/barbecue facilities, organised events, a café and aesthetics. This evidence is important for policy and decision makers, urban planning, landscape architects, and local, state and national government organisations to ensure our parks are designed to support older adults to lead healthy and active lives.&quot;,&quot;publisher&quot;:&quot;Elsevier GmbH&quot;,&quot;volume&quot;:&quot;54&quot;},&quot;isTemporary&quot;:false,&quot;suppress-author&quot;:false,&quot;composite&quot;:false,&quot;author-only&quot;:false}]},{&quot;citationID&quot;:&quot;MENDELEY_CITATION_f8b15a42-72de-417d-9629-6951c92100ad&quot;,&quot;properties&quot;:{&quot;noteIndex&quot;:0},&quot;isEdited&quot;:false,&quot;manualOverride&quot;:{&quot;isManuallyOverridden&quot;:false,&quot;citeprocText&quot;:&quot;(Hwang et al., 2025)&quot;,&quot;manualOverrideText&quot;:&quot;&quot;},&quot;citationTag&quot;:&quot;MENDELEY_CITATION_v3_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&quot;,&quot;citationItems&quot;:[{&quot;id&quot;:&quot;197f3298-118f-3f1a-a6f0-1d2a2569c4ba&quot;,&quot;itemData&quot;:{&quot;type&quot;:&quot;article-journal&quot;,&quot;id&quot;:&quot;197f3298-118f-3f1a-a6f0-1d2a2569c4ba&quot;,&quot;title&quot;:&quot;Multivariate analysis of frequency, duration and companionship in walking behaviors among adults over 50&quot;,&quot;author&quot;:[{&quot;family&quot;:&quot;Hwang&quot;,&quot;given&quot;:&quot;Hyunjun&quot;,&quot;parse-names&quot;:false,&quot;dropping-particle&quot;:&quot;&quot;,&quot;non-dropping-particle&quot;:&quot;&quot;},{&quot;family&quot;:&quot;Haddad&quot;,&quot;given&quot;:&quot;Angela J.&quot;,&quot;parse-names&quot;:false,&quot;dropping-particle&quot;:&quot;&quot;,&quot;non-dropping-particle&quot;:&quot;&quot;},{&quot;family&quot;:&quot;Bhat&quot;,&quot;given&quot;:&quot;Chandra R.&quot;,&quot;parse-names&quot;:false,&quot;dropping-particle&quot;:&quot;&quot;,&quot;non-dropping-particle&quot;:&quot;&quot;}],&quot;container-title&quot;:&quot;Journal of Transport and Health&quot;,&quot;container-title-short&quot;:&quot;J. Transp. Health&quot;,&quot;DOI&quot;:&quot;10.1016/j.jth.2025.102161&quot;,&quot;ISSN&quot;:&quot;22141413&quot;,&quot;issued&quot;:{&quot;date-parts&quot;:[[2025,10,1]]},&quot;abstract&quot;:&quot;Introduction: Physical activity is essential for maintaining mental and physical health. Despite its benefits, older adults fall short of the recommended physical activity levels. Walking, in particular, offers significant advantages for older adults because of its low-impact nature and lower likelihood of serious injuries. This paper examines three key dimensions of walking behavior among adults aged 50 and older: frequency, duration, and social companionship (SC). Methods: Utilizing data from the 2022 American Association of Retired Persons (AARP) Walking Survey, and employing a joint modeling approach, we identify the factors influencing each of the three dimensions of walking behavior. Results: Our findings suggest that older unemployed adults from low-income/minority households, women, and individuals in households with children tend to walk less frequently and for shorter durations. Having social company on walks has the highest positive effect on both walking frequency and duration, dominating over other sociodemographic factors. The results also point to specific population segments: specifically Black individuals, those employed, and single adults, walk less in groups, while those in households with children walk more in groups. Conclusions: The findings highlight the importance of considering social aspects in understanding walking behavior, and call for policies that foster group walking programs, enhance safe and age-friendly walking environments, and implement customized awareness/incentive initiatives to increase physical activity and provide equitable access to the many health benefits of walking.&quot;,&quot;publisher&quot;:&quot;Elsevier Ltd&quot;,&quot;volume&quot;:&quot;44&quot;},&quot;isTemporary&quot;:false,&quot;suppress-author&quot;:false,&quot;composite&quot;:false,&quot;author-only&quot;:false}]},{&quot;citationID&quot;:&quot;MENDELEY_CITATION_3ada1a4e-84cd-45d3-99a3-0386dbc59676&quot;,&quot;properties&quot;:{&quot;noteIndex&quot;:0},&quot;isEdited&quot;:false,&quot;manualOverride&quot;:{&quot;isManuallyOverridden&quot;:false,&quot;citeprocText&quot;:&quot;(Mwaka et al., 2026)&quot;,&quot;manualOverrideText&quot;:&quot;&quot;},&quot;citationTag&quot;:&quot;MENDELEY_CITATION_v3_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&quot;,&quot;citationItems&quot;:[{&quot;id&quot;:&quot;3c1be573-f1b4-3b49-bf34-0632b3a6c1b1&quot;,&quot;itemData&quot;:{&quot;type&quot;:&quot;article&quot;,&quot;id&quot;:&quot;3c1be573-f1b4-3b49-bf34-0632b3a6c1b1&quot;,&quot;title&quot;:&quot;Travel training program among adults with disabilities: A systematic review&quot;,&quot;author&quot;:[{&quot;family&quot;:&quot;Mwaka&quot;,&quot;given&quot;:&quot;Claudel R.&quot;,&quot;parse-names&quot;:false,&quot;dropping-particle&quot;:&quot;&quot;,&quot;non-dropping-particle&quot;:&quot;&quot;},{&quot;family&quot;:&quot;Best&quot;,&quot;given&quot;:&quot;Krista L.&quot;,&quot;parse-names&quot;:false,&quot;dropping-particle&quot;:&quot;&quot;,&quot;non-dropping-particle&quot;:&quot;&quot;},{&quot;family&quot;:&quot;Chang&quot;,&quot;given&quot;:&quot;Nathan&quot;,&quot;parse-names&quot;:false,&quot;dropping-particle&quot;:&quot;&quot;,&quot;non-dropping-particle&quot;:&quot;&quot;},{&quot;family&quot;:&quot;Gagnon&quot;,&quot;given&quot;:&quot;Martine&quot;,&quot;parse-names&quot;:false,&quot;dropping-particle&quot;:&quot;&quot;,&quot;non-dropping-particle&quot;:&quot;&quot;},{&quot;family&quot;:&quot;Routhier&quot;,&quot;given&quot;:&quot;François&quot;,&quot;parse-names&quot;:false,&quot;dropping-particle&quot;:&quot;&quot;,&quot;non-dropping-particle&quot;:&quot;&quot;}],&quot;container-title&quot;:&quot;Transportation Research Interdisciplinary Perspectives&quot;,&quot;container-title-short&quot;:&quot;Transp. Res. Interdiscip. Perspect.&quot;,&quot;DOI&quot;:&quot;10.1016/j.trip.2025.101825&quot;,&quot;ISSN&quot;:&quot;25901982&quot;,&quot;issued&quot;:{&quot;date-parts&quot;:[[2026,3,1]]},&quot;abstract&quot;:&quot;Public transport is one of the most affordable forms of passive transport, supporting the life habits such as activities of daily living and social roles. Despite the potential benefits of public transit, adults with disabilities have restricted access to this mode of transportation due to factors such as limited knowledge of the transit system, travel skills and self-efficacy, for which travel training can be implemented. This systematic review examined the influence of travel training programs on knowledge, self-efficacy, travel skills and public transportation use among adults with disabilities and described their respective components. The search was carried out in Transport Database, MEDLINE, PsycINFO, Embase and Web of science from January 1990 to December 2023 (update performed 09/2024). Covidence software was used for article selection and data extraction, performed independently by two reviewers. The Template for Intervention Description and Replication (Tidier) and Mixed Methods Appraisal Tool (MMAT) were respectively used to extract intervention details and to assess methodological quality. We used the Preferred Reporting Items for Systematic Review and Meta-Analysis (PRISMA) guidelines to report results. Of 5,104 citations retrieved, 12 were included in this review. Regardless the component used (combined didactic and practical, single hands-on approach, and assistive technologies with/without simulation), all included studies reported improvements in outcomes (e.g., knowledge, travel skills, self-efficacy, frequency of the public transport use) after travel training interventions. Although findings suggest travel training is promising, only one study demonstrated causal effect in randomized controlled trial. Therefore, findings should be interpreted with caution.&quot;,&quot;publisher&quot;:&quot;Elsevier Ltd&quot;,&quot;volume&quot;:&quot;36&quot;},&quot;isTemporary&quot;:false,&quot;suppress-author&quot;:false,&quot;composite&quot;:false,&quot;author-only&quot;:false}]},{&quot;citationID&quot;:&quot;MENDELEY_CITATION_6250c5ac-2c7e-43e0-9c88-34db6ef21e4e&quot;,&quot;properties&quot;:{&quot;noteIndex&quot;:0},&quot;isEdited&quot;:false,&quot;manualOverride&quot;:{&quot;isManuallyOverridden&quot;:true,&quot;citeprocText&quot;:&quot;(Forsyth &amp;#38; Lyu, 2024)&quot;,&quot;manualOverrideText&quot;:&quot;(Forsyth and Lyu, 2024)&quot;},&quot;citationTag&quot;:&quot;MENDELEY_CITATION_v3_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&quot;,&quot;citationItems&quot;:[{&quot;id&quot;:&quot;043f4610-54c0-3935-9eea-b033d498b24e&quot;,&quot;itemData&quot;:{&quot;type&quot;:&quot;article-journal&quot;,&quot;id&quot;:&quot;043f4610-54c0-3935-9eea-b033d498b24e&quot;,&quot;title&quot;:&quot;Making Communities Age-Friendly: Lessons From Implemented Programs&quot;,&quot;author&quot;:[{&quot;family&quot;:&quot;Forsyth&quot;,&quot;given&quot;:&quot;Ann&quot;,&quot;parse-names&quot;:false,&quot;dropping-particle&quot;:&quot;&quot;,&quot;non-dropping-particle&quot;:&quot;&quot;},{&quot;family&quot;:&quot;Lyu&quot;,&quot;given&quot;:&quot;Yingying&quot;,&quot;parse-names&quot;:false,&quot;dropping-particle&quot;:&quot;&quot;,&quot;non-dropping-particle&quot;:&quot;&quot;}],&quot;container-title&quot;:&quot;Journal of Planning Literature&quot;,&quot;container-title-short&quot;:&quot;J. Plan. Lit.&quot;,&quot;DOI&quot;:&quot;10.1177/08854122231160796&quot;,&quot;ISSN&quot;:&quot;15526593&quot;,&quot;issued&quot;:{&quot;date-parts&quot;:[[2024,2,1]]},&quot;page&quot;:&quot;3-24&quot;,&quot;abstract&quot;:&quot;A growing number of programs promoted by planners and others have aimed to foster communities that support older people. Do such programs make a substantial difference? Through a scoping review of research evaluating WHO-style age-friendly community initiatives (AFCIs), we investigate what kind of outcomes such initiatives have achieved and factors facilitating or hindering them. Elements affecting implementation varied by geographies. They included external resources (e.g., government support, funding, consultants), local resources (e.g., community size, demographics, staff, infrastructure), engaged local participants (e.g., partnerships, champions, older people), and effective strategies to build support (e.g., quick wins, awareness building, cultural sensitivity).&quot;,&quot;publisher&quot;:&quot;SAGE Publications Inc.&quot;,&quot;issue&quot;:&quot;1&quot;,&quot;volume&quot;:&quot;39&quot;},&quot;isTemporary&quot;:false,&quot;suppress-author&quot;:false,&quot;composite&quot;:false,&quot;author-only&quot;:false}]},{&quot;citationID&quot;:&quot;MENDELEY_CITATION_b5cf88c8-cf07-4fa0-a738-08927d2ecf89&quot;,&quot;properties&quot;:{&quot;noteIndex&quot;:0,&quot;mode&quot;:&quot;composite&quot;},&quot;isEdited&quot;:false,&quot;manualOverride&quot;:{&quot;isManuallyOverridden&quot;:false,&quot;citeprocText&quot;:&quot;Chapman et al. (2021)&quot;,&quot;manualOverrideText&quot;:&quot;&quot;},&quot;citationTag&quot;:&quot;MENDELEY_CITATION_v3_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&quot;,&quot;citationItems&quot;:[{&quot;id&quot;:&quot;5867c70f-914c-375c-ab78-590b18fc4495&quot;,&quot;itemData&quot;:{&quot;type&quot;:&quot;report&quot;,&quot;id&quot;:&quot;5867c70f-914c-375c-ab78-590b18fc4495&quot;,&quot;title&quot;:&quot;Smart Location Database Technical\nDocumentation and User Guide Version 3.0. U.S. Environmental Protection Agency.&quot;,&quot;author&quot;:[{&quot;family&quot;:&quot;Chapman&quot;,&quot;given&quot;:&quot;Jim&quot;,&quot;parse-names&quot;:false,&quot;dropping-particle&quot;:&quot;&quot;,&quot;non-dropping-particle&quot;:&quot;&quot;},{&quot;family&quot;:&quot;Fox&quot;,&quot;given&quot;:&quot;Eric&quot;,&quot;parse-names&quot;:false,&quot;dropping-particle&quot;:&quot;&quot;,&quot;non-dropping-particle&quot;:&quot;&quot;},{&quot;family&quot;:&quot;Bachman&quot;,&quot;given&quot;:&quot;William&quot;,&quot;parse-names&quot;:false,&quot;dropping-particle&quot;:&quot;&quot;,&quot;non-dropping-particle&quot;:&quot;&quot;},{&quot;family&quot;:&quot;Frank&quot;,&quot;given&quot;:&quot;Lawrence&quot;,&quot;parse-names&quot;:false,&quot;dropping-particle&quot;:&quot;&quot;,&quot;non-dropping-particle&quot;:&quot;&quot;}],&quot;accessed&quot;:{&quot;date-parts&quot;:[[2026,5,27]]},&quot;issued&quot;:{&quot;date-parts&quot;:[[2021]]},&quot;container-title-short&quot;:&quot;&quot;},&quot;isTemporary&quot;:false,&quot;displayAs&quot;:&quot;composite&quot;,&quot;suppress-author&quot;:false,&quot;composite&quot;:true,&quot;author-only&quot;:false}]},{&quot;citationID&quot;:&quot;MENDELEY_CITATION_dc1764ce-1cdc-4b35-9504-55f105a69e5f&quot;,&quot;properties&quot;:{&quot;noteIndex&quot;:0,&quot;mode&quot;:&quot;composite&quot;},&quot;isEdited&quot;:false,&quot;manualOverride&quot;:{&quot;isManuallyOverridden&quot;:true,&quot;citeprocText&quot;:&quot;Chapman et al. (2021)&quot;,&quot;manualOverrideText&quot;:&quot;Chapman et al., 2021&quot;},&quot;citationItems&quot;:[{&quot;id&quot;:&quot;5867c70f-914c-375c-ab78-590b18fc4495&quot;,&quot;itemData&quot;:{&quot;type&quot;:&quot;report&quot;,&quot;id&quot;:&quot;5867c70f-914c-375c-ab78-590b18fc4495&quot;,&quot;title&quot;:&quot;Smart Location Database Technical\nDocumentation and User Guide Version 3.0. U.S. Environmental Protection Agency.&quot;,&quot;author&quot;:[{&quot;family&quot;:&quot;Chapman&quot;,&quot;given&quot;:&quot;Jim&quot;,&quot;parse-names&quot;:false,&quot;dropping-particle&quot;:&quot;&quot;,&quot;non-dropping-particle&quot;:&quot;&quot;},{&quot;family&quot;:&quot;Fox&quot;,&quot;given&quot;:&quot;Eric&quot;,&quot;parse-names&quot;:false,&quot;dropping-particle&quot;:&quot;&quot;,&quot;non-dropping-particle&quot;:&quot;&quot;},{&quot;family&quot;:&quot;Bachman&quot;,&quot;given&quot;:&quot;William&quot;,&quot;parse-names&quot;:false,&quot;dropping-particle&quot;:&quot;&quot;,&quot;non-dropping-particle&quot;:&quot;&quot;},{&quot;family&quot;:&quot;Frank&quot;,&quot;given&quot;:&quot;Lawrence&quot;,&quot;parse-names&quot;:false,&quot;dropping-particle&quot;:&quot;&quot;,&quot;non-dropping-particle&quot;:&quot;&quot;}],&quot;accessed&quot;:{&quot;date-parts&quot;:[[2026,5,27]]},&quot;issued&quot;:{&quot;date-parts&quot;:[[2021]]},&quot;container-title-short&quot;:&quot;&quot;},&quot;isTemporary&quot;:false,&quot;displayAs&quot;:&quot;composite&quot;,&quot;suppress-author&quot;:false,&quot;composite&quot;:true,&quot;author-only&quot;:false}],&quot;citationTag&quot;:&quot;MENDELEY_CITATION_v3_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&quot;},{&quot;citationID&quot;:&quot;MENDELEY_CITATION_d00f0736-998a-4c69-b379-5ec9d8799140&quot;,&quot;properties&quot;:{&quot;noteIndex&quot;:0,&quot;mode&quot;:&quot;composite&quot;},&quot;isEdited&quot;:false,&quot;manualOverride&quot;:{&quot;isManuallyOverridden&quot;:true,&quot;citeprocText&quot;:&quot;Chapman et al. (2021)&quot;,&quot;manualOverrideText&quot;:&quot;Chapman et al., 2021&quot;},&quot;citationItems&quot;:[{&quot;id&quot;:&quot;5867c70f-914c-375c-ab78-590b18fc4495&quot;,&quot;itemData&quot;:{&quot;type&quot;:&quot;report&quot;,&quot;id&quot;:&quot;5867c70f-914c-375c-ab78-590b18fc4495&quot;,&quot;title&quot;:&quot;Smart Location Database Technical\nDocumentation and User Guide Version 3.0. U.S. Environmental Protection Agency.&quot;,&quot;author&quot;:[{&quot;family&quot;:&quot;Chapman&quot;,&quot;given&quot;:&quot;Jim&quot;,&quot;parse-names&quot;:false,&quot;dropping-particle&quot;:&quot;&quot;,&quot;non-dropping-particle&quot;:&quot;&quot;},{&quot;family&quot;:&quot;Fox&quot;,&quot;given&quot;:&quot;Eric&quot;,&quot;parse-names&quot;:false,&quot;dropping-particle&quot;:&quot;&quot;,&quot;non-dropping-particle&quot;:&quot;&quot;},{&quot;family&quot;:&quot;Bachman&quot;,&quot;given&quot;:&quot;William&quot;,&quot;parse-names&quot;:false,&quot;dropping-particle&quot;:&quot;&quot;,&quot;non-dropping-particle&quot;:&quot;&quot;},{&quot;family&quot;:&quot;Frank&quot;,&quot;given&quot;:&quot;Lawrence&quot;,&quot;parse-names&quot;:false,&quot;dropping-particle&quot;:&quot;&quot;,&quot;non-dropping-particle&quot;:&quot;&quot;}],&quot;accessed&quot;:{&quot;date-parts&quot;:[[2026,5,27]]},&quot;issued&quot;:{&quot;date-parts&quot;:[[2021]]},&quot;container-title-short&quot;:&quot;&quot;},&quot;isTemporary&quot;:false,&quot;displayAs&quot;:&quot;composite&quot;,&quot;suppress-author&quot;:false,&quot;composite&quot;:true,&quot;author-only&quot;:false}],&quot;citationTag&quot;:&quot;MENDELEY_CITATION_v3_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&quot;},{&quot;citationID&quot;:&quot;MENDELEY_CITATION_97d3b065-d6a8-48b9-94f6-bce3e065f374&quot;,&quot;properties&quot;:{&quot;noteIndex&quot;:0},&quot;isEdited&quot;:false,&quot;manualOverride&quot;:{&quot;isManuallyOverridden&quot;:true,&quot;citeprocText&quot;:&quot;(Wasserstein et al., 2019; Wasserstein &amp;#38; Lazar, 2016)&quot;,&quot;manualOverrideText&quot;:&quot;(Wasserstein and Lazar, 2016; Wasserstein et al., 2019)&quot;},&quot;citationTag&quot;:&quot;MENDELEY_CITATION_v3_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&quot;,&quot;citationItems&quot;:[{&quot;id&quot;:&quot;ea99d45f-59c8-35d4-a615-f4c97a67eddb&quot;,&quot;itemData&quot;:{&quot;type&quot;:&quot;article-journal&quot;,&quot;id&quot;:&quot;ea99d45f-59c8-35d4-a615-f4c97a67eddb&quot;,&quot;title&quot;:&quot;The ASA Statement on p-Values: Context, Process, and Purpose&quot;,&quot;author&quot;:[{&quot;family&quot;:&quot;Wasserstein&quot;,&quot;given&quot;:&quot;Ronald L.&quot;,&quot;parse-names&quot;:false,&quot;dropping-particle&quot;:&quot;&quot;,&quot;non-dropping-particle&quot;:&quot;&quot;},{&quot;family&quot;:&quot;Lazar&quot;,&quot;given&quot;:&quot;Nicole A.&quot;,&quot;parse-names&quot;:false,&quot;dropping-particle&quot;:&quot;&quot;,&quot;non-dropping-particle&quot;:&quot;&quot;}],&quot;container-title&quot;:&quot;The American Statistician&quot;,&quot;container-title-short&quot;:&quot;Am. Stat.&quot;,&quot;accessed&quot;:{&quot;date-parts&quot;:[[2026,7,1]]},&quot;DOI&quot;:&quot;10.1080/00031305.2016.1154108&quot;,&quot;ISSN&quot;:&quot;15372731&quot;,&quot;URL&quot;:&quot;https://www.tandfonline.com/doi/pdf/10.1080/00031305.2016.1154108&quot;,&quot;issued&quot;:{&quot;date-parts&quot;:[[2016,4,2]]},&quot;page&quot;:&quot;129-133&quot;,&quot;publisher&quot;:&quot;Taylor &amp; Francis&quot;,&quot;issue&quot;:&quot;2&quot;,&quot;volume&quot;:&quot;70&quot;},&quot;isTemporary&quot;:false},{&quot;id&quot;:&quot;efc0bcd5-0a3e-32f8-a8fb-943f48d298b5&quot;,&quot;itemData&quot;:{&quot;type&quot;:&quot;article-journal&quot;,&quot;id&quot;:&quot;efc0bcd5-0a3e-32f8-a8fb-943f48d298b5&quot;,&quot;title&quot;:&quot;Moving to a World Beyond “p &lt; 0.05”&quot;,&quot;author&quot;:[{&quot;family&quot;:&quot;Wasserstein&quot;,&quot;given&quot;:&quot;Ronald L.&quot;,&quot;parse-names&quot;:false,&quot;dropping-particle&quot;:&quot;&quot;,&quot;non-dropping-particle&quot;:&quot;&quot;},{&quot;family&quot;:&quot;Schirm&quot;,&quot;given&quot;:&quot;Allen L.&quot;,&quot;parse-names&quot;:false,&quot;dropping-particle&quot;:&quot;&quot;,&quot;non-dropping-particle&quot;:&quot;&quot;},{&quot;family&quot;:&quot;Lazar&quot;,&quot;given&quot;:&quot;Nicole A.&quot;,&quot;parse-names&quot;:false,&quot;dropping-particle&quot;:&quot;&quot;,&quot;non-dropping-particle&quot;:&quot;&quot;}],&quot;container-title&quot;:&quot;The American Statistician&quot;,&quot;container-title-short&quot;:&quot;Am. Stat.&quot;,&quot;accessed&quot;:{&quot;date-parts&quot;:[[2026,7,1]]},&quot;DOI&quot;:&quot;10.1080/00031305.2019.1583913&quot;,&quot;ISSN&quot;:&quot;15372731&quot;,&quot;URL&quot;:&quot;https://www.tandfonline.com/doi/pdf/10.1080/00031305.2019.1583913&quot;,&quot;issued&quot;:{&quot;date-parts&quot;:[[2019,3,29]]},&quot;page&quot;:&quot;1-19&quot;,&quot;abstract&quot;:&quot;EDITORIAL: The editorial was written by the three editors acting as individuals and reflects their scientific views not an endorsed position of the American Statistical Association.Some of you expl...&quot;,&quot;publisher&quot;:&quot;Taylor &amp; Francis&quot;,&quot;issue&quot;:&quot;sup1&quot;,&quot;volume&quot;:&quot;73&quot;},&quot;isTemporary&quot;:false}]},{&quot;citationID&quot;:&quot;MENDELEY_CITATION_76d0b1c3-00f0-4760-ad32-08b44c6ed824&quot;,&quot;properties&quot;:{&quot;noteIndex&quot;:0},&quot;isEdited&quot;:false,&quot;manualOverride&quot;:{&quot;isManuallyOverridden&quot;:true,&quot;citeprocText&quot;:&quot;(Brennan et al., 2021; Lu &amp;#38; White, 2014; Srivastava et al., 2018)&quot;,&quot;manualOverrideText&quot;:&quot;(Lu and White, 2014; Srivastava et al., 2018; Brennan et al., 2021)&quot;},&quot;citationTag&quot;:&quot;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&quot;,&quot;citationItems&quot;:[{&quot;id&quot;:&quot;101179f2-d7fb-363f-9280-f6aea1cfc484&quot;,&quot;itemData&quot;:{&quot;type&quot;:&quot;article-journal&quot;,&quot;id&quot;:&quot;101179f2-d7fb-363f-9280-f6aea1cfc484&quot;,&quot;title&quot;:&quot;Robustness checks and robustness tests in applied economics&quot;,&quot;author&quot;:[{&quot;family&quot;:&quot;Lu&quot;,&quot;given&quot;:&quot;Xun&quot;,&quot;parse-names&quot;:false,&quot;dropping-particle&quot;:&quot;&quot;,&quot;non-dropping-particle&quot;:&quot;&quot;},{&quot;family&quot;:&quot;White&quot;,&quot;given&quot;:&quot;Halbert&quot;,&quot;parse-names&quot;:false,&quot;dropping-particle&quot;:&quot;&quot;,&quot;non-dropping-particle&quot;:&quot;&quot;}],&quot;container-title&quot;:&quot;Journal of Econometrics&quot;,&quot;container-title-short&quot;:&quot;J. Econom.&quot;,&quot;accessed&quot;:{&quot;date-parts&quot;:[[2026,7,1]]},&quot;DOI&quot;:&quot;10.1016/j.jeconom.2013.08.016&quot;,&quot;ISSN&quot;:&quot;0304-4076&quot;,&quot;URL&quot;:&quot;https://www.sciencedirect.com/science/article/abs/pii/S0304407613001668?via%3Dihub&quot;,&quot;issued&quot;:{&quot;date-parts&quot;:[[2014,1,1]]},&quot;page&quot;:&quot;194-206&quot;,&quot;abstract&quot;:&quot;A common exercise in empirical studies is a \&quot;robustness check\&quot;, where the researcher examines how certain \&quot;core\&quot; regression coefficient estimates behave when the regression specification is modified by adding or removing regressors. If the coefficients are plausible and robust, this is commonly interpreted as evidence of structural validity. Here, we study when and how one can infer structural validity from coefficient robustness and plausibility. As we show, there are numerous pitfalls, as commonly implemented robustness checks give neither necessary nor sufficient evidence for structural validity. Indeed, if not conducted properly, robustness checks can be completely uninformative or entirely misleading. We discuss how critical and non-critical core variables can be properly specified and how non-core variables for the comparison regression can be chosen to ensure that robustness checks are indeed structurally informative. We provide a straightforward new Hausman (1978) type test of robustness for the critical core coefficients, additional diagnostics that can help explain why robustness test rejection occurs, and a new estimator, the Feasible Optimally combined GLS (FOGLeSs) estimator, that makes relatively efficient use of the robustness check regressions. A new procedure for Matlab, testrob, embodies these methods.&quot;,&quot;publisher&quot;:&quot;North-Holland&quot;,&quot;issue&quot;:&quot;PART 1&quot;,&quot;volume&quot;:&quot;178&quot;},&quot;isTemporary&quot;:false},{&quot;id&quot;:&quot;7cef459c-813f-32da-816b-1c399d227577&quot;,&quot;itemData&quot;:{&quot;type&quot;:&quot;article-journal&quot;,&quot;id&quot;:&quot;7cef459c-813f-32da-816b-1c399d227577&quot;,&quot;title&quot;:&quot;Assessing the success of electricity demand response programs: A meta-analysis&quot;,&quot;author&quot;:[{&quot;family&quot;:&quot;Srivastava&quot;,&quot;given&quot;:&quot;Aman&quot;,&quot;parse-names&quot;:false,&quot;dropping-particle&quot;:&quot;&quot;,&quot;non-dropping-particle&quot;:&quot;&quot;},{&quot;family&quot;:&quot;Passel&quot;,&quot;given&quot;:&quot;Steven&quot;,&quot;parse-names&quot;:false,&quot;dropping-particle&quot;:&quot;&quot;,&quot;non-dropping-particle&quot;:&quot;Van&quot;},{&quot;family&quot;:&quot;Laes&quot;,&quot;given&quot;:&quot;Erik&quot;,&quot;parse-names&quot;:false,&quot;dropping-particle&quot;:&quot;&quot;,&quot;non-dropping-particle&quot;:&quot;&quot;}],&quot;container-title&quot;:&quot;Energy Research &amp; Social Science&quot;,&quot;container-title-short&quot;:&quot;Energy Res. Soc. Sci.&quot;,&quot;accessed&quot;:{&quot;date-parts&quot;:[[2026,7,1]]},&quot;DOI&quot;:&quot;10.1016/j.erss.2017.12.005&quot;,&quot;ISSN&quot;:&quot;2214-6296&quot;,&quot;URL&quot;:&quot;https://www.sciencedirect.com/science/article/abs/pii/S2214629617304516?via%3Dihub&quot;,&quot;issued&quot;:{&quot;date-parts&quot;:[[2018,6,1]]},&quot;page&quot;:&quot;110-117&quot;,&quot;abstract&quot;:&quot;This paper conducts a meta-analysis of 32 electricity demand response programs in the residential sector to understand whether their success is dependent on specific characteristics. The paper analyses several regression models using various combinations of variables that capture the designs of the programs and the socio-economic conditions in which the programs are implemented. The analysis reveals that demand response programs are more likely to succeed in highly urbanized areas, in areas where economic growth rates are high, and in areas where the renewable energy policy is favorable. These findings provide useful guidance in determining where and how to implement future demand response programs.&quot;,&quot;publisher&quot;:&quot;Elsevier&quot;,&quot;volume&quot;:&quot;40&quot;},&quot;isTemporary&quot;:false},{&quot;id&quot;:&quot;898b8cd1-811f-388c-861a-ffd592be7570&quot;,&quot;itemData&quot;:{&quot;type&quot;:&quot;article-journal&quot;,&quot;id&quot;:&quot;898b8cd1-811f-388c-861a-ffd592be7570&quot;,&quot;title&quot;:&quot;Potential effects of minimum unit pricing at local authority level on alcohol-attributed harms in North West and North East England: a modelling study&quot;,&quot;author&quot;:[{&quot;family&quot;:&quot;Brennan&quot;,&quot;given&quot;:&quot;Alan&quot;,&quot;parse-names&quot;:false,&quot;dropping-particle&quot;:&quot;&quot;,&quot;non-dropping-particle&quot;:&quot;&quot;},{&quot;family&quot;:&quot;Angus&quot;,&quot;given&quot;:&quot;Colin&quot;,&quot;parse-names&quot;:false,&quot;dropping-particle&quot;:&quot;&quot;,&quot;non-dropping-particle&quot;:&quot;&quot;},{&quot;family&quot;:&quot;Pryce&quot;,&quot;given&quot;:&quot;Robert&quot;,&quot;parse-names&quot;:false,&quot;dropping-particle&quot;:&quot;&quot;,&quot;non-dropping-particle&quot;:&quot;&quot;},{&quot;family&quot;:&quot;Buykx&quot;,&quot;given&quot;:&quot;Penny&quot;,&quot;parse-names&quot;:false,&quot;dropping-particle&quot;:&quot;&quot;,&quot;non-dropping-particle&quot;:&quot;&quot;},{&quot;family&quot;:&quot;Henney&quot;,&quot;given&quot;:&quot;Madeleine&quot;,&quot;parse-names&quot;:false,&quot;dropping-particle&quot;:&quot;&quot;,&quot;non-dropping-particle&quot;:&quot;&quot;},{&quot;family&quot;:&quot;Gillespie&quot;,&quot;given&quot;:&quot;Duncan&quot;,&quot;parse-names&quot;:false,&quot;dropping-particle&quot;:&quot;&quot;,&quot;non-dropping-particle&quot;:&quot;&quot;},{&quot;family&quot;:&quot;Holmes&quot;,&quot;given&quot;:&quot;John&quot;,&quot;parse-names&quot;:false,&quot;dropping-particle&quot;:&quot;&quot;,&quot;non-dropping-particle&quot;:&quot;&quot;},{&quot;family&quot;:&quot;Meier&quot;,&quot;given&quot;:&quot;Petra S&quot;,&quot;parse-names&quot;:false,&quot;dropping-particle&quot;:&quot;&quot;,&quot;non-dropping-particle&quot;:&quot;&quot;}],&quot;container-title&quot;:&quot;Public Health Research&quot;,&quot;accessed&quot;:{&quot;date-parts&quot;:[[2026,7,1]]},&quot;DOI&quot;:&quot;10.3310/phr09040&quot;,&quot;ISSN&quot;:&quot;ISSN: 2050-439X&quot;,&quot;issued&quot;:{&quot;date-parts&quot;:[[2021,3,23]]},&quot;page&quot;:&quot;1-106&quot;,&quot;abstract&quot;:&quot;Background In 2018, Scotland implemented a 50p-per-unit minimum unit price for alcohol. Previous modelling estimated the impact of minimum unit pricing for England, Scotland, Wales and Northern Ireland. Decision-makers want to know the potential effects of minimum unit pricing for local authorities in England; the premise of this study is that estimated effects of minimum unit pricing would vary by locality. Objective The objective was to estimate the potential effects on mortality, hospitalisations and crime of the implementation of minimum unit pricing for alcohol at local authority level in England. Design This was an evidence synthesis, and used computer modelling using the Sheffield Alcohol Policy Model (local authority version 4.0). This study gathered evidence on local consumption of alcohol from the Health Survey for England, and gathered data on local prices paid from the Living Costs and Food Survey and from market research companies’ actual sales data. These data were linked with local harms in terms of both alcohol-attributable mortality (from the Office for National Statistics) and alcohol-attributable hospitalisations (from Hospital Episode Statistics) for 45 conditions defined by the International Statistical Classification of Diseases and Related Health Problems, Tenth Revision. These data were examined for eight age–sex groups split by five Index of Multiple Deprivation quintiles. Alcohol-attributable crime data (Office for National Statistics police-recorded crimes and uplifts for unrecorded offences) were also analysed. Setting This study was set in 23 upper-tier local authorities in North West England, 12 upper-tier local authorities in the North East region and nine government office regions, and a national summary was conducted. Participants The participants were the population of England aged ≥ 18 years. Intervention The intervention was setting a local minimum unit price. The base case is 50p per unit of alcohol. Sensitivity analyses were undertaken using minimum unit prices of 30p, 40p, 60p and 70p per unit of alcohol. Main outcome measures The main outcome measures were changes in alcohol-attributable deaths, hospitalisations and crime. Savings in NHS costs, changes in alcohol purchasing and consumption, changes in revenue to off-trade and on-trade retailers and changes in the slope index of inequality between most and least deprived areas were also examined. Results The modelling has proved feasible at the upper-tier local authority level. The resulting estimates suggest that minimum unit pricing for alcohol at local authority level could be effective in reducing alcohol-attributable deaths, hospitalisations, NHS costs and crime. A 50p minimum unit price for alcohol at local authority level is estimated to reduce annual alcohol-related deaths in the North West region by 205, hospitalisations by 5956 (–5.5%) and crimes by 8528 (–2.5%). These estimated reductions are mostly due to the 5% of people drinking at high-risk levels (e.g. men drinking &gt; 25 pints of beer or five bottles of wine per week, women drinking &gt; 17 pints of beer or 3.5 bottles of wine per week, and who spend around £2500 per year currently on alcohol). Model estimates of impact are bigger in the North West and North East regions than nationally because, currently, more cheap alcohol is consumed in these regions and because there are more alcohol-related deaths and hospitalisations in these areas. A 30p minimum unit price has estimated effects that are ≈ 90% lower than those of a 50p minimum unit price, and a 40p minimum unit price has estimated effects that are ≈ 50% lower. Health inequalities are estimated to reduce with greater health gains in the deprived areas, where more cheap alcohol is purchased and where there are higher baseline harms. Limitations The approach requires synthesis of evidence from multiple sources on alcohol consumption; prices paid; and incidence of diseases, mortality and crime. Price elasticities used are from previous UK analysis of price responsiveness rather than specific to local areas. The study has not estimated ‘cross-border effects’, namely travelling to shops outside the region. Conclusions The modelling estimates suggest that minimum unit pricing for alcohol at local authority level would be an effective and well-targeted policy, reducing inequalities. Future work The Sheffield Alcohol Policy Model for Local Authorities framework could be further utilised to examine the local impact of national policies (e.g. tax changes) or local policies (e.g. licensing or identification and brief advice). As evidence emerges from the Scottish minimum unit price implementation, this will further inform estimates of impact in English localities. The methods used to estimate drinking and purchasing patterns in each local authority could also be used for other topics involving unhealthy products affecting public health, for example to estimate local smoking or high-fat, high-salt food consumption patterns. Funding This project was funded by the National Institute for Health Research (NIHR) Public Health Research programme and will be published in full in Public Health Research; Vol. 9, No. 4. See the NIHR Journals Library website for further project information.&quot;,&quot;publisher&quot;:&quot;National Institute for Health and Care Research&quot;,&quot;issue&quot;:&quot;4&quot;,&quot;volume&quot;:&quot;9&quot;,&quot;container-title-short&quot;:&quot;&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643CF5-4C5C-4193-9EEE-6DB1F0CF6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21511</Words>
  <Characters>122618</Characters>
  <Application>Microsoft Office Word</Application>
  <DocSecurity>4</DocSecurity>
  <Lines>1021</Lines>
  <Paragraphs>287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Macias, Lisa J</cp:lastModifiedBy>
  <cp:revision>2</cp:revision>
  <cp:lastPrinted>2026-07-17T03:06:00Z</cp:lastPrinted>
  <dcterms:created xsi:type="dcterms:W3CDTF">2026-09-24T19:49:00Z</dcterms:created>
  <dcterms:modified xsi:type="dcterms:W3CDTF">2026-09-24T19:49:00Z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UseMTPrefs">
    <vt:lpwstr>1</vt:lpwstr>
  </property>
  <property fmtid="{D5CDD505-2E9C-101B-9397-08002B2CF9AE}" pid="3" name="MTWinEqns">
    <vt:bool>true</vt:bool>
  </property>
</Properties>
</file>